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5A51" w14:textId="03E22DF4" w:rsidR="00FB3E02" w:rsidRDefault="00FB3E02" w:rsidP="00FB3E02">
      <w:pPr>
        <w:pStyle w:val="ListParagraph"/>
        <w:numPr>
          <w:ilvl w:val="0"/>
          <w:numId w:val="1"/>
        </w:numPr>
      </w:pPr>
      <w:r>
        <w:t>In an equation for annual data, suppose that</w:t>
      </w:r>
    </w:p>
    <w:p w14:paraId="1709945A" w14:textId="32B62508" w:rsidR="00FB3E02" w:rsidRDefault="00FB3E02" w:rsidP="00FB3E02">
      <w:pPr>
        <w:pStyle w:val="ListParagraph"/>
        <w:jc w:val="center"/>
      </w:pPr>
      <m:oMathPara>
        <m:oMath>
          <m:r>
            <w:rPr>
              <w:rFonts w:ascii="Cambria Math" w:hAnsi="Cambria Math"/>
            </w:rPr>
            <m:t>in</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=1.6+.48</m:t>
          </m:r>
          <m:sSub>
            <m:sSubPr>
              <m:ctrlPr>
                <w:rPr>
                  <w:rFonts w:ascii="Cambria Math" w:hAnsi="Cambria Math"/>
                  <w:i/>
                </w:rPr>
              </m:ctrlPr>
            </m:sSubPr>
            <m:e>
              <m:r>
                <w:rPr>
                  <w:rFonts w:ascii="Cambria Math" w:hAnsi="Cambria Math"/>
                </w:rPr>
                <m:t>inf</m:t>
              </m:r>
            </m:e>
            <m:sub>
              <m:r>
                <w:rPr>
                  <w:rFonts w:ascii="Cambria Math" w:hAnsi="Cambria Math"/>
                </w:rPr>
                <m:t>t</m:t>
              </m:r>
            </m:sub>
          </m:sSub>
          <m:r>
            <w:rPr>
              <w:rFonts w:ascii="Cambria Math" w:hAnsi="Cambria Math"/>
            </w:rPr>
            <m:t>-.15</m:t>
          </m:r>
          <m:sSub>
            <m:sSubPr>
              <m:ctrlPr>
                <w:rPr>
                  <w:rFonts w:ascii="Cambria Math" w:hAnsi="Cambria Math"/>
                  <w:i/>
                </w:rPr>
              </m:ctrlPr>
            </m:sSubPr>
            <m:e>
              <m:r>
                <w:rPr>
                  <w:rFonts w:ascii="Cambria Math" w:hAnsi="Cambria Math"/>
                </w:rPr>
                <m:t>inf</m:t>
              </m:r>
            </m:e>
            <m:sub>
              <m:r>
                <w:rPr>
                  <w:rFonts w:ascii="Cambria Math" w:hAnsi="Cambria Math"/>
                </w:rPr>
                <m:t>t-1</m:t>
              </m:r>
            </m:sub>
          </m:sSub>
          <m:r>
            <w:rPr>
              <w:rFonts w:ascii="Cambria Math" w:hAnsi="Cambria Math"/>
            </w:rPr>
            <m:t>+.32</m:t>
          </m:r>
          <m:sSub>
            <m:sSubPr>
              <m:ctrlPr>
                <w:rPr>
                  <w:rFonts w:ascii="Cambria Math" w:hAnsi="Cambria Math"/>
                  <w:i/>
                </w:rPr>
              </m:ctrlPr>
            </m:sSubPr>
            <m:e>
              <m:r>
                <w:rPr>
                  <w:rFonts w:ascii="Cambria Math" w:hAnsi="Cambria Math"/>
                </w:rPr>
                <m:t>inf</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m:oMathPara>
    </w:p>
    <w:p w14:paraId="57AA8970" w14:textId="77777777" w:rsidR="008537E7" w:rsidRDefault="00FB3E02" w:rsidP="008537E7">
      <w:pPr>
        <w:pStyle w:val="ListParagraph"/>
      </w:pPr>
      <w:r>
        <w:t xml:space="preserve">where </w:t>
      </w:r>
      <w:r w:rsidRPr="00FB3E02">
        <w:rPr>
          <w:i/>
          <w:iCs/>
        </w:rPr>
        <w:t>int</w:t>
      </w:r>
      <w:r>
        <w:t xml:space="preserve"> is an interest rate and </w:t>
      </w:r>
      <w:r w:rsidRPr="00FB3E02">
        <w:rPr>
          <w:i/>
          <w:iCs/>
        </w:rPr>
        <w:t>inf</w:t>
      </w:r>
      <w:r>
        <w:t xml:space="preserve"> is the inflation rate. What are the impact and long-run propensities?</w:t>
      </w:r>
    </w:p>
    <w:p w14:paraId="5048BD34" w14:textId="77777777" w:rsidR="008537E7" w:rsidRDefault="008537E7" w:rsidP="008537E7">
      <w:pPr>
        <w:pStyle w:val="ListParagraph"/>
      </w:pPr>
    </w:p>
    <w:p w14:paraId="638EA16F" w14:textId="5C4AEC2B" w:rsidR="00AE2CEF" w:rsidRDefault="00FB3E02" w:rsidP="00AE2CEF">
      <w:pPr>
        <w:pStyle w:val="ListParagraph"/>
        <w:rPr>
          <w:color w:val="0070C0"/>
        </w:rPr>
      </w:pPr>
      <w:r w:rsidRPr="008537E7">
        <w:rPr>
          <w:color w:val="0070C0"/>
        </w:rPr>
        <w:t>Answer:</w:t>
      </w:r>
      <w:r w:rsidR="008537E7" w:rsidRPr="008537E7">
        <w:rPr>
          <w:color w:val="0070C0"/>
        </w:rPr>
        <w:t xml:space="preserve"> </w:t>
      </w:r>
      <w:r w:rsidRPr="008537E7">
        <w:rPr>
          <w:color w:val="0070C0"/>
        </w:rPr>
        <w:t>The impact propensity is .48, while the long-run propensity is .48</w:t>
      </w:r>
      <w:r w:rsidR="008537E7" w:rsidRPr="008537E7">
        <w:rPr>
          <w:color w:val="0070C0"/>
        </w:rPr>
        <w:t xml:space="preserve"> – </w:t>
      </w:r>
      <w:r w:rsidRPr="008537E7">
        <w:rPr>
          <w:color w:val="0070C0"/>
        </w:rPr>
        <w:t>.15</w:t>
      </w:r>
      <w:r w:rsidR="008537E7" w:rsidRPr="008537E7">
        <w:rPr>
          <w:color w:val="0070C0"/>
        </w:rPr>
        <w:t xml:space="preserve"> </w:t>
      </w:r>
      <w:r w:rsidRPr="008537E7">
        <w:rPr>
          <w:color w:val="0070C0"/>
        </w:rPr>
        <w:t>+</w:t>
      </w:r>
      <w:r w:rsidR="008537E7" w:rsidRPr="008537E7">
        <w:rPr>
          <w:color w:val="0070C0"/>
        </w:rPr>
        <w:t xml:space="preserve"> </w:t>
      </w:r>
      <w:r w:rsidRPr="008537E7">
        <w:rPr>
          <w:color w:val="0070C0"/>
        </w:rPr>
        <w:t>.32</w:t>
      </w:r>
      <w:r w:rsidR="008537E7" w:rsidRPr="008537E7">
        <w:rPr>
          <w:color w:val="0070C0"/>
        </w:rPr>
        <w:t xml:space="preserve"> </w:t>
      </w:r>
      <w:r w:rsidRPr="008537E7">
        <w:rPr>
          <w:color w:val="0070C0"/>
        </w:rPr>
        <w:t>=</w:t>
      </w:r>
      <w:r w:rsidR="008537E7" w:rsidRPr="008537E7">
        <w:rPr>
          <w:color w:val="0070C0"/>
        </w:rPr>
        <w:t xml:space="preserve"> </w:t>
      </w:r>
      <w:r w:rsidRPr="008537E7">
        <w:rPr>
          <w:color w:val="0070C0"/>
        </w:rPr>
        <w:t>.65.</w:t>
      </w:r>
    </w:p>
    <w:p w14:paraId="41531253" w14:textId="2AF2D8CA" w:rsidR="00AE2CEF" w:rsidRDefault="00AE2CEF" w:rsidP="00AE2CEF">
      <w:pPr>
        <w:pStyle w:val="ListParagraph"/>
        <w:rPr>
          <w:color w:val="0070C0"/>
        </w:rPr>
      </w:pPr>
    </w:p>
    <w:p w14:paraId="2D05CCFB" w14:textId="77777777" w:rsidR="00AE2CEF" w:rsidRDefault="00AE2CEF" w:rsidP="00AE2CEF">
      <w:pPr>
        <w:pStyle w:val="ListParagraph"/>
        <w:numPr>
          <w:ilvl w:val="0"/>
          <w:numId w:val="1"/>
        </w:numPr>
      </w:pPr>
      <w:r>
        <w:t>In the FDL model</w:t>
      </w:r>
    </w:p>
    <w:p w14:paraId="76089CF9" w14:textId="254CCD72" w:rsidR="00AE2CEF" w:rsidRDefault="00000000" w:rsidP="00AE2CEF">
      <w:pPr>
        <w:pStyle w:val="ListParagraph"/>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m:oMathPara>
    </w:p>
    <w:p w14:paraId="6194A19F" w14:textId="4B338CAF" w:rsidR="00AE2CEF" w:rsidRDefault="00AE2CEF" w:rsidP="00AE2CEF">
      <w:pPr>
        <w:pStyle w:val="ListParagraph"/>
      </w:pPr>
      <w:r>
        <w:t xml:space="preserve">what do we need to assume about the sequence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t xml:space="preserve"> in order for Assumption TS.</w:t>
      </w:r>
      <w:r w:rsidR="003A70EB">
        <w:t>2</w:t>
      </w:r>
      <w:r>
        <w:t xml:space="preserve"> to hold?</w:t>
      </w:r>
    </w:p>
    <w:p w14:paraId="6B2488CB" w14:textId="77777777" w:rsidR="00AE2CEF" w:rsidRDefault="00AE2CEF" w:rsidP="00AE2CEF">
      <w:pPr>
        <w:pStyle w:val="ListParagraph"/>
      </w:pPr>
    </w:p>
    <w:p w14:paraId="417380AB" w14:textId="02298BD8" w:rsidR="00AE2CEF" w:rsidRPr="00BE4A8B" w:rsidRDefault="00AE2CEF" w:rsidP="00BE4A8B">
      <w:pPr>
        <w:pStyle w:val="ListParagraph"/>
        <w:rPr>
          <w:color w:val="0070C0"/>
        </w:rPr>
      </w:pPr>
      <w:r w:rsidRPr="00BE4A8B">
        <w:rPr>
          <w:color w:val="0070C0"/>
        </w:rPr>
        <w:t>Answer:</w:t>
      </w:r>
      <w:r w:rsidR="00BD5E29" w:rsidRPr="00BE4A8B">
        <w:rPr>
          <w:color w:val="0070C0"/>
        </w:rPr>
        <w:t xml:space="preserve"> </w:t>
      </w:r>
      <w:r w:rsidRPr="00BE4A8B">
        <w:rPr>
          <w:color w:val="0070C0"/>
        </w:rPr>
        <w:t xml:space="preserve">The explanatory variables are </w:t>
      </w:r>
      <m:oMath>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z</m:t>
            </m:r>
          </m:e>
          <m:sub>
            <m:r>
              <w:rPr>
                <w:rFonts w:ascii="Cambria Math" w:hAnsi="Cambria Math"/>
                <w:color w:val="0070C0"/>
              </w:rPr>
              <m:t>t</m:t>
            </m:r>
          </m:sub>
        </m:sSub>
      </m:oMath>
      <w:r w:rsidRPr="00BE4A8B">
        <w:rPr>
          <w:color w:val="0070C0"/>
        </w:rPr>
        <w:t xml:space="preserve"> and </w:t>
      </w:r>
      <m:oMath>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t2</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z</m:t>
            </m:r>
          </m:e>
          <m:sub>
            <m:r>
              <w:rPr>
                <w:rFonts w:ascii="Cambria Math" w:hAnsi="Cambria Math"/>
                <w:color w:val="0070C0"/>
              </w:rPr>
              <m:t>t-1</m:t>
            </m:r>
          </m:sub>
        </m:sSub>
      </m:oMath>
      <w:r w:rsidRPr="00BE4A8B">
        <w:rPr>
          <w:color w:val="0070C0"/>
        </w:rPr>
        <w:t xml:space="preserve">. The absence of perfect collinearity means that these cannot be constant, and there cannot be an exact linear relationship between them in the sample. This rules out the possibility that all the </w:t>
      </w:r>
      <w:r w:rsidRPr="00BE4A8B">
        <w:rPr>
          <w:i/>
          <w:iCs/>
          <w:color w:val="0070C0"/>
        </w:rPr>
        <w:t>z</w:t>
      </w:r>
      <w:r w:rsidRPr="00BE4A8B">
        <w:rPr>
          <w:color w:val="0070C0"/>
          <w:vertAlign w:val="subscript"/>
        </w:rPr>
        <w:t>1</w:t>
      </w:r>
      <w:r w:rsidRPr="00BE4A8B">
        <w:rPr>
          <w:color w:val="0070C0"/>
        </w:rPr>
        <w:t>,</w:t>
      </w:r>
      <w:r w:rsidR="00BE4A8B" w:rsidRPr="00BE4A8B">
        <w:rPr>
          <w:color w:val="0070C0"/>
        </w:rPr>
        <w:t xml:space="preserve"> </w:t>
      </w:r>
      <w:r w:rsidRPr="00BE4A8B">
        <w:rPr>
          <w:color w:val="0070C0"/>
        </w:rPr>
        <w:t>…,</w:t>
      </w:r>
      <w:r w:rsidR="00BE4A8B" w:rsidRPr="00BE4A8B">
        <w:rPr>
          <w:color w:val="0070C0"/>
        </w:rPr>
        <w:t xml:space="preserve"> </w:t>
      </w:r>
      <w:r w:rsidRPr="00BE4A8B">
        <w:rPr>
          <w:i/>
          <w:iCs/>
          <w:color w:val="0070C0"/>
        </w:rPr>
        <w:t>z</w:t>
      </w:r>
      <w:r w:rsidRPr="00BE4A8B">
        <w:rPr>
          <w:color w:val="0070C0"/>
          <w:vertAlign w:val="subscript"/>
        </w:rPr>
        <w:t>n</w:t>
      </w:r>
      <w:r w:rsidRPr="00BE4A8B">
        <w:rPr>
          <w:color w:val="0070C0"/>
        </w:rPr>
        <w:t xml:space="preserve"> take on the same value or that the </w:t>
      </w:r>
      <w:r w:rsidRPr="00BE4A8B">
        <w:rPr>
          <w:i/>
          <w:iCs/>
          <w:color w:val="0070C0"/>
        </w:rPr>
        <w:t>z</w:t>
      </w:r>
      <w:r w:rsidRPr="00BE4A8B">
        <w:rPr>
          <w:color w:val="0070C0"/>
          <w:vertAlign w:val="subscript"/>
        </w:rPr>
        <w:t>0</w:t>
      </w:r>
      <w:r w:rsidRPr="00BE4A8B">
        <w:rPr>
          <w:color w:val="0070C0"/>
        </w:rPr>
        <w:t>,</w:t>
      </w:r>
      <w:r w:rsidR="00BE4A8B" w:rsidRPr="00BE4A8B">
        <w:rPr>
          <w:color w:val="0070C0"/>
        </w:rPr>
        <w:t xml:space="preserve"> </w:t>
      </w:r>
      <w:r w:rsidRPr="00BE4A8B">
        <w:rPr>
          <w:i/>
          <w:iCs/>
          <w:color w:val="0070C0"/>
        </w:rPr>
        <w:t>z</w:t>
      </w:r>
      <w:r w:rsidRPr="00BE4A8B">
        <w:rPr>
          <w:color w:val="0070C0"/>
          <w:vertAlign w:val="subscript"/>
        </w:rPr>
        <w:t>1</w:t>
      </w:r>
      <w:r w:rsidRPr="00BE4A8B">
        <w:rPr>
          <w:color w:val="0070C0"/>
        </w:rPr>
        <w:t>,</w:t>
      </w:r>
      <w:r w:rsidR="00BE4A8B" w:rsidRPr="00BE4A8B">
        <w:rPr>
          <w:color w:val="0070C0"/>
        </w:rPr>
        <w:t xml:space="preserve"> </w:t>
      </w:r>
      <w:r w:rsidRPr="00BE4A8B">
        <w:rPr>
          <w:color w:val="0070C0"/>
        </w:rPr>
        <w:t>…,</w:t>
      </w:r>
      <w:r w:rsidR="00BE4A8B" w:rsidRPr="00BE4A8B">
        <w:rPr>
          <w:color w:val="0070C0"/>
        </w:rPr>
        <w:t xml:space="preserve"> </w:t>
      </w:r>
      <w:r w:rsidRPr="00BE4A8B">
        <w:rPr>
          <w:i/>
          <w:iCs/>
          <w:color w:val="0070C0"/>
        </w:rPr>
        <w:t>z</w:t>
      </w:r>
      <w:r w:rsidRPr="00BE4A8B">
        <w:rPr>
          <w:color w:val="0070C0"/>
          <w:vertAlign w:val="subscript"/>
        </w:rPr>
        <w:t>n-1</w:t>
      </w:r>
      <w:r w:rsidRPr="00BE4A8B">
        <w:rPr>
          <w:color w:val="0070C0"/>
        </w:rPr>
        <w:t xml:space="preserve"> take on the same value. But it eliminates other patterns as well. For example, if </w:t>
      </w:r>
      <m:oMath>
        <m:sSub>
          <m:sSubPr>
            <m:ctrlPr>
              <w:rPr>
                <w:rFonts w:ascii="Cambria Math" w:hAnsi="Cambria Math"/>
                <w:i/>
                <w:color w:val="0070C0"/>
              </w:rPr>
            </m:ctrlPr>
          </m:sSubPr>
          <m:e>
            <m:r>
              <w:rPr>
                <w:rFonts w:ascii="Cambria Math" w:hAnsi="Cambria Math"/>
                <w:color w:val="0070C0"/>
              </w:rPr>
              <m:t>z</m:t>
            </m:r>
          </m:e>
          <m:sub>
            <m:r>
              <w:rPr>
                <w:rFonts w:ascii="Cambria Math" w:hAnsi="Cambria Math"/>
                <w:color w:val="0070C0"/>
              </w:rPr>
              <m:t>t</m:t>
            </m:r>
          </m:sub>
        </m:sSub>
        <m:r>
          <w:rPr>
            <w:rFonts w:ascii="Cambria Math" w:hAnsi="Cambria Math"/>
            <w:color w:val="0070C0"/>
          </w:rPr>
          <m:t>=a+bt</m:t>
        </m:r>
      </m:oMath>
      <w:r w:rsidRPr="00BE4A8B">
        <w:rPr>
          <w:color w:val="0070C0"/>
        </w:rPr>
        <w:t xml:space="preserve"> for constants </w:t>
      </w:r>
      <w:r w:rsidRPr="00BE4A8B">
        <w:rPr>
          <w:i/>
          <w:iCs/>
          <w:color w:val="0070C0"/>
        </w:rPr>
        <w:t>a</w:t>
      </w:r>
      <w:r w:rsidRPr="00BE4A8B">
        <w:rPr>
          <w:color w:val="0070C0"/>
        </w:rPr>
        <w:t xml:space="preserve"> and </w:t>
      </w:r>
      <w:r w:rsidRPr="00BE4A8B">
        <w:rPr>
          <w:i/>
          <w:iCs/>
          <w:color w:val="0070C0"/>
        </w:rPr>
        <w:t>b</w:t>
      </w:r>
      <w:r w:rsidRPr="00BE4A8B">
        <w:rPr>
          <w:color w:val="0070C0"/>
        </w:rPr>
        <w:t xml:space="preserve">, then </w:t>
      </w:r>
      <m:oMath>
        <m:sSub>
          <m:sSubPr>
            <m:ctrlPr>
              <w:rPr>
                <w:rFonts w:ascii="Cambria Math" w:hAnsi="Cambria Math"/>
                <w:i/>
                <w:color w:val="0070C0"/>
              </w:rPr>
            </m:ctrlPr>
          </m:sSubPr>
          <m:e>
            <m:r>
              <w:rPr>
                <w:rFonts w:ascii="Cambria Math" w:hAnsi="Cambria Math"/>
                <w:color w:val="0070C0"/>
              </w:rPr>
              <m:t>z</m:t>
            </m:r>
          </m:e>
          <m:sub>
            <m:r>
              <w:rPr>
                <w:rFonts w:ascii="Cambria Math" w:hAnsi="Cambria Math"/>
                <w:color w:val="0070C0"/>
              </w:rPr>
              <m:t>t-1</m:t>
            </m:r>
          </m:sub>
        </m:sSub>
        <m:r>
          <w:rPr>
            <w:rFonts w:ascii="Cambria Math" w:hAnsi="Cambria Math"/>
            <w:color w:val="0070C0"/>
          </w:rPr>
          <m:t>=a+b</m:t>
        </m:r>
        <m:d>
          <m:dPr>
            <m:ctrlPr>
              <w:rPr>
                <w:rFonts w:ascii="Cambria Math" w:hAnsi="Cambria Math"/>
                <w:i/>
                <w:color w:val="0070C0"/>
              </w:rPr>
            </m:ctrlPr>
          </m:dPr>
          <m:e>
            <m:r>
              <w:rPr>
                <w:rFonts w:ascii="Cambria Math" w:hAnsi="Cambria Math"/>
                <w:color w:val="0070C0"/>
              </w:rPr>
              <m:t>t-1</m:t>
            </m:r>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a+bt</m:t>
            </m:r>
          </m:e>
        </m:d>
        <m:r>
          <w:rPr>
            <w:rFonts w:ascii="Cambria Math" w:hAnsi="Cambria Math"/>
            <w:color w:val="0070C0"/>
          </w:rPr>
          <m:t>-b=</m:t>
        </m:r>
        <m:sSub>
          <m:sSubPr>
            <m:ctrlPr>
              <w:rPr>
                <w:rFonts w:ascii="Cambria Math" w:hAnsi="Cambria Math"/>
                <w:i/>
                <w:color w:val="0070C0"/>
              </w:rPr>
            </m:ctrlPr>
          </m:sSubPr>
          <m:e>
            <m:r>
              <w:rPr>
                <w:rFonts w:ascii="Cambria Math" w:hAnsi="Cambria Math"/>
                <w:color w:val="0070C0"/>
              </w:rPr>
              <m:t>z</m:t>
            </m:r>
          </m:e>
          <m:sub>
            <m:r>
              <w:rPr>
                <w:rFonts w:ascii="Cambria Math" w:hAnsi="Cambria Math"/>
                <w:color w:val="0070C0"/>
              </w:rPr>
              <m:t>t</m:t>
            </m:r>
          </m:sub>
        </m:sSub>
        <m:r>
          <w:rPr>
            <w:rFonts w:ascii="Cambria Math" w:hAnsi="Cambria Math"/>
            <w:color w:val="0070C0"/>
          </w:rPr>
          <m:t>-b,</m:t>
        </m:r>
      </m:oMath>
      <w:r w:rsidRPr="00BE4A8B">
        <w:rPr>
          <w:color w:val="0070C0"/>
        </w:rPr>
        <w:t xml:space="preserve"> which is a perfect linear function of </w:t>
      </w:r>
      <w:r w:rsidRPr="00BE4A8B">
        <w:rPr>
          <w:i/>
          <w:iCs/>
          <w:color w:val="0070C0"/>
        </w:rPr>
        <w:t>z</w:t>
      </w:r>
      <w:r w:rsidRPr="00BE4A8B">
        <w:rPr>
          <w:color w:val="0070C0"/>
          <w:vertAlign w:val="subscript"/>
        </w:rPr>
        <w:t>t</w:t>
      </w:r>
      <w:r w:rsidRPr="00BE4A8B">
        <w:rPr>
          <w:color w:val="0070C0"/>
        </w:rPr>
        <w:t>.</w:t>
      </w:r>
    </w:p>
    <w:p w14:paraId="3F358B69" w14:textId="04321729" w:rsidR="008537E7" w:rsidRDefault="008537E7" w:rsidP="008537E7">
      <w:pPr>
        <w:pStyle w:val="ListParagraph"/>
      </w:pPr>
    </w:p>
    <w:p w14:paraId="34823E5A" w14:textId="77777777" w:rsidR="000173EE" w:rsidRDefault="00DC1045" w:rsidP="00DC1045">
      <w:pPr>
        <w:pStyle w:val="ListParagraph"/>
        <w:numPr>
          <w:ilvl w:val="0"/>
          <w:numId w:val="1"/>
        </w:numPr>
      </w:pPr>
      <w:r>
        <w:t>In equation</w:t>
      </w:r>
    </w:p>
    <w:p w14:paraId="7E64AAD7" w14:textId="41489734" w:rsidR="000173EE" w:rsidRDefault="00000000" w:rsidP="000173EE">
      <w:pPr>
        <w:pStyle w:val="ListParagraph"/>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fe</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ma</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ap</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11</m:t>
              </m:r>
            </m:sub>
          </m:sSub>
          <m:r>
            <w:rPr>
              <w:rFonts w:ascii="Cambria Math" w:hAnsi="Cambria Math"/>
            </w:rPr>
            <m:t>de</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m:oMathPara>
    </w:p>
    <w:p w14:paraId="56BF7030" w14:textId="038E1FC0" w:rsidR="00DC1045" w:rsidRDefault="00DC1045" w:rsidP="000173EE">
      <w:pPr>
        <w:pStyle w:val="ListParagraph"/>
      </w:pPr>
      <w:r>
        <w:t>what is the intercept for March? Explain why seasonal dummy variables satisfy the strict exogeneity assumption.</w:t>
      </w:r>
    </w:p>
    <w:p w14:paraId="12863B64" w14:textId="77777777" w:rsidR="000173EE" w:rsidRDefault="000173EE" w:rsidP="000173EE">
      <w:pPr>
        <w:pStyle w:val="ListParagraph"/>
      </w:pPr>
    </w:p>
    <w:p w14:paraId="10AF3579" w14:textId="4888BC30" w:rsidR="008537E7" w:rsidRPr="00AE2CEF" w:rsidRDefault="00DC1045" w:rsidP="000173EE">
      <w:pPr>
        <w:pStyle w:val="ListParagraph"/>
        <w:rPr>
          <w:color w:val="0070C0"/>
        </w:rPr>
      </w:pPr>
      <w:r w:rsidRPr="00AE2CEF">
        <w:rPr>
          <w:color w:val="0070C0"/>
        </w:rPr>
        <w:t>Answer:</w:t>
      </w:r>
      <w:r w:rsidR="000173EE" w:rsidRPr="00AE2CEF">
        <w:rPr>
          <w:color w:val="0070C0"/>
        </w:rPr>
        <w:t xml:space="preserve"> </w:t>
      </w:r>
      <w:r w:rsidRPr="00AE2CEF">
        <w:rPr>
          <w:color w:val="0070C0"/>
        </w:rPr>
        <w:t xml:space="preserve">The intercept for March is </w:t>
      </w:r>
      <m:oMath>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0</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δ</m:t>
            </m:r>
          </m:e>
          <m:sub>
            <m:r>
              <w:rPr>
                <w:rFonts w:ascii="Cambria Math" w:hAnsi="Cambria Math"/>
                <w:color w:val="0070C0"/>
              </w:rPr>
              <m:t>2</m:t>
            </m:r>
          </m:sub>
        </m:sSub>
      </m:oMath>
      <w:r w:rsidRPr="00AE2CEF">
        <w:rPr>
          <w:color w:val="0070C0"/>
        </w:rPr>
        <w:t>. Seasonal dummy variables are strictly exogenous because they follow a deterministic pattern. For example, the months do not change based upon whether either the explanatory variables or the dependent variables change.</w:t>
      </w:r>
    </w:p>
    <w:sectPr w:rsidR="008537E7" w:rsidRPr="00AE2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0C9D"/>
    <w:multiLevelType w:val="hybridMultilevel"/>
    <w:tmpl w:val="58807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75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D1"/>
    <w:rsid w:val="000173EE"/>
    <w:rsid w:val="003A70EB"/>
    <w:rsid w:val="004B46D1"/>
    <w:rsid w:val="00716C5E"/>
    <w:rsid w:val="008537E7"/>
    <w:rsid w:val="00AE2CEF"/>
    <w:rsid w:val="00BD5E29"/>
    <w:rsid w:val="00BE4A8B"/>
    <w:rsid w:val="00DC1045"/>
    <w:rsid w:val="00FB3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5410"/>
  <w15:chartTrackingRefBased/>
  <w15:docId w15:val="{485F3F66-E854-456B-84ED-BD0EEB3F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E02"/>
    <w:pPr>
      <w:ind w:left="720"/>
      <w:contextualSpacing/>
    </w:pPr>
  </w:style>
  <w:style w:type="character" w:styleId="PlaceholderText">
    <w:name w:val="Placeholder Text"/>
    <w:basedOn w:val="DefaultParagraphFont"/>
    <w:uiPriority w:val="99"/>
    <w:semiHidden/>
    <w:rsid w:val="00FB3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Quanquan Liu</dc:creator>
  <cp:keywords/>
  <dc:description/>
  <cp:lastModifiedBy>Liu, Quanquan</cp:lastModifiedBy>
  <cp:revision>3</cp:revision>
  <dcterms:created xsi:type="dcterms:W3CDTF">2022-09-22T00:45:00Z</dcterms:created>
  <dcterms:modified xsi:type="dcterms:W3CDTF">2022-10-24T19:39:00Z</dcterms:modified>
</cp:coreProperties>
</file>