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B384" w14:textId="231B024C" w:rsidR="00B248FE" w:rsidRPr="00844260" w:rsidRDefault="00844260" w:rsidP="00844260">
      <w:pPr>
        <w:rPr>
          <w:b/>
          <w:bCs/>
        </w:rPr>
      </w:pPr>
      <w:r w:rsidRPr="00844260">
        <w:rPr>
          <w:b/>
          <w:bCs/>
        </w:rPr>
        <w:t>Effect of Worker Compensation Laws on Weeks out of Work</w:t>
      </w:r>
    </w:p>
    <w:p w14:paraId="5E33E371" w14:textId="62836C3A" w:rsidR="00844260" w:rsidRDefault="00844260" w:rsidP="00844260">
      <w:r>
        <w:t>To study</w:t>
      </w:r>
      <w:r w:rsidRPr="00844260">
        <w:t xml:space="preserve"> the length of time (in weeks) that an injured worker receives workers’ compensation</w:t>
      </w:r>
      <w:r>
        <w:t>,</w:t>
      </w:r>
      <w:r w:rsidRPr="00844260">
        <w:t xml:space="preserve"> </w:t>
      </w:r>
      <w:r>
        <w:t>o</w:t>
      </w:r>
      <w:r w:rsidRPr="00844260">
        <w:t>n July 15, 1980, Kentucky raised the cap on weekly earnings that were covered by workers’ compensation. An increase in the cap has no effect on the benefit for low-income workers, but it makes it less costly for a high-income worker to stay on workers’ compensation. Therefore, the control group is low-income workers, and the treatment group is high-income workers</w:t>
      </w:r>
      <w:r>
        <w:t>.</w:t>
      </w:r>
    </w:p>
    <w:p w14:paraId="66DBE2DB" w14:textId="56AAECFD" w:rsidR="00844260" w:rsidRDefault="00844260" w:rsidP="00844260">
      <w:r w:rsidRPr="00844260">
        <w:t>Us</w:t>
      </w:r>
      <w:r>
        <w:t>ing</w:t>
      </w:r>
      <w:r w:rsidRPr="00844260">
        <w:t xml:space="preserve"> random samples both before and after the policy change,</w:t>
      </w:r>
      <w:r>
        <w:t xml:space="preserve"> </w:t>
      </w:r>
      <w:r w:rsidRPr="00844260">
        <w:t xml:space="preserve">test whether more generous workers’ compensation causes people to stay out of work longer (everything else fixed). </w:t>
      </w:r>
      <w:r>
        <w:t>S</w:t>
      </w:r>
      <w:r w:rsidRPr="00844260">
        <w:t>tart with a difference-in-differences analysis, using log(</w:t>
      </w:r>
      <w:proofErr w:type="spellStart"/>
      <w:r w:rsidRPr="00844260">
        <w:rPr>
          <w:i/>
          <w:iCs/>
        </w:rPr>
        <w:t>durat</w:t>
      </w:r>
      <w:proofErr w:type="spellEnd"/>
      <w:r w:rsidRPr="00844260">
        <w:t xml:space="preserve">) </w:t>
      </w:r>
      <w:r>
        <w:t xml:space="preserve">(duration of benefits) </w:t>
      </w:r>
      <w:r w:rsidRPr="00844260">
        <w:t xml:space="preserve">as the dependent variable. Let </w:t>
      </w:r>
      <w:proofErr w:type="spellStart"/>
      <w:r w:rsidRPr="00844260">
        <w:rPr>
          <w:i/>
          <w:iCs/>
        </w:rPr>
        <w:t>afchnge</w:t>
      </w:r>
      <w:proofErr w:type="spellEnd"/>
      <w:r w:rsidRPr="00844260">
        <w:t xml:space="preserve"> be the dummy variable for observations after the policy change and </w:t>
      </w:r>
      <w:proofErr w:type="spellStart"/>
      <w:r w:rsidRPr="00844260">
        <w:rPr>
          <w:i/>
          <w:iCs/>
        </w:rPr>
        <w:t>highearn</w:t>
      </w:r>
      <w:proofErr w:type="spellEnd"/>
      <w:r w:rsidRPr="00844260">
        <w:t xml:space="preserve"> the dummy variable for high earners. </w:t>
      </w:r>
      <w:r>
        <w:t>T</w:t>
      </w:r>
      <w:r w:rsidRPr="00844260">
        <w:t>he estimated equation, with standard errors in parentheses, is</w:t>
      </w:r>
    </w:p>
    <w:p w14:paraId="76528E48" w14:textId="400D1691" w:rsidR="009749D9" w:rsidRPr="009749D9" w:rsidRDefault="009749D9" w:rsidP="009749D9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durat</m:t>
                      </m:r>
                    </m:e>
                  </m:d>
                </m:e>
              </m:func>
            </m:e>
          </m:acc>
          <m:r>
            <w:rPr>
              <w:rFonts w:ascii="Cambria Math" w:hAnsi="Cambria Math"/>
            </w:rPr>
            <m:t>=1.126+.0077afchnge+.256</m:t>
          </m:r>
          <m:r>
            <w:rPr>
              <w:rFonts w:ascii="Cambria Math" w:hAnsi="Cambria Math"/>
            </w:rPr>
            <m:t>highearn+.191afchnge⋅highearn</m:t>
          </m:r>
        </m:oMath>
      </m:oMathPara>
    </w:p>
    <w:p w14:paraId="51279F1A" w14:textId="74C51D24" w:rsidR="009749D9" w:rsidRPr="009749D9" w:rsidRDefault="009749D9" w:rsidP="009749D9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.031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.0447</m:t>
              </m:r>
            </m:e>
          </m:d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.047</m:t>
              </m:r>
            </m:e>
          </m:d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.069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14:paraId="22FEA690" w14:textId="7DAFCB81" w:rsidR="009749D9" w:rsidRPr="009749D9" w:rsidRDefault="009749D9" w:rsidP="009749D9">
      <w:pPr>
        <w:jc w:val="center"/>
      </w:pPr>
      <m:oMathPara>
        <m:oMath>
          <m:r>
            <w:rPr>
              <w:rFonts w:ascii="Cambria Math" w:hAnsi="Cambria Math"/>
            </w:rPr>
            <m:t>n=5,626;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=0.021.</m:t>
          </m:r>
        </m:oMath>
      </m:oMathPara>
    </w:p>
    <w:p w14:paraId="5C1F11D1" w14:textId="56E2214A" w:rsidR="009749D9" w:rsidRDefault="009749D9" w:rsidP="009749D9">
      <w:pPr>
        <w:pStyle w:val="ListParagraph"/>
        <w:numPr>
          <w:ilvl w:val="0"/>
          <w:numId w:val="2"/>
        </w:numPr>
      </w:pPr>
      <w:r>
        <w:t>Interpret the coefficient on the interaction term.</w:t>
      </w:r>
    </w:p>
    <w:p w14:paraId="549C75A7" w14:textId="19D64E69" w:rsidR="009749D9" w:rsidRDefault="009749D9" w:rsidP="009749D9">
      <w:pPr>
        <w:pStyle w:val="ListParagraph"/>
        <w:numPr>
          <w:ilvl w:val="0"/>
          <w:numId w:val="2"/>
        </w:numPr>
      </w:pPr>
      <w:r w:rsidRPr="009749D9">
        <w:t xml:space="preserve">The coefficient on </w:t>
      </w:r>
      <w:proofErr w:type="spellStart"/>
      <w:r w:rsidRPr="009749D9">
        <w:rPr>
          <w:i/>
          <w:iCs/>
        </w:rPr>
        <w:t>afchnge</w:t>
      </w:r>
      <w:proofErr w:type="spellEnd"/>
      <w:r w:rsidRPr="009749D9">
        <w:t xml:space="preserve"> is small and statistically insignificant</w:t>
      </w:r>
      <w:r>
        <w:t>, why?</w:t>
      </w:r>
    </w:p>
    <w:p w14:paraId="4D8ACAA4" w14:textId="7D22F5BD" w:rsidR="00802ADF" w:rsidRDefault="00802ADF" w:rsidP="00802ADF">
      <w:pPr>
        <w:pStyle w:val="ListParagraph"/>
        <w:numPr>
          <w:ilvl w:val="0"/>
          <w:numId w:val="2"/>
        </w:numPr>
      </w:pPr>
      <w:r>
        <w:t xml:space="preserve">What do you make of the coefficient on </w:t>
      </w:r>
      <w:proofErr w:type="spellStart"/>
      <w:r w:rsidRPr="00802ADF">
        <w:rPr>
          <w:i/>
          <w:iCs/>
        </w:rPr>
        <w:t>highearn</w:t>
      </w:r>
      <w:proofErr w:type="spellEnd"/>
      <w:r>
        <w:t>?</w:t>
      </w:r>
    </w:p>
    <w:p w14:paraId="636DC2FA" w14:textId="59263DC5" w:rsidR="009749D9" w:rsidRDefault="00802ADF" w:rsidP="009749D9">
      <w:pPr>
        <w:pStyle w:val="ListParagraph"/>
        <w:numPr>
          <w:ilvl w:val="0"/>
          <w:numId w:val="2"/>
        </w:numPr>
      </w:pPr>
      <w:r>
        <w:t>According to R</w:t>
      </w:r>
      <w:r w:rsidRPr="00802ADF">
        <w:rPr>
          <w:vertAlign w:val="superscript"/>
        </w:rPr>
        <w:t>2</w:t>
      </w:r>
      <w:r>
        <w:t>, t</w:t>
      </w:r>
      <w:r w:rsidRPr="00802ADF">
        <w:t>he dummy variables explain only 2.1% of the variation in log(</w:t>
      </w:r>
      <w:proofErr w:type="spellStart"/>
      <w:r w:rsidRPr="00802ADF">
        <w:rPr>
          <w:i/>
          <w:iCs/>
        </w:rPr>
        <w:t>durat</w:t>
      </w:r>
      <w:proofErr w:type="spellEnd"/>
      <w:r w:rsidRPr="00802ADF">
        <w:t>)</w:t>
      </w:r>
      <w:r>
        <w:t>, why?</w:t>
      </w:r>
    </w:p>
    <w:p w14:paraId="10D7AEC4" w14:textId="61D681B7" w:rsidR="009749D9" w:rsidRPr="00802ADF" w:rsidRDefault="009749D9" w:rsidP="009749D9">
      <w:pPr>
        <w:rPr>
          <w:color w:val="0070C0"/>
        </w:rPr>
      </w:pPr>
      <w:r w:rsidRPr="00802ADF">
        <w:rPr>
          <w:color w:val="0070C0"/>
        </w:rPr>
        <w:t>Answer:</w:t>
      </w:r>
    </w:p>
    <w:p w14:paraId="7D3B446F" w14:textId="09FCD6B1" w:rsidR="009749D9" w:rsidRPr="00802ADF" w:rsidRDefault="009749D9" w:rsidP="009749D9">
      <w:pPr>
        <w:pStyle w:val="ListParagraph"/>
        <w:numPr>
          <w:ilvl w:val="0"/>
          <w:numId w:val="3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hAnsi="Cambria Math"/>
                    <w:color w:val="0070C0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>=.191</m:t>
        </m:r>
      </m:oMath>
      <w:r w:rsidRPr="00802ADF">
        <w:rPr>
          <w:color w:val="0070C0"/>
        </w:rPr>
        <w:t xml:space="preserve">, </w:t>
      </w:r>
      <w:r w:rsidRPr="00802ADF">
        <w:rPr>
          <w:color w:val="0070C0"/>
        </w:rPr>
        <w:t>which implies that the average length of time on workers’ compensation for high earners increased by about 19% due to the increased earnings cap.</w:t>
      </w:r>
    </w:p>
    <w:p w14:paraId="43C50D0E" w14:textId="07DC1B8F" w:rsidR="009749D9" w:rsidRPr="00802ADF" w:rsidRDefault="009749D9" w:rsidP="009749D9">
      <w:pPr>
        <w:pStyle w:val="ListParagraph"/>
        <w:numPr>
          <w:ilvl w:val="0"/>
          <w:numId w:val="3"/>
        </w:numPr>
        <w:rPr>
          <w:color w:val="0070C0"/>
        </w:rPr>
      </w:pPr>
      <w:r w:rsidRPr="00802ADF">
        <w:rPr>
          <w:color w:val="0070C0"/>
        </w:rPr>
        <w:t xml:space="preserve">The coefficient on </w:t>
      </w:r>
      <w:proofErr w:type="spellStart"/>
      <w:r w:rsidRPr="00802ADF">
        <w:rPr>
          <w:i/>
          <w:iCs/>
          <w:color w:val="0070C0"/>
        </w:rPr>
        <w:t>afchnge</w:t>
      </w:r>
      <w:proofErr w:type="spellEnd"/>
      <w:r w:rsidRPr="00802ADF">
        <w:rPr>
          <w:color w:val="0070C0"/>
        </w:rPr>
        <w:t xml:space="preserve"> is small and statistically insignificant</w:t>
      </w:r>
      <w:r w:rsidRPr="00802ADF">
        <w:rPr>
          <w:color w:val="0070C0"/>
        </w:rPr>
        <w:t xml:space="preserve"> because</w:t>
      </w:r>
      <w:r w:rsidRPr="00802ADF">
        <w:rPr>
          <w:color w:val="0070C0"/>
        </w:rPr>
        <w:t xml:space="preserve"> as is expected, the increase in the earnings cap has no effect on duration for low-income workers.</w:t>
      </w:r>
    </w:p>
    <w:p w14:paraId="2219E650" w14:textId="21218ABD" w:rsidR="00802ADF" w:rsidRPr="00802ADF" w:rsidRDefault="00802ADF" w:rsidP="00802ADF">
      <w:pPr>
        <w:pStyle w:val="ListParagraph"/>
        <w:numPr>
          <w:ilvl w:val="0"/>
          <w:numId w:val="3"/>
        </w:numPr>
        <w:rPr>
          <w:color w:val="0070C0"/>
        </w:rPr>
      </w:pPr>
      <w:r w:rsidRPr="00802ADF">
        <w:rPr>
          <w:rFonts w:hint="eastAsia"/>
          <w:color w:val="0070C0"/>
        </w:rPr>
        <w:t xml:space="preserve">The coefficient on </w:t>
      </w:r>
      <w:proofErr w:type="spellStart"/>
      <w:r w:rsidRPr="00802ADF">
        <w:rPr>
          <w:rFonts w:hint="eastAsia"/>
          <w:i/>
          <w:iCs/>
          <w:color w:val="0070C0"/>
        </w:rPr>
        <w:t>highearn</w:t>
      </w:r>
      <w:proofErr w:type="spellEnd"/>
      <w:r w:rsidRPr="00802ADF">
        <w:rPr>
          <w:rFonts w:hint="eastAsia"/>
          <w:color w:val="0070C0"/>
        </w:rPr>
        <w:t xml:space="preserve"> shows that, in the absence of any change in the earnings cap, high earners spend much more time</w:t>
      </w:r>
      <w:r w:rsidRPr="00802ADF">
        <w:rPr>
          <w:rFonts w:hint="eastAsia"/>
          <w:color w:val="0070C0"/>
        </w:rPr>
        <w:t xml:space="preserve"> </w:t>
      </w:r>
      <w:r w:rsidRPr="00802ADF">
        <w:rPr>
          <w:color w:val="0070C0"/>
        </w:rPr>
        <w:t xml:space="preserve">– </w:t>
      </w:r>
      <w:r w:rsidRPr="00802ADF">
        <w:rPr>
          <w:rFonts w:hint="eastAsia"/>
          <w:color w:val="0070C0"/>
        </w:rPr>
        <w:t>on the order of 2</w:t>
      </w:r>
      <w:r w:rsidRPr="00802ADF">
        <w:rPr>
          <w:color w:val="0070C0"/>
        </w:rPr>
        <w:t>5</w:t>
      </w:r>
      <w:r w:rsidRPr="00802ADF">
        <w:rPr>
          <w:rFonts w:hint="eastAsia"/>
          <w:color w:val="0070C0"/>
        </w:rPr>
        <w:t>.</w:t>
      </w:r>
      <w:r w:rsidRPr="00802ADF">
        <w:rPr>
          <w:color w:val="0070C0"/>
        </w:rPr>
        <w:t>6</w:t>
      </w:r>
      <w:r w:rsidRPr="00802ADF">
        <w:rPr>
          <w:rFonts w:hint="eastAsia"/>
          <w:color w:val="0070C0"/>
        </w:rPr>
        <w:t xml:space="preserve">% on average </w:t>
      </w:r>
      <w:r w:rsidRPr="00802ADF">
        <w:rPr>
          <w:color w:val="0070C0"/>
        </w:rPr>
        <w:t xml:space="preserve">– </w:t>
      </w:r>
      <w:r w:rsidRPr="00802ADF">
        <w:rPr>
          <w:rFonts w:hint="eastAsia"/>
          <w:color w:val="0070C0"/>
        </w:rPr>
        <w:t>on workers</w:t>
      </w:r>
      <w:r w:rsidRPr="00802ADF">
        <w:rPr>
          <w:color w:val="0070C0"/>
        </w:rPr>
        <w:t xml:space="preserve">’ </w:t>
      </w:r>
      <w:r w:rsidRPr="00802ADF">
        <w:rPr>
          <w:rFonts w:hint="eastAsia"/>
          <w:color w:val="0070C0"/>
        </w:rPr>
        <w:t>compensation.</w:t>
      </w:r>
    </w:p>
    <w:p w14:paraId="1686996F" w14:textId="12A966DE" w:rsidR="00802ADF" w:rsidRPr="00802ADF" w:rsidRDefault="00802ADF" w:rsidP="00802ADF">
      <w:pPr>
        <w:pStyle w:val="ListParagraph"/>
        <w:numPr>
          <w:ilvl w:val="0"/>
          <w:numId w:val="3"/>
        </w:numPr>
        <w:rPr>
          <w:color w:val="0070C0"/>
        </w:rPr>
      </w:pPr>
      <w:r w:rsidRPr="00802ADF">
        <w:rPr>
          <w:color w:val="0070C0"/>
        </w:rPr>
        <w:t>The dummy variables explain only 2.1% of the variation in log(</w:t>
      </w:r>
      <w:proofErr w:type="spellStart"/>
      <w:r w:rsidRPr="00802ADF">
        <w:rPr>
          <w:i/>
          <w:iCs/>
          <w:color w:val="0070C0"/>
        </w:rPr>
        <w:t>durat</w:t>
      </w:r>
      <w:proofErr w:type="spellEnd"/>
      <w:r w:rsidRPr="00802ADF">
        <w:rPr>
          <w:color w:val="0070C0"/>
        </w:rPr>
        <w:t>)</w:t>
      </w:r>
      <w:r w:rsidRPr="00802ADF">
        <w:rPr>
          <w:color w:val="0070C0"/>
        </w:rPr>
        <w:t xml:space="preserve"> because</w:t>
      </w:r>
      <w:r w:rsidRPr="00802ADF">
        <w:rPr>
          <w:color w:val="0070C0"/>
        </w:rPr>
        <w:t xml:space="preserve"> there are clearly many factors, including severity of the injury, that affect how long someone receives workers’ compensation.</w:t>
      </w:r>
    </w:p>
    <w:sectPr w:rsidR="00802ADF" w:rsidRPr="0080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0CBE"/>
    <w:multiLevelType w:val="hybridMultilevel"/>
    <w:tmpl w:val="333264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7F2"/>
    <w:multiLevelType w:val="hybridMultilevel"/>
    <w:tmpl w:val="95B00F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D59FB"/>
    <w:multiLevelType w:val="hybridMultilevel"/>
    <w:tmpl w:val="6B40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006729">
    <w:abstractNumId w:val="2"/>
  </w:num>
  <w:num w:numId="2" w16cid:durableId="358970008">
    <w:abstractNumId w:val="0"/>
  </w:num>
  <w:num w:numId="3" w16cid:durableId="152841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F0"/>
    <w:rsid w:val="00041217"/>
    <w:rsid w:val="00802ADF"/>
    <w:rsid w:val="00844260"/>
    <w:rsid w:val="009749D9"/>
    <w:rsid w:val="00A14FF0"/>
    <w:rsid w:val="00B2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C2BA"/>
  <w15:chartTrackingRefBased/>
  <w15:docId w15:val="{3CB35F1B-CF15-47CE-BB0A-FA66671B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Quanquan</dc:creator>
  <cp:keywords/>
  <dc:description/>
  <cp:lastModifiedBy>Liu, Quanquan</cp:lastModifiedBy>
  <cp:revision>3</cp:revision>
  <dcterms:created xsi:type="dcterms:W3CDTF">2022-10-17T20:33:00Z</dcterms:created>
  <dcterms:modified xsi:type="dcterms:W3CDTF">2022-10-18T22:31:00Z</dcterms:modified>
</cp:coreProperties>
</file>