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20" w:space="1" w:color="1A3A5C"/>
        </w:pBdr>
      </w:pPr>
      <w:r>
        <w:rPr>
          <w:b/>
          <w:color w:val="1A3A5C"/>
          <w:sz w:val="40"/>
        </w:rPr>
        <w:t>CREDIT APPRAISAL MEMORANDUM (CAM)</w:t>
      </w:r>
    </w:p>
    <w:p>
      <w:pPr>
        <w:jc w:val="center"/>
      </w:pPr>
      <w:r>
        <w:rPr>
          <w:b/>
          <w:color w:val="C00000"/>
          <w:sz w:val="18"/>
        </w:rPr>
        <w:t>CONFIDENTIAL — FOR INTERNAL USE ONLY</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3A5C"/>
          </w:tcPr>
          <w:p>
            <w:r>
              <w:rPr>
                <w:b/>
                <w:color w:val="FFFFFF"/>
                <w:sz w:val="18"/>
              </w:rPr>
              <w:t>Company</w:t>
            </w:r>
          </w:p>
        </w:tc>
        <w:tc>
          <w:tcPr>
            <w:tcW w:type="dxa" w:w="2268"/>
            <w:shd w:val="clear" w:color="auto" w:fill="F2F2F2"/>
          </w:tcPr>
          <w:p>
            <w:r>
              <w:rPr>
                <w:b w:val="0"/>
                <w:sz w:val="18"/>
              </w:rPr>
              <w:t>Mumbai Pharma Industries Pvt Ltd</w:t>
            </w:r>
          </w:p>
        </w:tc>
        <w:tc>
          <w:tcPr>
            <w:tcW w:type="dxa" w:w="2268"/>
            <w:shd w:val="clear" w:color="auto" w:fill="1A3A5C"/>
          </w:tcPr>
          <w:p>
            <w:r>
              <w:rPr>
                <w:b/>
                <w:color w:val="FFFFFF"/>
                <w:sz w:val="18"/>
              </w:rPr>
              <w:t>CIN</w:t>
            </w:r>
          </w:p>
        </w:tc>
        <w:tc>
          <w:tcPr>
            <w:tcW w:type="dxa" w:w="2268"/>
            <w:shd w:val="clear" w:color="auto" w:fill="F2F2F2"/>
          </w:tcPr>
          <w:p>
            <w:r>
              <w:rPr>
                <w:b w:val="0"/>
                <w:sz w:val="18"/>
              </w:rPr>
              <w:t>U24230MH2008PTC182345</w:t>
            </w:r>
          </w:p>
        </w:tc>
      </w:tr>
      <w:tr>
        <w:tc>
          <w:tcPr>
            <w:tcW w:type="dxa" w:w="2268"/>
            <w:shd w:val="clear" w:color="auto" w:fill="1A3A5C"/>
          </w:tcPr>
          <w:p>
            <w:r>
              <w:rPr>
                <w:b/>
                <w:color w:val="FFFFFF"/>
                <w:sz w:val="18"/>
              </w:rPr>
              <w:t>Sector</w:t>
            </w:r>
          </w:p>
        </w:tc>
        <w:tc>
          <w:tcPr>
            <w:tcW w:type="dxa" w:w="2268"/>
            <w:shd w:val="clear" w:color="auto" w:fill="F2F2F2"/>
          </w:tcPr>
          <w:p>
            <w:r>
              <w:rPr>
                <w:b w:val="0"/>
                <w:sz w:val="18"/>
              </w:rPr>
              <w:t>Pharma</w:t>
            </w:r>
          </w:p>
        </w:tc>
        <w:tc>
          <w:tcPr>
            <w:tcW w:type="dxa" w:w="2268"/>
            <w:shd w:val="clear" w:color="auto" w:fill="1A3A5C"/>
          </w:tcPr>
          <w:p>
            <w:r>
              <w:rPr>
                <w:b/>
                <w:color w:val="FFFFFF"/>
                <w:sz w:val="18"/>
              </w:rPr>
              <w:t>Promoter</w:t>
            </w:r>
          </w:p>
        </w:tc>
        <w:tc>
          <w:tcPr>
            <w:tcW w:type="dxa" w:w="2268"/>
            <w:shd w:val="clear" w:color="auto" w:fill="F2F2F2"/>
          </w:tcPr>
          <w:p>
            <w:r>
              <w:rPr>
                <w:b w:val="0"/>
                <w:sz w:val="18"/>
              </w:rPr>
              <w:t>Vikram Shah</w:t>
            </w:r>
          </w:p>
        </w:tc>
      </w:tr>
      <w:tr>
        <w:tc>
          <w:tcPr>
            <w:tcW w:type="dxa" w:w="2268"/>
            <w:shd w:val="clear" w:color="auto" w:fill="1A3A5C"/>
          </w:tcPr>
          <w:p>
            <w:r>
              <w:rPr>
                <w:b/>
                <w:color w:val="FFFFFF"/>
                <w:sz w:val="18"/>
              </w:rPr>
              <w:t>Memo Date</w:t>
            </w:r>
          </w:p>
        </w:tc>
        <w:tc>
          <w:tcPr>
            <w:tcW w:type="dxa" w:w="2268"/>
            <w:shd w:val="clear" w:color="auto" w:fill="F2F2F2"/>
          </w:tcPr>
          <w:p>
            <w:r>
              <w:rPr>
                <w:b w:val="0"/>
                <w:sz w:val="18"/>
              </w:rPr>
              <w:t>12 March 2026</w:t>
            </w:r>
          </w:p>
        </w:tc>
        <w:tc>
          <w:tcPr>
            <w:tcW w:type="dxa" w:w="2268"/>
            <w:shd w:val="clear" w:color="auto" w:fill="1A3A5C"/>
          </w:tcPr>
          <w:p>
            <w:r>
              <w:rPr>
                <w:b/>
                <w:color w:val="FFFFFF"/>
                <w:sz w:val="18"/>
              </w:rPr>
              <w:t>Ref No.</w:t>
            </w:r>
          </w:p>
        </w:tc>
        <w:tc>
          <w:tcPr>
            <w:tcW w:type="dxa" w:w="2268"/>
            <w:shd w:val="clear" w:color="auto" w:fill="F2F2F2"/>
          </w:tcPr>
          <w:p>
            <w:r>
              <w:rPr>
                <w:b w:val="0"/>
                <w:sz w:val="18"/>
              </w:rPr>
              <w:t>CAM/20260312/001</w:t>
            </w:r>
          </w:p>
        </w:tc>
      </w:tr>
    </w:tbl>
    <w:p>
      <w:pPr>
        <w:spacing w:after="40"/>
      </w:pPr>
    </w:p>
    <w:tbl>
      <w:tblPr>
        <w:tblW w:type="auto" w:w="0"/>
        <w:tblLook w:firstColumn="1" w:firstRow="1" w:lastColumn="0" w:lastRow="0" w:noHBand="0" w:noVBand="1" w:val="04A0"/>
      </w:tblPr>
      <w:tblGrid>
        <w:gridCol w:w="3024"/>
        <w:gridCol w:w="3024"/>
        <w:gridCol w:w="3024"/>
      </w:tblGrid>
      <w:tr>
        <w:tc>
          <w:tcPr>
            <w:tcW w:type="dxa" w:w="3024"/>
            <w:shd w:val="clear" w:color="auto" w:fill="107C41"/>
            <w:vAlign w:val="center"/>
          </w:tcPr>
          <w:p>
            <w:pPr>
              <w:jc w:val="center"/>
            </w:pPr>
            <w:r>
              <w:rPr>
                <w:sz w:val="16"/>
              </w:rPr>
              <w:t>DECISION</w:t>
              <w:br/>
            </w:r>
            <w:r>
              <w:rPr>
                <w:b/>
                <w:color w:val="FFFFFF"/>
                <w:sz w:val="28"/>
              </w:rPr>
              <w:t>CONDITIONAL APPROVE</w:t>
            </w:r>
          </w:p>
        </w:tc>
        <w:tc>
          <w:tcPr>
            <w:tcW w:type="dxa" w:w="3024"/>
            <w:shd w:val="clear" w:color="auto" w:fill="1A3A5C"/>
            <w:vAlign w:val="center"/>
          </w:tcPr>
          <w:p>
            <w:pPr>
              <w:jc w:val="center"/>
            </w:pPr>
            <w:r>
              <w:rPr>
                <w:sz w:val="16"/>
              </w:rPr>
              <w:t>RECOMMENDED LIMIT</w:t>
              <w:br/>
            </w:r>
            <w:r>
              <w:rPr>
                <w:b/>
                <w:color w:val="FFFFFF"/>
                <w:sz w:val="28"/>
              </w:rPr>
              <w:t>INR 10.8 Crore</w:t>
            </w:r>
          </w:p>
        </w:tc>
        <w:tc>
          <w:tcPr>
            <w:tcW w:type="dxa" w:w="3024"/>
            <w:shd w:val="clear" w:color="auto" w:fill="1A3A5C"/>
            <w:vAlign w:val="center"/>
          </w:tcPr>
          <w:p>
            <w:pPr>
              <w:jc w:val="center"/>
            </w:pPr>
            <w:r>
              <w:rPr>
                <w:sz w:val="16"/>
              </w:rPr>
              <w:t>INTEREST RATE</w:t>
              <w:br/>
            </w:r>
            <w:r>
              <w:rPr>
                <w:b/>
                <w:color w:val="FFFFFF"/>
                <w:sz w:val="28"/>
              </w:rPr>
              <w:t>11.25% p.a. (MCLR (8.5%) + Spread (2.75%))</w:t>
            </w:r>
          </w:p>
        </w:tc>
      </w:tr>
    </w:tbl>
    <w:p>
      <w:pPr>
        <w:spacing w:after="40"/>
      </w:pPr>
    </w:p>
    <w:p>
      <w:pPr>
        <w:spacing w:before="320" w:after="80"/>
        <w:pBdr>
          <w:bottom w:val="single" w:sz="16" w:space="1" w:color="1A3A5C"/>
        </w:pBdr>
      </w:pPr>
      <w:r>
        <w:rPr>
          <w:b/>
          <w:color w:val="1A3A5C"/>
          <w:sz w:val="24"/>
        </w:rPr>
        <w:t>1. EXECUTIVE SUMMARY</w:t>
      </w:r>
    </w:p>
    <w:p>
      <w:pPr>
        <w:spacing w:after="80"/>
      </w:pPr>
      <w:r>
        <w:rPr>
          <w:sz w:val="20"/>
        </w:rPr>
        <w:t>Mumbai Pharma Industries Pvt Ltd is a Pharma company with reported revenue of INR 67.4 Cr (FY2024). The company has applied for a credit facility of INR 18.0 Cr. After comprehensive analysis of financial documents, GST data, bank statements, and AI-powered secondary research (news, MCA, eCourts, BSE, RBI), the overall credit score is 66.6/100, placing it in the MODERATE RISK band.</w:t>
      </w:r>
    </w:p>
    <w:p>
      <w:pPr>
        <w:spacing w:before="320" w:after="80"/>
        <w:pBdr>
          <w:bottom w:val="single" w:sz="16" w:space="1" w:color="1A3A5C"/>
        </w:pBdr>
      </w:pPr>
      <w:r>
        <w:rPr>
          <w:b/>
          <w:color w:val="1A3A5C"/>
          <w:sz w:val="24"/>
        </w:rPr>
        <w:t>2. COMPANY &amp; PROMOTER PROFILE</w:t>
      </w:r>
    </w:p>
    <w:p>
      <w:pPr>
        <w:spacing w:after="40"/>
      </w:pPr>
      <w:r>
        <w:rPr>
          <w:b/>
          <w:color w:val="808080"/>
          <w:sz w:val="20"/>
        </w:rPr>
        <w:t xml:space="preserve">Legal Name:  </w:t>
      </w:r>
      <w:r>
        <w:rPr>
          <w:sz w:val="20"/>
        </w:rPr>
        <w:t>Mumbai Pharma Industries Pvt Ltd</w:t>
      </w:r>
    </w:p>
    <w:p>
      <w:pPr>
        <w:spacing w:after="40"/>
      </w:pPr>
      <w:r>
        <w:rPr>
          <w:b/>
          <w:color w:val="808080"/>
          <w:sz w:val="20"/>
        </w:rPr>
        <w:t xml:space="preserve">CIN:  </w:t>
      </w:r>
      <w:r>
        <w:rPr>
          <w:sz w:val="20"/>
        </w:rPr>
        <w:t>U24230MH2008PTC182345</w:t>
      </w:r>
    </w:p>
    <w:p>
      <w:pPr>
        <w:spacing w:after="40"/>
      </w:pPr>
      <w:r>
        <w:rPr>
          <w:b/>
          <w:color w:val="808080"/>
          <w:sz w:val="20"/>
        </w:rPr>
        <w:t xml:space="preserve">Sector / Industry:  </w:t>
      </w:r>
      <w:r>
        <w:rPr>
          <w:sz w:val="20"/>
        </w:rPr>
        <w:t>Pharma</w:t>
      </w:r>
    </w:p>
    <w:p>
      <w:pPr>
        <w:spacing w:after="40"/>
      </w:pPr>
      <w:r>
        <w:rPr>
          <w:b/>
          <w:color w:val="808080"/>
          <w:sz w:val="20"/>
        </w:rPr>
        <w:t xml:space="preserve">Year of Incorporation:  </w:t>
      </w:r>
      <w:r>
        <w:rPr>
          <w:sz w:val="20"/>
        </w:rPr>
        <w:t>2008</w:t>
      </w:r>
    </w:p>
    <w:p>
      <w:pPr>
        <w:spacing w:after="40"/>
      </w:pPr>
      <w:r>
        <w:rPr>
          <w:b/>
          <w:color w:val="808080"/>
          <w:sz w:val="20"/>
        </w:rPr>
        <w:t xml:space="preserve">Key Promoter / Director:  </w:t>
      </w:r>
      <w:r>
        <w:rPr>
          <w:sz w:val="20"/>
        </w:rPr>
        <w:t>Vikram Shah</w:t>
      </w:r>
    </w:p>
    <w:p>
      <w:pPr>
        <w:spacing w:after="40"/>
      </w:pPr>
      <w:r>
        <w:rPr>
          <w:b/>
          <w:color w:val="808080"/>
          <w:sz w:val="20"/>
        </w:rPr>
        <w:t xml:space="preserve">Employee Strength:  </w:t>
      </w:r>
      <w:r>
        <w:rPr>
          <w:sz w:val="20"/>
        </w:rPr>
        <w:t>312</w:t>
      </w:r>
    </w:p>
    <w:p>
      <w:pPr>
        <w:spacing w:after="40"/>
      </w:pPr>
      <w:r>
        <w:rPr>
          <w:b/>
          <w:color w:val="808080"/>
          <w:sz w:val="20"/>
        </w:rPr>
        <w:t xml:space="preserve">MCA Status:  </w:t>
      </w:r>
      <w:r>
        <w:rPr>
          <w:sz w:val="20"/>
        </w:rPr>
        <w:t>Unknown</w:t>
      </w:r>
    </w:p>
    <w:p>
      <w:pPr>
        <w:spacing w:after="40"/>
      </w:pPr>
      <w:r>
        <w:rPr>
          <w:b/>
          <w:color w:val="808080"/>
          <w:sz w:val="20"/>
        </w:rPr>
        <w:t xml:space="preserve">BSE Listed:  </w:t>
      </w:r>
      <w:r>
        <w:rPr>
          <w:sz w:val="20"/>
        </w:rPr>
        <w:t>No / Unlisted</w:t>
      </w:r>
    </w:p>
    <w:p>
      <w:pPr>
        <w:spacing w:before="320" w:after="80"/>
        <w:pBdr>
          <w:bottom w:val="single" w:sz="16" w:space="1" w:color="1A3A5C"/>
        </w:pBdr>
      </w:pPr>
      <w:r>
        <w:rPr>
          <w:b/>
          <w:color w:val="1A3A5C"/>
          <w:sz w:val="24"/>
        </w:rPr>
        <w:t>3. FINANCIAL ANALYSIS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A5C"/>
          </w:tcPr>
          <w:p>
            <w:r>
              <w:rPr>
                <w:b/>
                <w:color w:val="FFFFFF"/>
                <w:sz w:val="18"/>
              </w:rPr>
              <w:t>Metric</w:t>
            </w:r>
          </w:p>
        </w:tc>
        <w:tc>
          <w:tcPr>
            <w:tcW w:type="dxa" w:w="3024"/>
            <w:shd w:val="clear" w:color="auto" w:fill="1A3A5C"/>
          </w:tcPr>
          <w:p>
            <w:r>
              <w:rPr>
                <w:b/>
                <w:color w:val="FFFFFF"/>
                <w:sz w:val="18"/>
              </w:rPr>
              <w:t>Value</w:t>
            </w:r>
          </w:p>
        </w:tc>
        <w:tc>
          <w:tcPr>
            <w:tcW w:type="dxa" w:w="3024"/>
            <w:shd w:val="clear" w:color="auto" w:fill="1A3A5C"/>
          </w:tcPr>
          <w:p>
            <w:r>
              <w:rPr>
                <w:b/>
                <w:color w:val="FFFFFF"/>
                <w:sz w:val="18"/>
              </w:rPr>
              <w:t>Status</w:t>
            </w:r>
          </w:p>
        </w:tc>
      </w:tr>
      <w:tr>
        <w:tc>
          <w:tcPr>
            <w:tcW w:type="dxa" w:w="3024"/>
          </w:tcPr>
          <w:p>
            <w:r>
              <w:rPr>
                <w:sz w:val="18"/>
              </w:rPr>
              <w:t>Revenue</w:t>
            </w:r>
          </w:p>
        </w:tc>
        <w:tc>
          <w:tcPr>
            <w:tcW w:type="dxa" w:w="3024"/>
          </w:tcPr>
          <w:p>
            <w:r>
              <w:rPr>
                <w:sz w:val="18"/>
              </w:rPr>
              <w:t>INR 67.4 Cr</w:t>
            </w:r>
          </w:p>
        </w:tc>
        <w:tc>
          <w:tcPr>
            <w:tcW w:type="dxa" w:w="3024"/>
            <w:shd w:val="clear" w:color="auto" w:fill="F0FFF4"/>
          </w:tcPr>
          <w:p>
            <w:r>
              <w:rPr>
                <w:b/>
                <w:color w:val="107C41"/>
                <w:sz w:val="18"/>
              </w:rPr>
              <w:t>Healthy</w:t>
            </w:r>
          </w:p>
        </w:tc>
      </w:tr>
      <w:tr>
        <w:tc>
          <w:tcPr>
            <w:tcW w:type="dxa" w:w="3024"/>
          </w:tcPr>
          <w:p>
            <w:r>
              <w:rPr>
                <w:sz w:val="18"/>
              </w:rPr>
              <w:t>Net Profit Margin</w:t>
            </w:r>
          </w:p>
        </w:tc>
        <w:tc>
          <w:tcPr>
            <w:tcW w:type="dxa" w:w="3024"/>
          </w:tcPr>
          <w:p>
            <w:r>
              <w:rPr>
                <w:sz w:val="18"/>
              </w:rPr>
              <w:t>5.2%</w:t>
            </w:r>
          </w:p>
        </w:tc>
        <w:tc>
          <w:tcPr>
            <w:tcW w:type="dxa" w:w="3024"/>
            <w:shd w:val="clear" w:color="auto" w:fill="FFF8E1"/>
          </w:tcPr>
          <w:p>
            <w:r>
              <w:rPr>
                <w:b/>
                <w:color w:val="FF8C00"/>
                <w:sz w:val="18"/>
              </w:rPr>
              <w:t>Watch</w:t>
            </w:r>
          </w:p>
        </w:tc>
      </w:tr>
      <w:tr>
        <w:tc>
          <w:tcPr>
            <w:tcW w:type="dxa" w:w="3024"/>
          </w:tcPr>
          <w:p>
            <w:r>
              <w:rPr>
                <w:sz w:val="18"/>
              </w:rPr>
              <w:t>EBITDA</w:t>
            </w:r>
          </w:p>
        </w:tc>
        <w:tc>
          <w:tcPr>
            <w:tcW w:type="dxa" w:w="3024"/>
          </w:tcPr>
          <w:p>
            <w:r>
              <w:rPr>
                <w:sz w:val="18"/>
              </w:rPr>
              <w:t>INR 9.1 Cr</w:t>
            </w:r>
          </w:p>
        </w:tc>
        <w:tc>
          <w:tcPr>
            <w:tcW w:type="dxa" w:w="3024"/>
            <w:shd w:val="clear" w:color="auto" w:fill="F0FFF4"/>
          </w:tcPr>
          <w:p>
            <w:r>
              <w:rPr>
                <w:b/>
                <w:color w:val="107C41"/>
                <w:sz w:val="18"/>
              </w:rPr>
              <w:t>Healthy</w:t>
            </w:r>
          </w:p>
        </w:tc>
      </w:tr>
      <w:tr>
        <w:tc>
          <w:tcPr>
            <w:tcW w:type="dxa" w:w="3024"/>
          </w:tcPr>
          <w:p>
            <w:r>
              <w:rPr>
                <w:sz w:val="18"/>
              </w:rPr>
              <w:t>Debt / Equity Ratio</w:t>
            </w:r>
          </w:p>
        </w:tc>
        <w:tc>
          <w:tcPr>
            <w:tcW w:type="dxa" w:w="3024"/>
          </w:tcPr>
          <w:p>
            <w:r>
              <w:rPr>
                <w:sz w:val="18"/>
              </w:rPr>
              <w:t>1.85x</w:t>
            </w:r>
          </w:p>
        </w:tc>
        <w:tc>
          <w:tcPr>
            <w:tcW w:type="dxa" w:w="3024"/>
            <w:shd w:val="clear" w:color="auto" w:fill="FFF0F0"/>
          </w:tcPr>
          <w:p>
            <w:r>
              <w:rPr>
                <w:b/>
                <w:color w:val="C00000"/>
                <w:sz w:val="18"/>
              </w:rPr>
              <w:t>Risk</w:t>
            </w:r>
          </w:p>
        </w:tc>
      </w:tr>
      <w:tr>
        <w:tc>
          <w:tcPr>
            <w:tcW w:type="dxa" w:w="3024"/>
          </w:tcPr>
          <w:p>
            <w:r>
              <w:rPr>
                <w:sz w:val="18"/>
              </w:rPr>
              <w:t>Current Ratio</w:t>
            </w:r>
          </w:p>
        </w:tc>
        <w:tc>
          <w:tcPr>
            <w:tcW w:type="dxa" w:w="3024"/>
          </w:tcPr>
          <w:p>
            <w:r>
              <w:rPr>
                <w:sz w:val="18"/>
              </w:rPr>
              <w:t>1.22</w:t>
            </w:r>
          </w:p>
        </w:tc>
        <w:tc>
          <w:tcPr>
            <w:tcW w:type="dxa" w:w="3024"/>
            <w:shd w:val="clear" w:color="auto" w:fill="FFF8E1"/>
          </w:tcPr>
          <w:p>
            <w:r>
              <w:rPr>
                <w:b/>
                <w:color w:val="FF8C00"/>
                <w:sz w:val="18"/>
              </w:rPr>
              <w:t>Watch</w:t>
            </w:r>
          </w:p>
        </w:tc>
      </w:tr>
      <w:tr>
        <w:tc>
          <w:tcPr>
            <w:tcW w:type="dxa" w:w="3024"/>
          </w:tcPr>
          <w:p>
            <w:r>
              <w:rPr>
                <w:sz w:val="18"/>
              </w:rPr>
              <w:t>GST Compliance</w:t>
            </w:r>
          </w:p>
        </w:tc>
        <w:tc>
          <w:tcPr>
            <w:tcW w:type="dxa" w:w="3024"/>
          </w:tcPr>
          <w:p>
            <w:r>
              <w:rPr>
                <w:sz w:val="18"/>
              </w:rPr>
              <w:t>100.0%</w:t>
            </w:r>
          </w:p>
        </w:tc>
        <w:tc>
          <w:tcPr>
            <w:tcW w:type="dxa" w:w="3024"/>
            <w:shd w:val="clear" w:color="auto" w:fill="F0FFF4"/>
          </w:tcPr>
          <w:p>
            <w:r>
              <w:rPr>
                <w:b/>
                <w:color w:val="107C41"/>
                <w:sz w:val="18"/>
              </w:rPr>
              <w:t>Healthy</w:t>
            </w:r>
          </w:p>
        </w:tc>
      </w:tr>
      <w:tr>
        <w:tc>
          <w:tcPr>
            <w:tcW w:type="dxa" w:w="3024"/>
          </w:tcPr>
          <w:p>
            <w:r>
              <w:rPr>
                <w:sz w:val="18"/>
              </w:rPr>
              <w:t>GST Declared Turnover</w:t>
            </w:r>
          </w:p>
        </w:tc>
        <w:tc>
          <w:tcPr>
            <w:tcW w:type="dxa" w:w="3024"/>
          </w:tcPr>
          <w:p>
            <w:r>
              <w:rPr>
                <w:sz w:val="18"/>
              </w:rPr>
              <w:t>INR 7.54 Cr</w:t>
            </w:r>
          </w:p>
        </w:tc>
        <w:tc>
          <w:tcPr>
            <w:tcW w:type="dxa" w:w="3024"/>
            <w:shd w:val="clear" w:color="auto" w:fill="F0FFF4"/>
          </w:tcPr>
          <w:p>
            <w:r>
              <w:rPr>
                <w:b/>
                <w:color w:val="107C41"/>
                <w:sz w:val="18"/>
              </w:rPr>
              <w:t>Healthy</w:t>
            </w:r>
          </w:p>
        </w:tc>
      </w:tr>
      <w:tr>
        <w:tc>
          <w:tcPr>
            <w:tcW w:type="dxa" w:w="3024"/>
          </w:tcPr>
          <w:p>
            <w:r>
              <w:rPr>
                <w:sz w:val="18"/>
              </w:rPr>
              <w:t>Bank Credits (12M)</w:t>
            </w:r>
          </w:p>
        </w:tc>
        <w:tc>
          <w:tcPr>
            <w:tcW w:type="dxa" w:w="3024"/>
          </w:tcPr>
          <w:p>
            <w:r>
              <w:rPr>
                <w:sz w:val="18"/>
              </w:rPr>
              <w:t>INR 5.18 Cr</w:t>
            </w:r>
          </w:p>
        </w:tc>
        <w:tc>
          <w:tcPr>
            <w:tcW w:type="dxa" w:w="3024"/>
            <w:shd w:val="clear" w:color="auto" w:fill="F0FFF4"/>
          </w:tcPr>
          <w:p>
            <w:r>
              <w:rPr>
                <w:b/>
                <w:color w:val="107C41"/>
                <w:sz w:val="18"/>
              </w:rPr>
              <w:t>Healthy</w:t>
            </w:r>
          </w:p>
        </w:tc>
      </w:tr>
    </w:tbl>
    <w:p>
      <w:pPr>
        <w:spacing w:after="40"/>
      </w:pPr>
    </w:p>
    <w:p>
      <w:pPr>
        <w:spacing w:before="200" w:after="60"/>
      </w:pPr>
      <w:r>
        <w:rPr>
          <w:b/>
          <w:color w:val="2E75B6"/>
          <w:sz w:val="22"/>
        </w:rPr>
        <w:t>3.1  GST vs Bank Statement Cross-Verification</w:t>
      </w:r>
    </w:p>
    <w:p>
      <w:r>
        <w:rPr>
          <w:b/>
          <w:color w:val="C00000"/>
          <w:sz w:val="20"/>
        </w:rPr>
        <w:t xml:space="preserve">[WARNING] REVENUE INFLATION RISK: </w:t>
      </w:r>
      <w:r>
        <w:rPr>
          <w:sz w:val="20"/>
        </w:rPr>
        <w:t>GST declared turnover (₹7.54Cr) exceeds bank credits (₹5.18Cr) by 45.6%. Possible revenue inflation — declared sales not reflecting in bank account.</w:t>
      </w:r>
    </w:p>
    <w:p>
      <w:pPr>
        <w:spacing w:before="320" w:after="80"/>
        <w:pBdr>
          <w:bottom w:val="single" w:sz="16" w:space="1" w:color="1A3A5C"/>
        </w:pBdr>
      </w:pPr>
      <w:r>
        <w:rPr>
          <w:b/>
          <w:color w:val="1A3A5C"/>
          <w:sz w:val="24"/>
        </w:rPr>
        <w:t>4. FIVE C'S OF CREDIT ASSESSMENT</w:t>
      </w:r>
    </w:p>
    <w:p>
      <w:pPr>
        <w:spacing w:after="80"/>
      </w:pPr>
      <w:r>
        <w:rPr>
          <w:sz w:val="20"/>
        </w:rPr>
        <w:t>The following assessment covers each of the Five C's of Credit with supporting evidence, a transparent score (out of 100), and a plain-English assessment. Weighted scores combine to produce the Overall Credit Score.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A3A5C"/>
          </w:tcPr>
          <w:p>
            <w:pPr>
              <w:jc w:val="center"/>
            </w:pPr>
            <w:r>
              <w:rPr>
                <w:b/>
                <w:color w:val="FFFFFF"/>
                <w:sz w:val="16"/>
              </w:rPr>
              <w:t>Character</w:t>
              <w:br/>
              <w:t>(20%)</w:t>
            </w:r>
          </w:p>
        </w:tc>
        <w:tc>
          <w:tcPr>
            <w:tcW w:type="dxa" w:w="1512"/>
            <w:shd w:val="clear" w:color="auto" w:fill="1A3A5C"/>
          </w:tcPr>
          <w:p>
            <w:pPr>
              <w:jc w:val="center"/>
            </w:pPr>
            <w:r>
              <w:rPr>
                <w:b/>
                <w:color w:val="FFFFFF"/>
                <w:sz w:val="16"/>
              </w:rPr>
              <w:t>Capacity</w:t>
              <w:br/>
              <w:t>(30%)</w:t>
            </w:r>
          </w:p>
        </w:tc>
        <w:tc>
          <w:tcPr>
            <w:tcW w:type="dxa" w:w="1512"/>
            <w:shd w:val="clear" w:color="auto" w:fill="1A3A5C"/>
          </w:tcPr>
          <w:p>
            <w:pPr>
              <w:jc w:val="center"/>
            </w:pPr>
            <w:r>
              <w:rPr>
                <w:b/>
                <w:color w:val="FFFFFF"/>
                <w:sz w:val="16"/>
              </w:rPr>
              <w:t>Capital</w:t>
              <w:br/>
              <w:t>(20%)</w:t>
            </w:r>
          </w:p>
        </w:tc>
        <w:tc>
          <w:tcPr>
            <w:tcW w:type="dxa" w:w="1512"/>
            <w:shd w:val="clear" w:color="auto" w:fill="1A3A5C"/>
          </w:tcPr>
          <w:p>
            <w:pPr>
              <w:jc w:val="center"/>
            </w:pPr>
            <w:r>
              <w:rPr>
                <w:b/>
                <w:color w:val="FFFFFF"/>
                <w:sz w:val="16"/>
              </w:rPr>
              <w:t>Collateral</w:t>
              <w:br/>
              <w:t>(15%)</w:t>
            </w:r>
          </w:p>
        </w:tc>
        <w:tc>
          <w:tcPr>
            <w:tcW w:type="dxa" w:w="1512"/>
            <w:shd w:val="clear" w:color="auto" w:fill="1A3A5C"/>
          </w:tcPr>
          <w:p>
            <w:pPr>
              <w:jc w:val="center"/>
            </w:pPr>
            <w:r>
              <w:rPr>
                <w:b/>
                <w:color w:val="FFFFFF"/>
                <w:sz w:val="16"/>
              </w:rPr>
              <w:t>Conditions</w:t>
              <w:br/>
              <w:t>(15%)</w:t>
            </w:r>
          </w:p>
        </w:tc>
        <w:tc>
          <w:tcPr>
            <w:tcW w:type="dxa" w:w="1512"/>
            <w:shd w:val="clear" w:color="auto" w:fill="2E75B6"/>
          </w:tcPr>
          <w:p>
            <w:pPr>
              <w:jc w:val="center"/>
            </w:pPr>
            <w:r>
              <w:rPr>
                <w:b/>
                <w:color w:val="FFFFFF"/>
                <w:sz w:val="16"/>
              </w:rPr>
              <w:t>OVERALL</w:t>
              <w:br/>
              <w:t>SCORE</w:t>
            </w:r>
          </w:p>
        </w:tc>
      </w:tr>
      <w:tr>
        <w:tc>
          <w:tcPr>
            <w:tcW w:type="dxa" w:w="1512"/>
            <w:shd w:val="clear" w:color="auto" w:fill="F0FFF4"/>
          </w:tcPr>
          <w:p>
            <w:pPr>
              <w:jc w:val="center"/>
            </w:pPr>
            <w:r>
              <w:rPr>
                <w:b/>
                <w:color w:val="107C41"/>
                <w:sz w:val="22"/>
              </w:rPr>
              <w:t>85/100</w:t>
            </w:r>
          </w:p>
        </w:tc>
        <w:tc>
          <w:tcPr>
            <w:tcW w:type="dxa" w:w="1512"/>
            <w:shd w:val="clear" w:color="auto" w:fill="FFF8E1"/>
          </w:tcPr>
          <w:p>
            <w:pPr>
              <w:jc w:val="center"/>
            </w:pPr>
            <w:r>
              <w:rPr>
                <w:b/>
                <w:color w:val="FF8C00"/>
                <w:sz w:val="22"/>
              </w:rPr>
              <w:t>62/100</w:t>
            </w:r>
          </w:p>
        </w:tc>
        <w:tc>
          <w:tcPr>
            <w:tcW w:type="dxa" w:w="1512"/>
            <w:shd w:val="clear" w:color="auto" w:fill="FFF0F0"/>
          </w:tcPr>
          <w:p>
            <w:pPr>
              <w:jc w:val="center"/>
            </w:pPr>
            <w:r>
              <w:rPr>
                <w:b/>
                <w:color w:val="C00000"/>
                <w:sz w:val="22"/>
              </w:rPr>
              <w:t>50/100</w:t>
            </w:r>
          </w:p>
        </w:tc>
        <w:tc>
          <w:tcPr>
            <w:tcW w:type="dxa" w:w="1512"/>
            <w:shd w:val="clear" w:color="auto" w:fill="F0FFF4"/>
          </w:tcPr>
          <w:p>
            <w:pPr>
              <w:jc w:val="center"/>
            </w:pPr>
            <w:r>
              <w:rPr>
                <w:b/>
                <w:color w:val="107C41"/>
                <w:sz w:val="22"/>
              </w:rPr>
              <w:t>80/100</w:t>
            </w:r>
          </w:p>
        </w:tc>
        <w:tc>
          <w:tcPr>
            <w:tcW w:type="dxa" w:w="1512"/>
            <w:shd w:val="clear" w:color="auto" w:fill="FFF8E1"/>
          </w:tcPr>
          <w:p>
            <w:pPr>
              <w:jc w:val="center"/>
            </w:pPr>
            <w:r>
              <w:rPr>
                <w:b/>
                <w:color w:val="FF8C00"/>
                <w:sz w:val="22"/>
              </w:rPr>
              <w:t>60/100</w:t>
            </w:r>
          </w:p>
        </w:tc>
        <w:tc>
          <w:tcPr>
            <w:tcW w:type="dxa" w:w="1512"/>
            <w:shd w:val="clear" w:color="auto" w:fill="FFF8E1"/>
          </w:tcPr>
          <w:p>
            <w:pPr>
              <w:jc w:val="center"/>
            </w:pPr>
            <w:r>
              <w:rPr>
                <w:b/>
                <w:color w:val="FF8C00"/>
                <w:sz w:val="26"/>
              </w:rPr>
              <w:t>66.6/100</w:t>
            </w:r>
          </w:p>
        </w:tc>
      </w:tr>
    </w:tbl>
    <w:p>
      <w:pPr>
        <w:spacing w:after="40"/>
      </w:pPr>
    </w:p>
    <w:p>
      <w:pPr>
        <w:spacing w:before="200" w:after="60"/>
      </w:pPr>
      <w:r>
        <w:rPr>
          <w:b/>
          <w:color w:val="2E75B6"/>
          <w:sz w:val="22"/>
        </w:rPr>
        <w:t>CHARACTER  —  Score: 85/100  (Weight: 20%)</w:t>
      </w:r>
    </w:p>
    <w:p>
      <w:pPr>
        <w:spacing w:after="80"/>
      </w:pPr>
      <w:r>
        <w:rPr>
          <w:b/>
          <w:color w:val="107C41"/>
          <w:sz w:val="22"/>
        </w:rPr>
        <w:t xml:space="preserve">  ▐▐▐▐▐▐▐▐░░  85/100  </w:t>
      </w:r>
    </w:p>
    <w:p>
      <w:pPr>
        <w:spacing w:after="60"/>
      </w:pPr>
      <w:r>
        <w:rPr>
          <w:b/>
          <w:color w:val="808080"/>
          <w:sz w:val="18"/>
        </w:rPr>
        <w:t xml:space="preserve">Definition: </w:t>
      </w:r>
      <w:r>
        <w:rPr>
          <w:sz w:val="18"/>
        </w:rPr>
        <w:t>Character assesses the willingness of the borrower to repay — promoter integrity, credit history, regulatory compliance, and litigation background.</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18"/>
              </w:rPr>
              <w:t>Data Point</w:t>
            </w:r>
          </w:p>
        </w:tc>
        <w:tc>
          <w:tcPr>
            <w:tcW w:type="dxa" w:w="4536"/>
            <w:shd w:val="clear" w:color="auto" w:fill="2E75B6"/>
          </w:tcPr>
          <w:p>
            <w:r>
              <w:rPr>
                <w:b/>
                <w:color w:val="FFFFFF"/>
                <w:sz w:val="18"/>
              </w:rPr>
              <w:t>Value</w:t>
            </w:r>
          </w:p>
        </w:tc>
      </w:tr>
      <w:tr>
        <w:tc>
          <w:tcPr>
            <w:tcW w:type="dxa" w:w="4536"/>
            <w:shd w:val="clear" w:color="auto" w:fill="F2F2F2"/>
          </w:tcPr>
          <w:p>
            <w:r>
              <w:rPr>
                <w:sz w:val="18"/>
              </w:rPr>
              <w:t>GST Compliance Rate</w:t>
            </w:r>
          </w:p>
        </w:tc>
        <w:tc>
          <w:tcPr>
            <w:tcW w:type="dxa" w:w="4536"/>
          </w:tcPr>
          <w:p>
            <w:r>
              <w:rPr>
                <w:sz w:val="18"/>
              </w:rPr>
              <w:t>100.0%</w:t>
            </w:r>
          </w:p>
        </w:tc>
      </w:tr>
      <w:tr>
        <w:tc>
          <w:tcPr>
            <w:tcW w:type="dxa" w:w="4536"/>
            <w:shd w:val="clear" w:color="auto" w:fill="F2F2F2"/>
          </w:tcPr>
          <w:p>
            <w:r>
              <w:rPr>
                <w:sz w:val="18"/>
              </w:rPr>
              <w:t>Litigation Risk (eCourts)</w:t>
            </w:r>
          </w:p>
        </w:tc>
        <w:tc>
          <w:tcPr>
            <w:tcW w:type="dxa" w:w="4536"/>
          </w:tcPr>
          <w:p>
            <w:r>
              <w:rPr>
                <w:sz w:val="18"/>
              </w:rPr>
              <w:t>UNKNOWN</w:t>
            </w:r>
          </w:p>
        </w:tc>
      </w:tr>
      <w:tr>
        <w:tc>
          <w:tcPr>
            <w:tcW w:type="dxa" w:w="4536"/>
            <w:shd w:val="clear" w:color="auto" w:fill="F2F2F2"/>
          </w:tcPr>
          <w:p>
            <w:r>
              <w:rPr>
                <w:sz w:val="18"/>
              </w:rPr>
              <w:t>News Sentiment</w:t>
            </w:r>
          </w:p>
        </w:tc>
        <w:tc>
          <w:tcPr>
            <w:tcW w:type="dxa" w:w="4536"/>
          </w:tcPr>
          <w:p>
            <w:r>
              <w:rPr>
                <w:sz w:val="18"/>
              </w:rPr>
              <w:t>Neutral</w:t>
            </w:r>
          </w:p>
        </w:tc>
      </w:tr>
      <w:tr>
        <w:tc>
          <w:tcPr>
            <w:tcW w:type="dxa" w:w="4536"/>
            <w:shd w:val="clear" w:color="auto" w:fill="F2F2F2"/>
          </w:tcPr>
          <w:p>
            <w:r>
              <w:rPr>
                <w:sz w:val="18"/>
              </w:rPr>
              <w:t>MCA Company Status</w:t>
            </w:r>
          </w:p>
        </w:tc>
        <w:tc>
          <w:tcPr>
            <w:tcW w:type="dxa" w:w="4536"/>
          </w:tcPr>
          <w:p>
            <w:r>
              <w:rPr>
                <w:sz w:val="18"/>
              </w:rPr>
              <w:t>Unknown</w:t>
            </w:r>
          </w:p>
        </w:tc>
      </w:tr>
      <w:tr>
        <w:tc>
          <w:tcPr>
            <w:tcW w:type="dxa" w:w="4536"/>
            <w:shd w:val="clear" w:color="auto" w:fill="F2F2F2"/>
          </w:tcPr>
          <w:p>
            <w:r>
              <w:rPr>
                <w:sz w:val="18"/>
              </w:rPr>
              <w:t>Promoter Background</w:t>
            </w:r>
          </w:p>
        </w:tc>
        <w:tc>
          <w:tcPr>
            <w:tcW w:type="dxa" w:w="4536"/>
          </w:tcPr>
          <w:p>
            <w:r>
              <w:rPr>
                <w:sz w:val="18"/>
              </w:rPr>
              <w:t>average</w:t>
            </w:r>
          </w:p>
        </w:tc>
      </w:tr>
    </w:tbl>
    <w:p/>
    <w:p>
      <w:pPr>
        <w:spacing w:after="120"/>
      </w:pPr>
      <w:r>
        <w:rPr>
          <w:b/>
          <w:color w:val="107C41"/>
          <w:sz w:val="20"/>
        </w:rPr>
        <w:t xml:space="preserve">Assessment: </w:t>
      </w:r>
      <w:r>
        <w:rPr>
          <w:sz w:val="20"/>
        </w:rPr>
        <w:t>Promoter track record is satisfactory based on available data. GST compliance of 100.0% indicates regulatory adherence. No adverse litigation detected.</w:t>
      </w:r>
    </w:p>
    <w:p>
      <w:pPr>
        <w:spacing w:after="40"/>
      </w:pPr>
    </w:p>
    <w:p>
      <w:pPr>
        <w:spacing w:before="200" w:after="60"/>
      </w:pPr>
      <w:r>
        <w:rPr>
          <w:b/>
          <w:color w:val="2E75B6"/>
          <w:sz w:val="22"/>
        </w:rPr>
        <w:t>CAPACITY  —  Score: 62/100  (Weight: 30%)</w:t>
      </w:r>
    </w:p>
    <w:p>
      <w:pPr>
        <w:spacing w:after="80"/>
      </w:pPr>
      <w:r>
        <w:rPr>
          <w:b/>
          <w:color w:val="FF8C00"/>
          <w:sz w:val="22"/>
        </w:rPr>
        <w:t xml:space="preserve">  ▐▐▐▐▐▐░░░░  62/100  </w:t>
      </w:r>
    </w:p>
    <w:p>
      <w:pPr>
        <w:spacing w:after="60"/>
      </w:pPr>
      <w:r>
        <w:rPr>
          <w:b/>
          <w:color w:val="808080"/>
          <w:sz w:val="18"/>
        </w:rPr>
        <w:t xml:space="preserve">Definition: </w:t>
      </w:r>
      <w:r>
        <w:rPr>
          <w:sz w:val="18"/>
        </w:rPr>
        <w:t>Capacity measures the borrower's ability to generate sufficient cash flows to service the proposed debt — DSCR, profitability, revenue trends.</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18"/>
              </w:rPr>
              <w:t>Data Point</w:t>
            </w:r>
          </w:p>
        </w:tc>
        <w:tc>
          <w:tcPr>
            <w:tcW w:type="dxa" w:w="4536"/>
            <w:shd w:val="clear" w:color="auto" w:fill="2E75B6"/>
          </w:tcPr>
          <w:p>
            <w:r>
              <w:rPr>
                <w:b/>
                <w:color w:val="FFFFFF"/>
                <w:sz w:val="18"/>
              </w:rPr>
              <w:t>Value</w:t>
            </w:r>
          </w:p>
        </w:tc>
      </w:tr>
      <w:tr>
        <w:tc>
          <w:tcPr>
            <w:tcW w:type="dxa" w:w="4536"/>
            <w:shd w:val="clear" w:color="auto" w:fill="F2F2F2"/>
          </w:tcPr>
          <w:p>
            <w:r>
              <w:rPr>
                <w:sz w:val="18"/>
              </w:rPr>
              <w:t>Revenue (FY24)</w:t>
            </w:r>
          </w:p>
        </w:tc>
        <w:tc>
          <w:tcPr>
            <w:tcW w:type="dxa" w:w="4536"/>
          </w:tcPr>
          <w:p>
            <w:r>
              <w:rPr>
                <w:sz w:val="18"/>
              </w:rPr>
              <w:t>₹67.4 Cr</w:t>
            </w:r>
          </w:p>
        </w:tc>
      </w:tr>
      <w:tr>
        <w:tc>
          <w:tcPr>
            <w:tcW w:type="dxa" w:w="4536"/>
            <w:shd w:val="clear" w:color="auto" w:fill="F2F2F2"/>
          </w:tcPr>
          <w:p>
            <w:r>
              <w:rPr>
                <w:sz w:val="18"/>
              </w:rPr>
              <w:t>Net Profit Margin</w:t>
            </w:r>
          </w:p>
        </w:tc>
        <w:tc>
          <w:tcPr>
            <w:tcW w:type="dxa" w:w="4536"/>
          </w:tcPr>
          <w:p>
            <w:r>
              <w:rPr>
                <w:sz w:val="18"/>
              </w:rPr>
              <w:t>5.2%</w:t>
            </w:r>
          </w:p>
        </w:tc>
      </w:tr>
      <w:tr>
        <w:tc>
          <w:tcPr>
            <w:tcW w:type="dxa" w:w="4536"/>
            <w:shd w:val="clear" w:color="auto" w:fill="F2F2F2"/>
          </w:tcPr>
          <w:p>
            <w:r>
              <w:rPr>
                <w:sz w:val="18"/>
              </w:rPr>
              <w:t>EBITDA</w:t>
            </w:r>
          </w:p>
        </w:tc>
        <w:tc>
          <w:tcPr>
            <w:tcW w:type="dxa" w:w="4536"/>
          </w:tcPr>
          <w:p>
            <w:r>
              <w:rPr>
                <w:sz w:val="18"/>
              </w:rPr>
              <w:t>₹9.1 Cr</w:t>
            </w:r>
          </w:p>
        </w:tc>
      </w:tr>
      <w:tr>
        <w:tc>
          <w:tcPr>
            <w:tcW w:type="dxa" w:w="4536"/>
            <w:shd w:val="clear" w:color="auto" w:fill="F2F2F2"/>
          </w:tcPr>
          <w:p>
            <w:r>
              <w:rPr>
                <w:sz w:val="18"/>
              </w:rPr>
              <w:t>DSCR (Debt Service Coverage Ratio)</w:t>
            </w:r>
          </w:p>
        </w:tc>
        <w:tc>
          <w:tcPr>
            <w:tcW w:type="dxa" w:w="4536"/>
          </w:tcPr>
          <w:p>
            <w:r>
              <w:rPr>
                <w:sz w:val="18"/>
              </w:rPr>
              <w:t>1.15x</w:t>
            </w:r>
          </w:p>
        </w:tc>
      </w:tr>
      <w:tr>
        <w:tc>
          <w:tcPr>
            <w:tcW w:type="dxa" w:w="4536"/>
            <w:shd w:val="clear" w:color="auto" w:fill="F2F2F2"/>
          </w:tcPr>
          <w:p>
            <w:r>
              <w:rPr>
                <w:sz w:val="18"/>
              </w:rPr>
              <w:t>Working Capital Cycle</w:t>
            </w:r>
          </w:p>
        </w:tc>
        <w:tc>
          <w:tcPr>
            <w:tcW w:type="dxa" w:w="4536"/>
          </w:tcPr>
          <w:p>
            <w:r>
              <w:rPr>
                <w:sz w:val="18"/>
              </w:rPr>
              <w:t>118.0 days</w:t>
            </w:r>
          </w:p>
        </w:tc>
      </w:tr>
      <w:tr>
        <w:tc>
          <w:tcPr>
            <w:tcW w:type="dxa" w:w="4536"/>
            <w:shd w:val="clear" w:color="auto" w:fill="F2F2F2"/>
          </w:tcPr>
          <w:p>
            <w:r>
              <w:rPr>
                <w:sz w:val="18"/>
              </w:rPr>
              <w:t>Avg Monthly Bank Credits</w:t>
            </w:r>
          </w:p>
        </w:tc>
        <w:tc>
          <w:tcPr>
            <w:tcW w:type="dxa" w:w="4536"/>
          </w:tcPr>
          <w:p>
            <w:r>
              <w:rPr>
                <w:sz w:val="18"/>
              </w:rPr>
              <w:t>₹N/A Cr</w:t>
            </w:r>
          </w:p>
        </w:tc>
      </w:tr>
    </w:tbl>
    <w:p/>
    <w:p>
      <w:pPr>
        <w:spacing w:after="120"/>
      </w:pPr>
      <w:r>
        <w:rPr>
          <w:b/>
          <w:color w:val="FF8C00"/>
          <w:sz w:val="20"/>
        </w:rPr>
        <w:t xml:space="preserve">Assessment: </w:t>
      </w:r>
      <w:r>
        <w:rPr>
          <w:sz w:val="20"/>
        </w:rPr>
        <w:t>Revenue of ₹67.4 Cr demonstrates operational scale. Net profit margin of 5.2% is below the sectoral benchmark of 8%. Bank credits reconcile with declared GST turnover, confirming revenue quality.</w:t>
      </w:r>
    </w:p>
    <w:p>
      <w:pPr>
        <w:spacing w:after="40"/>
      </w:pPr>
    </w:p>
    <w:p>
      <w:pPr>
        <w:spacing w:before="200" w:after="60"/>
      </w:pPr>
      <w:r>
        <w:rPr>
          <w:b/>
          <w:color w:val="2E75B6"/>
          <w:sz w:val="22"/>
        </w:rPr>
        <w:t>CAPITAL  —  Score: 50/100  (Weight: 20%)</w:t>
      </w:r>
    </w:p>
    <w:p>
      <w:pPr>
        <w:spacing w:after="80"/>
      </w:pPr>
      <w:r>
        <w:rPr>
          <w:b/>
          <w:color w:val="C00000"/>
          <w:sz w:val="22"/>
        </w:rPr>
        <w:t xml:space="preserve">  ▐▐▐▐▐░░░░░  50/100  </w:t>
      </w:r>
    </w:p>
    <w:p>
      <w:pPr>
        <w:spacing w:after="60"/>
      </w:pPr>
      <w:r>
        <w:rPr>
          <w:b/>
          <w:color w:val="808080"/>
          <w:sz w:val="18"/>
        </w:rPr>
        <w:t xml:space="preserve">Definition: </w:t>
      </w:r>
      <w:r>
        <w:rPr>
          <w:sz w:val="18"/>
        </w:rPr>
        <w:t>Capital evaluates the financial strength of the business — net worth, leverage, and the owner's own stake in the enterprise.</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18"/>
              </w:rPr>
              <w:t>Data Point</w:t>
            </w:r>
          </w:p>
        </w:tc>
        <w:tc>
          <w:tcPr>
            <w:tcW w:type="dxa" w:w="4536"/>
            <w:shd w:val="clear" w:color="auto" w:fill="2E75B6"/>
          </w:tcPr>
          <w:p>
            <w:r>
              <w:rPr>
                <w:b/>
                <w:color w:val="FFFFFF"/>
                <w:sz w:val="18"/>
              </w:rPr>
              <w:t>Value</w:t>
            </w:r>
          </w:p>
        </w:tc>
      </w:tr>
      <w:tr>
        <w:tc>
          <w:tcPr>
            <w:tcW w:type="dxa" w:w="4536"/>
            <w:shd w:val="clear" w:color="auto" w:fill="F2F2F2"/>
          </w:tcPr>
          <w:p>
            <w:r>
              <w:rPr>
                <w:sz w:val="18"/>
              </w:rPr>
              <w:t>Net Worth / Equity</w:t>
            </w:r>
          </w:p>
        </w:tc>
        <w:tc>
          <w:tcPr>
            <w:tcW w:type="dxa" w:w="4536"/>
          </w:tcPr>
          <w:p>
            <w:r>
              <w:rPr>
                <w:sz w:val="18"/>
              </w:rPr>
              <w:t>₹14.5 Cr</w:t>
            </w:r>
          </w:p>
        </w:tc>
      </w:tr>
      <w:tr>
        <w:tc>
          <w:tcPr>
            <w:tcW w:type="dxa" w:w="4536"/>
            <w:shd w:val="clear" w:color="auto" w:fill="F2F2F2"/>
          </w:tcPr>
          <w:p>
            <w:r>
              <w:rPr>
                <w:sz w:val="18"/>
              </w:rPr>
              <w:t>Total Debt</w:t>
            </w:r>
          </w:p>
        </w:tc>
        <w:tc>
          <w:tcPr>
            <w:tcW w:type="dxa" w:w="4536"/>
          </w:tcPr>
          <w:p>
            <w:r>
              <w:rPr>
                <w:sz w:val="18"/>
              </w:rPr>
              <w:t>₹26.8 Cr</w:t>
            </w:r>
          </w:p>
        </w:tc>
      </w:tr>
      <w:tr>
        <w:tc>
          <w:tcPr>
            <w:tcW w:type="dxa" w:w="4536"/>
            <w:shd w:val="clear" w:color="auto" w:fill="F2F2F2"/>
          </w:tcPr>
          <w:p>
            <w:r>
              <w:rPr>
                <w:sz w:val="18"/>
              </w:rPr>
              <w:t>Debt / Equity Ratio</w:t>
            </w:r>
          </w:p>
        </w:tc>
        <w:tc>
          <w:tcPr>
            <w:tcW w:type="dxa" w:w="4536"/>
          </w:tcPr>
          <w:p>
            <w:r>
              <w:rPr>
                <w:sz w:val="18"/>
              </w:rPr>
              <w:t>1.85x</w:t>
            </w:r>
          </w:p>
        </w:tc>
      </w:tr>
      <w:tr>
        <w:tc>
          <w:tcPr>
            <w:tcW w:type="dxa" w:w="4536"/>
            <w:shd w:val="clear" w:color="auto" w:fill="F2F2F2"/>
          </w:tcPr>
          <w:p>
            <w:r>
              <w:rPr>
                <w:sz w:val="18"/>
              </w:rPr>
              <w:t>Current Ratio</w:t>
            </w:r>
          </w:p>
        </w:tc>
        <w:tc>
          <w:tcPr>
            <w:tcW w:type="dxa" w:w="4536"/>
          </w:tcPr>
          <w:p>
            <w:r>
              <w:rPr>
                <w:sz w:val="18"/>
              </w:rPr>
              <w:t>1.22</w:t>
            </w:r>
          </w:p>
        </w:tc>
      </w:tr>
      <w:tr>
        <w:tc>
          <w:tcPr>
            <w:tcW w:type="dxa" w:w="4536"/>
            <w:shd w:val="clear" w:color="auto" w:fill="F2F2F2"/>
          </w:tcPr>
          <w:p>
            <w:r>
              <w:rPr>
                <w:sz w:val="18"/>
              </w:rPr>
              <w:t>Debt to Assets</w:t>
            </w:r>
          </w:p>
        </w:tc>
        <w:tc>
          <w:tcPr>
            <w:tcW w:type="dxa" w:w="4536"/>
          </w:tcPr>
          <w:p>
            <w:r>
              <w:rPr>
                <w:sz w:val="18"/>
              </w:rPr>
              <w:t>N/A</w:t>
            </w:r>
          </w:p>
        </w:tc>
      </w:tr>
    </w:tbl>
    <w:p/>
    <w:p>
      <w:pPr>
        <w:spacing w:after="120"/>
      </w:pPr>
      <w:r>
        <w:rPr>
          <w:b/>
          <w:color w:val="C00000"/>
          <w:sz w:val="20"/>
        </w:rPr>
        <w:t xml:space="preserve">Assessment: </w:t>
      </w:r>
      <w:r>
        <w:rPr>
          <w:sz w:val="20"/>
        </w:rPr>
        <w:t>Debt/Equity ratio of 1.85x is elevated above the 1.5x threshold — indicates high leverage risk. Current ratio of 1.22 suggests tight short-term liquidity.</w:t>
      </w:r>
    </w:p>
    <w:p>
      <w:pPr>
        <w:spacing w:after="40"/>
      </w:pPr>
    </w:p>
    <w:p>
      <w:pPr>
        <w:spacing w:before="200" w:after="60"/>
      </w:pPr>
      <w:r>
        <w:rPr>
          <w:b/>
          <w:color w:val="2E75B6"/>
          <w:sz w:val="22"/>
        </w:rPr>
        <w:t>COLLATERAL  —  Score: 80/100  (Weight: 15%)</w:t>
      </w:r>
    </w:p>
    <w:p>
      <w:pPr>
        <w:spacing w:after="80"/>
      </w:pPr>
      <w:r>
        <w:rPr>
          <w:b/>
          <w:color w:val="107C41"/>
          <w:sz w:val="22"/>
        </w:rPr>
        <w:t xml:space="preserve">  ▐▐▐▐▐▐▐▐░░  80/100  </w:t>
      </w:r>
    </w:p>
    <w:p>
      <w:pPr>
        <w:spacing w:after="60"/>
      </w:pPr>
      <w:r>
        <w:rPr>
          <w:b/>
          <w:color w:val="808080"/>
          <w:sz w:val="18"/>
        </w:rPr>
        <w:t xml:space="preserve">Definition: </w:t>
      </w:r>
      <w:r>
        <w:rPr>
          <w:sz w:val="18"/>
        </w:rPr>
        <w:t>Collateral assesses the quality and value of security offered against the loan — coverage ratio, asset type, title clarity, and enforceability.</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18"/>
              </w:rPr>
              <w:t>Data Point</w:t>
            </w:r>
          </w:p>
        </w:tc>
        <w:tc>
          <w:tcPr>
            <w:tcW w:type="dxa" w:w="4536"/>
            <w:shd w:val="clear" w:color="auto" w:fill="2E75B6"/>
          </w:tcPr>
          <w:p>
            <w:r>
              <w:rPr>
                <w:b/>
                <w:color w:val="FFFFFF"/>
                <w:sz w:val="18"/>
              </w:rPr>
              <w:t>Value</w:t>
            </w:r>
          </w:p>
        </w:tc>
      </w:tr>
      <w:tr>
        <w:tc>
          <w:tcPr>
            <w:tcW w:type="dxa" w:w="4536"/>
            <w:shd w:val="clear" w:color="auto" w:fill="F2F2F2"/>
          </w:tcPr>
          <w:p>
            <w:r>
              <w:rPr>
                <w:sz w:val="18"/>
              </w:rPr>
              <w:t>Collateral Coverage Ratio</w:t>
            </w:r>
          </w:p>
        </w:tc>
        <w:tc>
          <w:tcPr>
            <w:tcW w:type="dxa" w:w="4536"/>
          </w:tcPr>
          <w:p>
            <w:r>
              <w:rPr>
                <w:sz w:val="18"/>
              </w:rPr>
              <w:t>1.3x</w:t>
            </w:r>
          </w:p>
        </w:tc>
      </w:tr>
      <w:tr>
        <w:tc>
          <w:tcPr>
            <w:tcW w:type="dxa" w:w="4536"/>
            <w:shd w:val="clear" w:color="auto" w:fill="F2F2F2"/>
          </w:tcPr>
          <w:p>
            <w:r>
              <w:rPr>
                <w:sz w:val="18"/>
              </w:rPr>
              <w:t>Collateral Type</w:t>
            </w:r>
          </w:p>
        </w:tc>
        <w:tc>
          <w:tcPr>
            <w:tcW w:type="dxa" w:w="4536"/>
          </w:tcPr>
          <w:p>
            <w:r>
              <w:rPr>
                <w:sz w:val="18"/>
              </w:rPr>
              <w:t>Not specified</w:t>
            </w:r>
          </w:p>
        </w:tc>
      </w:tr>
      <w:tr>
        <w:tc>
          <w:tcPr>
            <w:tcW w:type="dxa" w:w="4536"/>
            <w:shd w:val="clear" w:color="auto" w:fill="F2F2F2"/>
          </w:tcPr>
          <w:p>
            <w:r>
              <w:rPr>
                <w:sz w:val="18"/>
              </w:rPr>
              <w:t>Site Visit Assessment</w:t>
            </w:r>
          </w:p>
        </w:tc>
        <w:tc>
          <w:tcPr>
            <w:tcW w:type="dxa" w:w="4536"/>
          </w:tcPr>
          <w:p>
            <w:r>
              <w:rPr>
                <w:sz w:val="18"/>
              </w:rPr>
              <w:t>Not assessed</w:t>
            </w:r>
          </w:p>
        </w:tc>
      </w:tr>
      <w:tr>
        <w:tc>
          <w:tcPr>
            <w:tcW w:type="dxa" w:w="4536"/>
            <w:shd w:val="clear" w:color="auto" w:fill="F2F2F2"/>
          </w:tcPr>
          <w:p>
            <w:r>
              <w:rPr>
                <w:sz w:val="18"/>
              </w:rPr>
              <w:t>Title / Encumbrance</w:t>
            </w:r>
          </w:p>
        </w:tc>
        <w:tc>
          <w:tcPr>
            <w:tcW w:type="dxa" w:w="4536"/>
          </w:tcPr>
          <w:p>
            <w:r>
              <w:rPr>
                <w:sz w:val="18"/>
              </w:rPr>
              <w:t>To be verified</w:t>
            </w:r>
          </w:p>
        </w:tc>
      </w:tr>
    </w:tbl>
    <w:p/>
    <w:p>
      <w:pPr>
        <w:spacing w:after="120"/>
      </w:pPr>
      <w:r>
        <w:rPr>
          <w:b/>
          <w:color w:val="107C41"/>
          <w:sz w:val="20"/>
        </w:rPr>
        <w:t xml:space="preserve">Assessment: </w:t>
      </w:r>
      <w:r>
        <w:rPr>
          <w:sz w:val="20"/>
        </w:rPr>
        <w:t>Collateral coverage ratio of 1.3x provides insufficient security buffer. Final valuation report and encumbrance certificate to be obtained before disbursement.</w:t>
      </w:r>
    </w:p>
    <w:p>
      <w:pPr>
        <w:spacing w:after="40"/>
      </w:pPr>
    </w:p>
    <w:p>
      <w:pPr>
        <w:spacing w:before="200" w:after="60"/>
      </w:pPr>
      <w:r>
        <w:rPr>
          <w:b/>
          <w:color w:val="2E75B6"/>
          <w:sz w:val="22"/>
        </w:rPr>
        <w:t>CONDITIONS  —  Score: 60/100  (Weight: 15%)</w:t>
      </w:r>
    </w:p>
    <w:p>
      <w:pPr>
        <w:spacing w:after="80"/>
      </w:pPr>
      <w:r>
        <w:rPr>
          <w:b/>
          <w:color w:val="FF8C00"/>
          <w:sz w:val="22"/>
        </w:rPr>
        <w:t xml:space="preserve">  ▐▐▐▐▐▐░░░░  60/100  </w:t>
      </w:r>
    </w:p>
    <w:p>
      <w:pPr>
        <w:spacing w:after="60"/>
      </w:pPr>
      <w:r>
        <w:rPr>
          <w:b/>
          <w:color w:val="808080"/>
          <w:sz w:val="18"/>
        </w:rPr>
        <w:t xml:space="preserve">Definition: </w:t>
      </w:r>
      <w:r>
        <w:rPr>
          <w:sz w:val="18"/>
        </w:rPr>
        <w:t>Conditions evaluates the external environment — sector outlook, macro-economic factors, RBI regulatory stance, and industry headwinds.</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18"/>
              </w:rPr>
              <w:t>Data Point</w:t>
            </w:r>
          </w:p>
        </w:tc>
        <w:tc>
          <w:tcPr>
            <w:tcW w:type="dxa" w:w="4536"/>
            <w:shd w:val="clear" w:color="auto" w:fill="2E75B6"/>
          </w:tcPr>
          <w:p>
            <w:r>
              <w:rPr>
                <w:b/>
                <w:color w:val="FFFFFF"/>
                <w:sz w:val="18"/>
              </w:rPr>
              <w:t>Value</w:t>
            </w:r>
          </w:p>
        </w:tc>
      </w:tr>
      <w:tr>
        <w:tc>
          <w:tcPr>
            <w:tcW w:type="dxa" w:w="4536"/>
            <w:shd w:val="clear" w:color="auto" w:fill="F2F2F2"/>
          </w:tcPr>
          <w:p>
            <w:r>
              <w:rPr>
                <w:sz w:val="18"/>
              </w:rPr>
              <w:t>Sector</w:t>
            </w:r>
          </w:p>
        </w:tc>
        <w:tc>
          <w:tcPr>
            <w:tcW w:type="dxa" w:w="4536"/>
          </w:tcPr>
          <w:p>
            <w:r>
              <w:rPr>
                <w:sz w:val="18"/>
              </w:rPr>
              <w:t>Pharma</w:t>
            </w:r>
          </w:p>
        </w:tc>
      </w:tr>
      <w:tr>
        <w:tc>
          <w:tcPr>
            <w:tcW w:type="dxa" w:w="4536"/>
            <w:shd w:val="clear" w:color="auto" w:fill="F2F2F2"/>
          </w:tcPr>
          <w:p>
            <w:r>
              <w:rPr>
                <w:sz w:val="18"/>
              </w:rPr>
              <w:t>RBI Repo Rate</w:t>
            </w:r>
          </w:p>
        </w:tc>
        <w:tc>
          <w:tcPr>
            <w:tcW w:type="dxa" w:w="4536"/>
          </w:tcPr>
          <w:p>
            <w:r>
              <w:rPr>
                <w:sz w:val="18"/>
              </w:rPr>
              <w:t>6.5%</w:t>
            </w:r>
          </w:p>
        </w:tc>
      </w:tr>
      <w:tr>
        <w:tc>
          <w:tcPr>
            <w:tcW w:type="dxa" w:w="4536"/>
            <w:shd w:val="clear" w:color="auto" w:fill="F2F2F2"/>
          </w:tcPr>
          <w:p>
            <w:r>
              <w:rPr>
                <w:sz w:val="18"/>
              </w:rPr>
              <w:t>Sector News Signals</w:t>
            </w:r>
          </w:p>
        </w:tc>
        <w:tc>
          <w:tcPr>
            <w:tcW w:type="dxa" w:w="4536"/>
          </w:tcPr>
          <w:p>
            <w:r>
              <w:rPr>
                <w:sz w:val="18"/>
              </w:rPr>
              <w:t>0 headwind signals</w:t>
            </w:r>
          </w:p>
        </w:tc>
      </w:tr>
      <w:tr>
        <w:tc>
          <w:tcPr>
            <w:tcW w:type="dxa" w:w="4536"/>
            <w:shd w:val="clear" w:color="auto" w:fill="F2F2F2"/>
          </w:tcPr>
          <w:p>
            <w:r>
              <w:rPr>
                <w:sz w:val="18"/>
              </w:rPr>
              <w:t>RBI Regulatory Circulars</w:t>
            </w:r>
          </w:p>
        </w:tc>
        <w:tc>
          <w:tcPr>
            <w:tcW w:type="dxa" w:w="4536"/>
          </w:tcPr>
          <w:p>
            <w:r>
              <w:rPr>
                <w:sz w:val="18"/>
              </w:rPr>
              <w:t>0 relevant circulars found</w:t>
            </w:r>
          </w:p>
        </w:tc>
      </w:tr>
      <w:tr>
        <w:tc>
          <w:tcPr>
            <w:tcW w:type="dxa" w:w="4536"/>
            <w:shd w:val="clear" w:color="auto" w:fill="F2F2F2"/>
          </w:tcPr>
          <w:p>
            <w:r>
              <w:rPr>
                <w:sz w:val="18"/>
              </w:rPr>
              <w:t>BSE Listed</w:t>
            </w:r>
          </w:p>
        </w:tc>
        <w:tc>
          <w:tcPr>
            <w:tcW w:type="dxa" w:w="4536"/>
          </w:tcPr>
          <w:p>
            <w:r>
              <w:rPr>
                <w:sz w:val="18"/>
              </w:rPr>
              <w:t>No / Unlisted company</w:t>
            </w:r>
          </w:p>
        </w:tc>
      </w:tr>
    </w:tbl>
    <w:p/>
    <w:p>
      <w:pPr>
        <w:spacing w:after="120"/>
      </w:pPr>
      <w:r>
        <w:rPr>
          <w:b/>
          <w:color w:val="FF8C00"/>
          <w:sz w:val="20"/>
        </w:rPr>
        <w:t xml:space="preserve">Assessment: </w:t>
      </w:r>
      <w:r>
        <w:rPr>
          <w:sz w:val="20"/>
        </w:rPr>
        <w:t>Macro conditions for the Pharma sector show moderate headwinds. RBI repo rate at 6.5% forms the base for pricing.</w:t>
      </w:r>
    </w:p>
    <w:p>
      <w:pPr>
        <w:spacing w:after="40"/>
      </w:pPr>
    </w:p>
    <w:p>
      <w:pPr>
        <w:spacing w:before="320" w:after="80"/>
        <w:pBdr>
          <w:bottom w:val="single" w:sz="16" w:space="1" w:color="1A3A5C"/>
        </w:pBdr>
      </w:pPr>
      <w:r>
        <w:rPr>
          <w:b/>
          <w:color w:val="1A3A5C"/>
          <w:sz w:val="24"/>
        </w:rPr>
        <w:t>5. EXTERNAL RESEARCH &amp; INTELLIGENCE</w:t>
      </w:r>
    </w:p>
    <w:p>
      <w:pPr>
        <w:spacing w:after="80"/>
      </w:pPr>
      <w:r>
        <w:rPr>
          <w:sz w:val="20"/>
        </w:rPr>
        <w:t>AI-powered secondary research was conducted using Tavily Search API (India-focused), Google News RSS, BSE India public API, RBI website, MCA21, and eCourts portal.</w:t>
      </w:r>
    </w:p>
    <w:p>
      <w:pPr>
        <w:spacing w:after="40"/>
      </w:pPr>
      <w:r>
        <w:rPr>
          <w:b/>
          <w:color w:val="808080"/>
          <w:sz w:val="20"/>
        </w:rPr>
        <w:t xml:space="preserve">News Sentiment:  </w:t>
      </w:r>
      <w:r>
        <w:rPr>
          <w:sz w:val="20"/>
        </w:rPr>
        <w:t>Neutral</w:t>
      </w:r>
    </w:p>
    <w:p>
      <w:pPr>
        <w:spacing w:after="40"/>
      </w:pPr>
      <w:r>
        <w:rPr>
          <w:b/>
          <w:color w:val="808080"/>
          <w:sz w:val="20"/>
        </w:rPr>
        <w:t xml:space="preserve">Litigation Risk:  </w:t>
      </w:r>
      <w:r>
        <w:rPr>
          <w:sz w:val="20"/>
        </w:rPr>
        <w:t>UNKNOWN</w:t>
      </w:r>
    </w:p>
    <w:p>
      <w:pPr>
        <w:spacing w:after="40"/>
      </w:pPr>
      <w:r>
        <w:rPr>
          <w:b/>
          <w:color w:val="808080"/>
          <w:sz w:val="20"/>
        </w:rPr>
        <w:t xml:space="preserve">MCA Company Status:  </w:t>
      </w:r>
      <w:r>
        <w:rPr>
          <w:sz w:val="20"/>
        </w:rPr>
        <w:t>Unknown</w:t>
      </w:r>
    </w:p>
    <w:p>
      <w:pPr>
        <w:spacing w:after="40"/>
      </w:pPr>
      <w:r>
        <w:rPr>
          <w:b/>
          <w:color w:val="808080"/>
          <w:sz w:val="20"/>
        </w:rPr>
        <w:t xml:space="preserve">BSE Listed:  </w:t>
      </w:r>
      <w:r>
        <w:rPr>
          <w:sz w:val="20"/>
        </w:rPr>
        <w:t>No / Unlisted</w:t>
      </w:r>
    </w:p>
    <w:p>
      <w:pPr>
        <w:spacing w:after="40"/>
      </w:pPr>
      <w:r>
        <w:rPr>
          <w:b/>
          <w:color w:val="808080"/>
          <w:sz w:val="20"/>
        </w:rPr>
        <w:t xml:space="preserve">RBI Repo Rate:  </w:t>
      </w:r>
      <w:r>
        <w:rPr>
          <w:sz w:val="20"/>
        </w:rPr>
        <w:t>6.5%</w:t>
      </w:r>
    </w:p>
    <w:p>
      <w:pPr>
        <w:spacing w:after="40"/>
      </w:pPr>
      <w:r>
        <w:rPr>
          <w:b/>
          <w:color w:val="808080"/>
          <w:sz w:val="20"/>
        </w:rPr>
        <w:t xml:space="preserve">Search Method:  </w:t>
      </w:r>
      <w:r>
        <w:rPr>
          <w:sz w:val="20"/>
        </w:rPr>
        <w:t>Google Rss</w:t>
      </w:r>
    </w:p>
    <w:p>
      <w:pPr>
        <w:spacing w:after="40"/>
      </w:pPr>
    </w:p>
    <w:p>
      <w:pPr>
        <w:spacing w:before="200" w:after="60"/>
      </w:pPr>
      <w:r>
        <w:rPr>
          <w:b/>
          <w:color w:val="2E75B6"/>
          <w:sz w:val="22"/>
        </w:rPr>
        <w:t>5.1  Risk Signals Detected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3A5C"/>
          </w:tcPr>
          <w:p>
            <w:r>
              <w:rPr>
                <w:b/>
                <w:color w:val="FFFFFF"/>
                <w:sz w:val="18"/>
              </w:rPr>
              <w:t>Signal</w:t>
            </w:r>
          </w:p>
        </w:tc>
        <w:tc>
          <w:tcPr>
            <w:tcW w:type="dxa" w:w="2268"/>
            <w:shd w:val="clear" w:color="auto" w:fill="1A3A5C"/>
          </w:tcPr>
          <w:p>
            <w:r>
              <w:rPr>
                <w:b/>
                <w:color w:val="FFFFFF"/>
                <w:sz w:val="18"/>
              </w:rPr>
              <w:t>Severity</w:t>
            </w:r>
          </w:p>
        </w:tc>
        <w:tc>
          <w:tcPr>
            <w:tcW w:type="dxa" w:w="2268"/>
            <w:shd w:val="clear" w:color="auto" w:fill="1A3A5C"/>
          </w:tcPr>
          <w:p>
            <w:r>
              <w:rPr>
                <w:b/>
                <w:color w:val="FFFFFF"/>
                <w:sz w:val="18"/>
              </w:rPr>
              <w:t>Source</w:t>
            </w:r>
          </w:p>
        </w:tc>
        <w:tc>
          <w:tcPr>
            <w:tcW w:type="dxa" w:w="2268"/>
            <w:shd w:val="clear" w:color="auto" w:fill="1A3A5C"/>
          </w:tcPr>
          <w:p>
            <w:r>
              <w:rPr>
                <w:b/>
                <w:color w:val="FFFFFF"/>
                <w:sz w:val="18"/>
              </w:rPr>
              <w:t>Detail</w:t>
            </w:r>
          </w:p>
        </w:tc>
      </w:tr>
      <w:tr>
        <w:tc>
          <w:tcPr>
            <w:tcW w:type="dxa" w:w="2268"/>
          </w:tcPr>
          <w:p>
            <w:r>
              <w:rPr>
                <w:sz w:val="18"/>
              </w:rPr>
              <w:t>Promoter Adverse News</w:t>
            </w:r>
          </w:p>
        </w:tc>
        <w:tc>
          <w:tcPr>
            <w:tcW w:type="dxa" w:w="2268"/>
            <w:shd w:val="clear" w:color="auto" w:fill="FFE5E5"/>
          </w:tcPr>
          <w:p>
            <w:r>
              <w:rPr>
                <w:b/>
                <w:color w:val="C00000"/>
                <w:sz w:val="18"/>
              </w:rPr>
              <w:t>HIGH</w:t>
            </w:r>
          </w:p>
        </w:tc>
        <w:tc>
          <w:tcPr>
            <w:tcW w:type="dxa" w:w="2268"/>
          </w:tcPr>
          <w:p>
            <w:r>
              <w:rPr>
                <w:sz w:val="18"/>
              </w:rPr>
              <w:t>News Research</w:t>
            </w:r>
          </w:p>
        </w:tc>
        <w:tc>
          <w:tcPr>
            <w:tcW w:type="dxa" w:w="2268"/>
          </w:tcPr>
          <w:p>
            <w:r>
              <w:rPr>
                <w:sz w:val="18"/>
              </w:rPr>
              <w:t>Adverse news found for promoter: Vikram Shah</w:t>
            </w:r>
          </w:p>
        </w:tc>
      </w:tr>
      <w:tr>
        <w:tc>
          <w:tcPr>
            <w:tcW w:type="dxa" w:w="2268"/>
          </w:tcPr>
          <w:p>
            <w:r>
              <w:rPr>
                <w:sz w:val="18"/>
              </w:rPr>
              <w:t>Clean Litigation</w:t>
            </w:r>
          </w:p>
        </w:tc>
        <w:tc>
          <w:tcPr>
            <w:tcW w:type="dxa" w:w="2268"/>
            <w:shd w:val="clear" w:color="auto" w:fill="F0FFF4"/>
          </w:tcPr>
          <w:p>
            <w:r>
              <w:rPr>
                <w:b/>
                <w:color w:val="107C41"/>
                <w:sz w:val="18"/>
              </w:rPr>
              <w:t>LOW</w:t>
            </w:r>
          </w:p>
        </w:tc>
        <w:tc>
          <w:tcPr>
            <w:tcW w:type="dxa" w:w="2268"/>
          </w:tcPr>
          <w:p>
            <w:r>
              <w:rPr>
                <w:sz w:val="18"/>
              </w:rPr>
              <w:t>eCourts</w:t>
            </w:r>
          </w:p>
        </w:tc>
        <w:tc>
          <w:tcPr>
            <w:tcW w:type="dxa" w:w="2268"/>
          </w:tcPr>
          <w:p>
            <w:r>
              <w:rPr>
                <w:sz w:val="18"/>
              </w:rPr>
              <w:t>No adverse litigation found on eCourts portal</w:t>
            </w:r>
          </w:p>
        </w:tc>
      </w:tr>
    </w:tbl>
    <w:p>
      <w:pPr>
        <w:spacing w:before="320" w:after="80"/>
        <w:pBdr>
          <w:bottom w:val="single" w:sz="16" w:space="1" w:color="1A3A5C"/>
        </w:pBdr>
      </w:pPr>
      <w:r>
        <w:rPr>
          <w:b/>
          <w:color w:val="1A3A5C"/>
          <w:sz w:val="24"/>
        </w:rPr>
        <w:t>6. QUALITATIVE ASSESSMENT (CREDIT OFFICER NOTES)</w:t>
      </w:r>
    </w:p>
    <w:p>
      <w:pPr>
        <w:spacing w:after="80"/>
      </w:pPr>
      <w:r>
        <w:rPr>
          <w:sz w:val="20"/>
        </w:rPr>
        <w:t>The following qualitative observations were recorded during site visit and management due diligence.</w:t>
      </w:r>
    </w:p>
    <w:p>
      <w:pPr>
        <w:spacing w:after="40"/>
      </w:pPr>
      <w:r>
        <w:rPr>
          <w:b/>
          <w:color w:val="808080"/>
          <w:sz w:val="20"/>
        </w:rPr>
        <w:t xml:space="preserve">Factory / Operational Capacity:  </w:t>
      </w:r>
      <w:r>
        <w:rPr>
          <w:sz w:val="20"/>
        </w:rPr>
        <w:t>Factory at 58.0% capacity</w:t>
      </w:r>
    </w:p>
    <w:p>
      <w:pPr>
        <w:spacing w:after="40"/>
      </w:pPr>
      <w:r>
        <w:rPr>
          <w:b/>
          <w:color w:val="808080"/>
          <w:sz w:val="20"/>
        </w:rPr>
        <w:t xml:space="preserve">Management Quality:  </w:t>
      </w:r>
      <w:r>
        <w:rPr>
          <w:sz w:val="20"/>
        </w:rPr>
        <w:t>average</w:t>
      </w:r>
    </w:p>
    <w:p>
      <w:pPr>
        <w:spacing w:after="40"/>
      </w:pPr>
      <w:r>
        <w:rPr>
          <w:b/>
          <w:color w:val="808080"/>
          <w:sz w:val="20"/>
        </w:rPr>
        <w:t xml:space="preserve">Collateral Verification:  </w:t>
      </w:r>
      <w:r>
        <w:rPr>
          <w:sz w:val="20"/>
        </w:rPr>
        <w:t>Coverage: 1.3x</w:t>
      </w:r>
    </w:p>
    <w:p>
      <w:pPr>
        <w:spacing w:before="320" w:after="80"/>
        <w:pBdr>
          <w:bottom w:val="single" w:sz="16" w:space="1" w:color="1A3A5C"/>
        </w:pBdr>
      </w:pPr>
      <w:r>
        <w:rPr>
          <w:b/>
          <w:color w:val="1A3A5C"/>
          <w:sz w:val="24"/>
        </w:rPr>
        <w:t>7. DECISION &amp; RECOMMENDATION</w:t>
      </w:r>
    </w:p>
    <w:p>
      <w:pPr>
        <w:spacing w:before="200" w:after="60"/>
      </w:pPr>
      <w:r>
        <w:rPr>
          <w:b/>
          <w:color w:val="2E75B6"/>
          <w:sz w:val="22"/>
        </w:rPr>
        <w:t>7.1  Scoring Model — How the Score Was Computed</w:t>
      </w:r>
    </w:p>
    <w:p>
      <w:pPr>
        <w:spacing w:after="80"/>
      </w:pPr>
      <w:r>
        <w:rPr>
          <w:sz w:val="20"/>
        </w:rPr>
        <w:t>The credit score is computed using a weighted model across the Five C's. Each C is scored independently on 100 points using rule-based logic. The final score is the weighted average:</w:t>
      </w:r>
    </w:p>
    <w:p>
      <w:pPr>
        <w:jc w:val="center"/>
      </w:pPr>
      <w:r>
        <w:rPr>
          <w:b/>
          <w:color w:val="1A3A5C"/>
          <w:sz w:val="20"/>
        </w:rPr>
        <w:t>Overall = Character(85) x 20%  +  Capacity(62) x 30%  +  Capital(50) x 20%  +  Collateral(80) x 15%  +  Conditions(60) x 15%  =  66.6/100</w:t>
      </w:r>
    </w:p>
    <w:p>
      <w:pPr>
        <w:spacing w:after="40"/>
      </w:pPr>
    </w:p>
    <w:p>
      <w:pPr>
        <w:spacing w:before="200" w:after="60"/>
      </w:pPr>
      <w:r>
        <w:rPr>
          <w:b/>
          <w:color w:val="2E75B6"/>
          <w:sz w:val="22"/>
        </w:rPr>
        <w:t>7.2  Score Drivers (Explainability)</w:t>
      </w:r>
    </w:p>
    <w:p>
      <w:r>
        <w:rPr>
          <w:color w:val="107C41"/>
          <w:sz w:val="20"/>
        </w:rPr>
        <w:t xml:space="preserve">  (+)  Strong promoter profile &amp; compliance (Character: 85/100)</w:t>
      </w:r>
    </w:p>
    <w:p>
      <w:r>
        <w:rPr>
          <w:color w:val="C00000"/>
          <w:sz w:val="20"/>
        </w:rPr>
        <w:t xml:space="preserve">  (-)  High leverage ratio (Capital: 50/100)</w:t>
      </w:r>
    </w:p>
    <w:p>
      <w:r>
        <w:rPr>
          <w:color w:val="107C41"/>
          <w:sz w:val="20"/>
        </w:rPr>
        <w:t xml:space="preserve">  (+)  Adequate collateral coverage (Collateral: 80/100)</w:t>
      </w:r>
    </w:p>
    <w:p>
      <w:pPr>
        <w:spacing w:after="40"/>
      </w:pPr>
    </w:p>
    <w:p>
      <w:pPr>
        <w:spacing w:before="200" w:after="60"/>
      </w:pPr>
      <w:r>
        <w:rPr>
          <w:b/>
          <w:color w:val="2E75B6"/>
          <w:sz w:val="22"/>
        </w:rPr>
        <w:t>7.3  Why This Decision?</w:t>
      </w:r>
    </w:p>
    <w:p>
      <w:pPr>
        <w:spacing w:after="120"/>
      </w:pPr>
      <w:r>
        <w:rPr>
          <w:b/>
          <w:color w:val="107C41"/>
          <w:sz w:val="20"/>
        </w:rPr>
        <w:t>Application CONDITIONALLY APPROVED for ₹10.8 Cr at 11.25% p.a., reduced from the requested ₹18.0 Cr. While the company demonstrates strong GST compliance (100.0%), the limit has been reduced by ₹7.2 Cr due to elevated debt/equity ratio of 1.85x. Approval is subject to fulfillment of all conditions precedent listed below, enhanced monitoring, and quarterly review.</w:t>
      </w:r>
    </w:p>
    <w:p>
      <w:pPr>
        <w:spacing w:after="40"/>
      </w:pPr>
    </w:p>
    <w:p>
      <w:pPr>
        <w:spacing w:before="200" w:after="60"/>
      </w:pPr>
      <w:r>
        <w:rPr>
          <w:b/>
          <w:color w:val="2E75B6"/>
          <w:sz w:val="22"/>
        </w:rPr>
        <w:t>7.4  Recommended Credit Terms</w:t>
      </w:r>
    </w:p>
    <w:p>
      <w:pPr>
        <w:spacing w:after="40"/>
      </w:pPr>
      <w:r>
        <w:rPr>
          <w:b/>
          <w:color w:val="808080"/>
          <w:sz w:val="20"/>
        </w:rPr>
        <w:t xml:space="preserve">Facility Type:  </w:t>
      </w:r>
      <w:r>
        <w:rPr>
          <w:sz w:val="20"/>
        </w:rPr>
        <w:t>Working Capital Demand Loan / CC Limit</w:t>
      </w:r>
    </w:p>
    <w:p>
      <w:pPr>
        <w:spacing w:after="40"/>
      </w:pPr>
      <w:r>
        <w:rPr>
          <w:b/>
          <w:color w:val="808080"/>
          <w:sz w:val="20"/>
        </w:rPr>
        <w:t xml:space="preserve">Recommended Amount:  </w:t>
      </w:r>
      <w:r>
        <w:rPr>
          <w:sz w:val="20"/>
        </w:rPr>
        <w:t>INR 10.8 Crore</w:t>
      </w:r>
    </w:p>
    <w:p>
      <w:pPr>
        <w:spacing w:after="40"/>
      </w:pPr>
      <w:r>
        <w:rPr>
          <w:b/>
          <w:color w:val="808080"/>
          <w:sz w:val="20"/>
        </w:rPr>
        <w:t xml:space="preserve">Interest Rate:  </w:t>
      </w:r>
      <w:r>
        <w:rPr>
          <w:sz w:val="20"/>
        </w:rPr>
        <w:t>11.25% per annum</w:t>
      </w:r>
    </w:p>
    <w:p>
      <w:pPr>
        <w:spacing w:after="40"/>
      </w:pPr>
      <w:r>
        <w:rPr>
          <w:b/>
          <w:color w:val="808080"/>
          <w:sz w:val="20"/>
        </w:rPr>
        <w:t xml:space="preserve">Rate Composition:  </w:t>
      </w:r>
      <w:r>
        <w:rPr>
          <w:sz w:val="20"/>
        </w:rPr>
        <w:t>MCLR (8.5%) + Spread (2.75%)</w:t>
      </w:r>
    </w:p>
    <w:p>
      <w:pPr>
        <w:spacing w:after="40"/>
      </w:pPr>
      <w:r>
        <w:rPr>
          <w:b/>
          <w:color w:val="808080"/>
          <w:sz w:val="20"/>
        </w:rPr>
        <w:t xml:space="preserve">Tenor:  </w:t>
      </w:r>
      <w:r>
        <w:rPr>
          <w:sz w:val="20"/>
        </w:rPr>
        <w:t>12 months (Renewable annually subject to review)</w:t>
      </w:r>
    </w:p>
    <w:p>
      <w:pPr>
        <w:spacing w:after="40"/>
      </w:pPr>
      <w:r>
        <w:rPr>
          <w:b/>
          <w:color w:val="808080"/>
          <w:sz w:val="20"/>
        </w:rPr>
        <w:t xml:space="preserve">Repayment:  </w:t>
      </w:r>
      <w:r>
        <w:rPr>
          <w:sz w:val="20"/>
        </w:rPr>
        <w:t>Monthly interest servicing; Principal at maturity</w:t>
      </w:r>
    </w:p>
    <w:p>
      <w:pPr>
        <w:spacing w:after="40"/>
      </w:pPr>
      <w:r>
        <w:rPr>
          <w:b/>
          <w:color w:val="808080"/>
          <w:sz w:val="20"/>
        </w:rPr>
        <w:t xml:space="preserve">Security:  </w:t>
      </w:r>
      <w:r>
        <w:rPr>
          <w:sz w:val="20"/>
        </w:rPr>
        <w:t>As per collateral assessment — property + hypothecation of stock &amp; debtors</w:t>
      </w:r>
    </w:p>
    <w:p>
      <w:pPr>
        <w:spacing w:after="40"/>
      </w:pPr>
      <w:r>
        <w:rPr>
          <w:b/>
          <w:color w:val="808080"/>
          <w:sz w:val="20"/>
        </w:rPr>
        <w:t xml:space="preserve">Monitoring Covenant:  </w:t>
      </w:r>
      <w:r>
        <w:rPr>
          <w:sz w:val="20"/>
        </w:rPr>
        <w:t>Quarterly stock audit + half-yearly financials + annual renewal</w:t>
      </w:r>
    </w:p>
    <w:p>
      <w:pPr>
        <w:spacing w:before="320" w:after="80"/>
        <w:pBdr>
          <w:bottom w:val="single" w:sz="16" w:space="1" w:color="1A3A5C"/>
        </w:pBdr>
      </w:pPr>
      <w:r>
        <w:rPr>
          <w:b/>
          <w:color w:val="1A3A5C"/>
          <w:sz w:val="24"/>
        </w:rPr>
        <w:t>8. CONDITIONS PRECEDENT TO DISBURSEMENT</w:t>
      </w:r>
    </w:p>
    <w:p>
      <w:pPr>
        <w:pStyle w:val="ListBullet"/>
      </w:pPr>
      <w:r>
        <w:rPr>
          <w:sz w:val="20"/>
        </w:rPr>
        <w:t>Execution of loan agreement and stamped hypothecation deed</w:t>
      </w:r>
    </w:p>
    <w:p>
      <w:pPr>
        <w:pStyle w:val="ListBullet"/>
      </w:pPr>
      <w:r>
        <w:rPr>
          <w:sz w:val="20"/>
        </w:rPr>
        <w:t>Submission of audited financial statements for last 3 years</w:t>
      </w:r>
    </w:p>
    <w:p>
      <w:pPr>
        <w:pStyle w:val="ListBullet"/>
      </w:pPr>
      <w:r>
        <w:rPr>
          <w:sz w:val="20"/>
        </w:rPr>
        <w:t>Mortgage / registered charge on collateral with clear title documents</w:t>
      </w:r>
    </w:p>
    <w:p>
      <w:pPr>
        <w:pStyle w:val="ListBullet"/>
      </w:pPr>
      <w:r>
        <w:rPr>
          <w:sz w:val="20"/>
        </w:rPr>
        <w:t>Personal guarantee from all promoter-directors</w:t>
      </w:r>
    </w:p>
    <w:p>
      <w:pPr>
        <w:pStyle w:val="ListBullet"/>
      </w:pPr>
      <w:r>
        <w:rPr>
          <w:sz w:val="20"/>
        </w:rPr>
        <w:t>Insurance of hypothecated assets naming bank as beneficiary</w:t>
      </w:r>
    </w:p>
    <w:p>
      <w:pPr>
        <w:pStyle w:val="ListBullet"/>
      </w:pPr>
      <w:r>
        <w:rPr>
          <w:sz w:val="20"/>
        </w:rPr>
        <w:t>Opening of current/CC account with our bank</w:t>
      </w:r>
    </w:p>
    <w:p>
      <w:pPr>
        <w:pStyle w:val="ListBullet"/>
      </w:pPr>
      <w:r>
        <w:rPr>
          <w:sz w:val="20"/>
        </w:rPr>
        <w:t>Monthly stock statement submission within 7 days of month-end</w:t>
      </w:r>
    </w:p>
    <w:p>
      <w:pPr>
        <w:pStyle w:val="ListBullet"/>
      </w:pPr>
      <w:r>
        <w:rPr>
          <w:sz w:val="20"/>
        </w:rPr>
        <w:t>Legal opinion on collateral from bank-empanelled advocate</w:t>
      </w:r>
    </w:p>
    <w:p>
      <w:pPr>
        <w:spacing w:before="320" w:after="80"/>
        <w:pBdr>
          <w:bottom w:val="single" w:sz="16" w:space="1" w:color="1A3A5C"/>
        </w:pBdr>
      </w:pPr>
      <w:r>
        <w:rPr>
          <w:b/>
          <w:color w:val="1A3A5C"/>
          <w:sz w:val="24"/>
        </w:rPr>
        <w:t>9. DISCLAIMER</w:t>
      </w:r>
    </w:p>
    <w:p>
      <w:pPr>
        <w:spacing w:after="80"/>
      </w:pPr>
      <w:r>
        <w:rPr>
          <w:color w:val="808080"/>
          <w:sz w:val="20"/>
        </w:rPr>
        <w:t>This Credit Appraisal Memo has been prepared using AI-powered analysis of documents provided by the applicant and publicly available secondary research via Tavily, BSE India, RBI, MCA21, and eCourts. The findings are advisory and subject to review by the sanctioning authority. The bank reserves the right to modify or decline the facility at its sole discretion.</w:t>
      </w:r>
    </w:p>
    <w:p>
      <w:pPr>
        <w:spacing w:after="40"/>
      </w:pPr>
    </w:p>
    <w:p>
      <w:r>
        <w:rPr>
          <w:b/>
          <w:sz w:val="18"/>
        </w:rPr>
        <w:t xml:space="preserve">Prepared by: </w:t>
      </w:r>
      <w:r>
        <w:rPr>
          <w:sz w:val="18"/>
        </w:rPr>
        <w:t xml:space="preserve">IntelliCredit AI Engine v2.1     |     </w:t>
      </w:r>
      <w:r>
        <w:rPr>
          <w:b/>
          <w:sz w:val="18"/>
        </w:rPr>
        <w:t xml:space="preserve">Date: </w:t>
      </w:r>
      <w:r>
        <w:rPr>
          <w:sz w:val="18"/>
        </w:rPr>
        <w:t>12 March 2026, 01:33 IST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