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Literature Survey</w:t>
      </w:r>
    </w:p>
    <w:p>
      <w:pPr>
        <w:jc w:val="center"/>
      </w:pPr>
      <w:r>
        <w:rPr>
          <w:sz w:val="32"/>
        </w:rPr>
        <w:t>A Timing-Predictable INT8 CNN Accelerator on the AMD Kria KV260 (V3)</w:t>
      </w:r>
    </w:p>
    <w:p>
      <w:pPr>
        <w:jc w:val="center"/>
      </w:pPr>
      <w:r>
        <w:rPr>
          <w:sz w:val="24"/>
        </w:rPr>
        <w:t>50 verified papers in 7 categories</w:t>
      </w:r>
    </w:p>
    <w:p>
      <w:pPr>
        <w:jc w:val="center"/>
      </w:pPr>
      <w:r>
        <w:rPr>
          <w:sz w:val="24"/>
        </w:rPr>
        <w:t>07 October 2026</w:t>
        <w:br w:type="page"/>
      </w:r>
    </w:p>
    <w:p>
      <w:pPr>
        <w:pStyle w:val="Heading1"/>
      </w:pPr>
      <w:r>
        <w:t>Introduction</w:t>
      </w:r>
    </w:p>
    <w:p>
      <w:pPr>
        <w:spacing w:after="120"/>
      </w:pPr>
      <w:r>
        <w:t>This survey collects 50 papers that frame the V3 project: a timing-predictable INT8 CNN accelerator on the AMD Kria KV260. In V3 the latency of an inference is known exactly before it runs, because the cycle model, the RTL simulation and the board agree cycle for cycle. Reconfigurable dataflow (split-K, depthwise mode, per-layer mode selection) and sparsity skipping are meant to make it faster without losing that guarantee. The papers are grouped into seven categories: (1) FPGA CNN accelerators on Zynq UltraScale+ (KV260 / ZCU102 / ZCU104): 10; (2) Reconfigurable and flexible dataflow accelerators: 8; (3) Sparsity-skipping accelerators (structured weight and activation sparsity): 8; (4) Timing-predictable, real-time and WCET-aware DNN inference: 7; (5) Analytical performance models and DSE validated against hardware: 6; (6) INT8 quantization, DSP packing, depthwise/MobileNet and ResNet hardware support: 6; (7) Surveys and foundational works: 5.</w:t>
      </w:r>
    </w:p>
    <w:p>
      <w:pPr>
        <w:spacing w:after="120"/>
      </w:pPr>
      <w:r>
        <w:t>Method. One search was run per category, preferring peer-reviewed journal and conference papers from the last ten years plus key classics. Papers already checked in the project's earlier novelty review were reused where they fit. Every paper was verified by script: its DOI must resolve at doi.org, and the title, all authors, venue, volume, issue, pages and year in this table are copied from the Crossref record (DataCite or arXiv where the paper has no Crossref record). The year is the print year when Crossref has one. "n/a" marks a field that the record does not have, for example the issue number of a conference paper.</w:t>
      </w:r>
    </w:p>
    <w:p>
      <w:pPr>
        <w:spacing w:after="120"/>
      </w:pPr>
      <w:r>
        <w:t>The columns "Work done", "Advantages" and "Disadvantages" summarise what the paper itself states. The basis of each summary is given in the table: 30 papers were summarised from the full text and 20 from the abstract. Disadvantages are limits stated by the authors or clear scope limits (device, network, dataset, precision, simulation-only evaluation), worded neutrally. "Relevance" is a one-line note on how the paper relates to V3.</w:t>
      </w:r>
    </w:p>
    <w:p>
      <w:pPr>
        <w:spacing w:after="120"/>
      </w:pPr>
      <w:r>
        <w:t>Limitations. This is a curated narrative survey, not a systematic review. Papers were selected for relevance to V3, and the category counts were set in advance. Summaries based only on the abstract do not assess a paper's methods. The search, the summaries and the document were prepared with AI assistance (Claude Code subagents and scripts) and checked against the sources as described above. The machine-readable data are in survey50.csv and survey50.bib.</w:t>
      </w:r>
    </w:p>
    <w:p>
      <w:r>
        <w:br w:type="page"/>
      </w:r>
    </w:p>
    <w:p>
      <w:pPr>
        <w:pStyle w:val="Heading1"/>
      </w:pPr>
      <w:r>
        <w:t>Survey table</w:t>
      </w:r>
    </w:p>
    <w:tbl>
      <w:tblPr>
        <w:tblStyle w:val="TableGrid"/>
        <w:tblW w:type="auto" w:w="0"/>
        <w:jc w:val="center"/>
        <w:tblLayout w:type="fixed"/>
        <w:tblLook w:firstColumn="1" w:firstRow="1" w:lastColumn="0" w:lastRow="0" w:noHBand="0" w:noVBand="1" w:val="04A0"/>
      </w:tblPr>
      <w:tblGrid>
        <w:gridCol w:w="709"/>
        <w:gridCol w:w="1871"/>
        <w:gridCol w:w="1701"/>
        <w:gridCol w:w="1531"/>
        <w:gridCol w:w="1191"/>
        <w:gridCol w:w="1417"/>
        <w:gridCol w:w="1843"/>
        <w:gridCol w:w="1644"/>
        <w:gridCol w:w="1644"/>
        <w:gridCol w:w="1587"/>
      </w:tblGrid>
      <w:tr>
        <w:trPr>
          <w:tblHeader w:val="true"/>
        </w:trPr>
        <w:tc>
          <w:tcPr>
            <w:tcW w:type="dxa" w:w="709"/>
            <w:shd w:val="clear" w:color="auto" w:fill="1F2A44"/>
          </w:tcPr>
          <w:p>
            <w:pPr>
              <w:spacing w:after="0" w:before="0"/>
              <w:jc w:val="center"/>
            </w:pPr>
            <w:r>
              <w:rPr>
                <w:color w:val="FFFFFF"/>
              </w:rPr>
            </w:r>
            <w:r>
              <w:rPr>
                <w:rFonts w:ascii="Calibri" w:hAnsi="Calibri"/>
                <w:b/>
                <w:sz w:val="17"/>
              </w:rPr>
              <w:t>S.No</w:t>
            </w:r>
          </w:p>
        </w:tc>
        <w:tc>
          <w:tcPr>
            <w:tcW w:type="dxa" w:w="1871"/>
            <w:shd w:val="clear" w:color="auto" w:fill="1F2A44"/>
          </w:tcPr>
          <w:p>
            <w:pPr>
              <w:spacing w:after="0" w:before="0"/>
              <w:jc w:val="center"/>
            </w:pPr>
            <w:r>
              <w:rPr>
                <w:color w:val="FFFFFF"/>
              </w:rPr>
            </w:r>
            <w:r>
              <w:rPr>
                <w:rFonts w:ascii="Calibri" w:hAnsi="Calibri"/>
                <w:b/>
                <w:sz w:val="17"/>
              </w:rPr>
              <w:t>Title</w:t>
            </w:r>
          </w:p>
        </w:tc>
        <w:tc>
          <w:tcPr>
            <w:tcW w:type="dxa" w:w="1701"/>
            <w:shd w:val="clear" w:color="auto" w:fill="1F2A44"/>
          </w:tcPr>
          <w:p>
            <w:pPr>
              <w:spacing w:after="0" w:before="0"/>
              <w:jc w:val="center"/>
            </w:pPr>
            <w:r>
              <w:rPr>
                <w:color w:val="FFFFFF"/>
              </w:rPr>
            </w:r>
            <w:r>
              <w:rPr>
                <w:rFonts w:ascii="Calibri" w:hAnsi="Calibri"/>
                <w:b/>
                <w:sz w:val="17"/>
              </w:rPr>
              <w:t>Authors</w:t>
            </w:r>
          </w:p>
        </w:tc>
        <w:tc>
          <w:tcPr>
            <w:tcW w:type="dxa" w:w="1531"/>
            <w:shd w:val="clear" w:color="auto" w:fill="1F2A44"/>
          </w:tcPr>
          <w:p>
            <w:pPr>
              <w:spacing w:after="0" w:before="0"/>
              <w:jc w:val="center"/>
            </w:pPr>
            <w:r>
              <w:rPr>
                <w:color w:val="FFFFFF"/>
              </w:rPr>
            </w:r>
            <w:r>
              <w:rPr>
                <w:rFonts w:ascii="Calibri" w:hAnsi="Calibri"/>
                <w:b/>
                <w:sz w:val="17"/>
              </w:rPr>
              <w:t>Journal/Conference</w:t>
            </w:r>
          </w:p>
        </w:tc>
        <w:tc>
          <w:tcPr>
            <w:tcW w:type="dxa" w:w="1191"/>
            <w:shd w:val="clear" w:color="auto" w:fill="1F2A44"/>
          </w:tcPr>
          <w:p>
            <w:pPr>
              <w:spacing w:after="0" w:before="0"/>
              <w:jc w:val="center"/>
            </w:pPr>
            <w:r>
              <w:rPr>
                <w:color w:val="FFFFFF"/>
              </w:rPr>
            </w:r>
            <w:r>
              <w:rPr>
                <w:rFonts w:ascii="Calibri" w:hAnsi="Calibri"/>
                <w:b/>
                <w:sz w:val="17"/>
              </w:rPr>
              <w:t>Vol/Issue/Pages/Year</w:t>
            </w:r>
          </w:p>
        </w:tc>
        <w:tc>
          <w:tcPr>
            <w:tcW w:type="dxa" w:w="1417"/>
            <w:shd w:val="clear" w:color="auto" w:fill="1F2A44"/>
          </w:tcPr>
          <w:p>
            <w:pPr>
              <w:spacing w:after="0" w:before="0"/>
              <w:jc w:val="center"/>
            </w:pPr>
            <w:r>
              <w:rPr>
                <w:color w:val="FFFFFF"/>
              </w:rPr>
            </w:r>
            <w:r>
              <w:rPr>
                <w:rFonts w:ascii="Calibri" w:hAnsi="Calibri"/>
                <w:b/>
                <w:sz w:val="17"/>
              </w:rPr>
              <w:t>DOI</w:t>
            </w:r>
          </w:p>
        </w:tc>
        <w:tc>
          <w:tcPr>
            <w:tcW w:type="dxa" w:w="1843"/>
            <w:shd w:val="clear" w:color="auto" w:fill="1F2A44"/>
          </w:tcPr>
          <w:p>
            <w:pPr>
              <w:spacing w:after="0" w:before="0"/>
              <w:jc w:val="center"/>
            </w:pPr>
            <w:r>
              <w:rPr>
                <w:color w:val="FFFFFF"/>
              </w:rPr>
            </w:r>
            <w:r>
              <w:rPr>
                <w:rFonts w:ascii="Calibri" w:hAnsi="Calibri"/>
                <w:b/>
                <w:sz w:val="17"/>
              </w:rPr>
              <w:t>Work done</w:t>
            </w:r>
          </w:p>
        </w:tc>
        <w:tc>
          <w:tcPr>
            <w:tcW w:type="dxa" w:w="1644"/>
            <w:shd w:val="clear" w:color="auto" w:fill="1F2A44"/>
          </w:tcPr>
          <w:p>
            <w:pPr>
              <w:spacing w:after="0" w:before="0"/>
              <w:jc w:val="center"/>
            </w:pPr>
            <w:r>
              <w:rPr>
                <w:color w:val="FFFFFF"/>
              </w:rPr>
            </w:r>
            <w:r>
              <w:rPr>
                <w:rFonts w:ascii="Calibri" w:hAnsi="Calibri"/>
                <w:b/>
                <w:sz w:val="17"/>
              </w:rPr>
              <w:t>Advantages</w:t>
            </w:r>
          </w:p>
        </w:tc>
        <w:tc>
          <w:tcPr>
            <w:tcW w:type="dxa" w:w="1644"/>
            <w:shd w:val="clear" w:color="auto" w:fill="1F2A44"/>
          </w:tcPr>
          <w:p>
            <w:pPr>
              <w:spacing w:after="0" w:before="0"/>
              <w:jc w:val="center"/>
            </w:pPr>
            <w:r>
              <w:rPr>
                <w:color w:val="FFFFFF"/>
              </w:rPr>
            </w:r>
            <w:r>
              <w:rPr>
                <w:rFonts w:ascii="Calibri" w:hAnsi="Calibri"/>
                <w:b/>
                <w:sz w:val="17"/>
              </w:rPr>
              <w:t>Disadvantages</w:t>
            </w:r>
          </w:p>
        </w:tc>
        <w:tc>
          <w:tcPr>
            <w:tcW w:type="dxa" w:w="1587"/>
            <w:shd w:val="clear" w:color="auto" w:fill="1F2A44"/>
          </w:tcPr>
          <w:p>
            <w:pPr>
              <w:spacing w:after="0" w:before="0"/>
              <w:jc w:val="center"/>
            </w:pPr>
            <w:r>
              <w:rPr>
                <w:color w:val="FFFFFF"/>
              </w:rPr>
            </w:r>
            <w:r>
              <w:rPr>
                <w:rFonts w:ascii="Calibri" w:hAnsi="Calibri"/>
                <w:b/>
                <w:sz w:val="17"/>
              </w:rPr>
              <w:t>Relevance</w:t>
            </w:r>
          </w:p>
        </w:tc>
      </w:tr>
      <w:tr>
        <w:tc>
          <w:tcPr>
            <w:tcW w:type="dxa" w:w="15137"/>
            <w:gridSpan w:val="10"/>
            <w:shd w:val="clear" w:color="auto" w:fill="DCE3EF"/>
          </w:tcPr>
          <w:p>
            <w:pPr>
              <w:spacing w:after="0" w:before="0"/>
            </w:pPr>
            <w:r/>
            <w:r>
              <w:rPr>
                <w:rFonts w:ascii="Calibri" w:hAnsi="Calibri"/>
                <w:b/>
                <w:sz w:val="19"/>
              </w:rPr>
              <w:t>Category 1: FPGA CNN accelerators on Zynq UltraScale+ (KV260 / ZCU102 / ZCU104) (10 papers)</w:t>
            </w:r>
          </w:p>
        </w:tc>
      </w:tr>
      <w:tr>
        <w:tc>
          <w:tcPr>
            <w:tcW w:type="dxa" w:w="709"/>
          </w:tcPr>
          <w:p>
            <w:pPr>
              <w:spacing w:after="0" w:before="0"/>
              <w:jc w:val="center"/>
            </w:pPr>
            <w:r/>
            <w:r>
              <w:rPr>
                <w:rFonts w:ascii="Calibri" w:hAnsi="Calibri"/>
                <w:b w:val="0"/>
                <w:sz w:val="16"/>
              </w:rPr>
              <w:t>1</w:t>
            </w:r>
          </w:p>
        </w:tc>
        <w:tc>
          <w:tcPr>
            <w:tcW w:type="dxa" w:w="1871"/>
          </w:tcPr>
          <w:p>
            <w:pPr>
              <w:spacing w:after="0" w:before="0"/>
            </w:pPr>
            <w:r/>
            <w:r>
              <w:rPr>
                <w:rFonts w:ascii="Calibri" w:hAnsi="Calibri"/>
                <w:b w:val="0"/>
                <w:sz w:val="16"/>
              </w:rPr>
              <w:t>NN2FPGA: Optimizing CNN Inference on FPGAs With Binary Integer Programming</w:t>
            </w:r>
          </w:p>
        </w:tc>
        <w:tc>
          <w:tcPr>
            <w:tcW w:type="dxa" w:w="1701"/>
          </w:tcPr>
          <w:p>
            <w:pPr>
              <w:spacing w:after="0" w:before="0"/>
            </w:pPr>
            <w:r/>
            <w:r>
              <w:rPr>
                <w:rFonts w:ascii="Calibri" w:hAnsi="Calibri"/>
                <w:b w:val="0"/>
                <w:sz w:val="16"/>
              </w:rPr>
              <w:t>Roberto Bosio, Filippo Minnella, Teodoro Urso, Mario R. Casu, Luciano Lavagno, Mihai T. Lazarescu, Paolo Pasini</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44, No. 5, pp. 1807–1818, 2025</w:t>
            </w:r>
          </w:p>
        </w:tc>
        <w:tc>
          <w:tcPr>
            <w:tcW w:type="dxa" w:w="1417"/>
          </w:tcPr>
          <w:p>
            <w:pPr>
              <w:spacing w:after="0" w:before="0"/>
            </w:pPr>
            <w:r/>
            <w:r>
              <w:rPr>
                <w:rFonts w:ascii="Calibri" w:hAnsi="Calibri"/>
                <w:b w:val="0"/>
                <w:sz w:val="16"/>
              </w:rPr>
              <w:t>10.1109/TCAD.2024.3507570</w:t>
            </w:r>
          </w:p>
        </w:tc>
        <w:tc>
          <w:tcPr>
            <w:tcW w:type="dxa" w:w="1843"/>
          </w:tcPr>
          <w:p>
            <w:pPr>
              <w:spacing w:after="0" w:before="0"/>
            </w:pPr>
            <w:r/>
            <w:r>
              <w:rPr>
                <w:rFonts w:ascii="Calibri" w:hAnsi="Calibri"/>
                <w:b w:val="0"/>
                <w:sz w:val="16"/>
              </w:rPr>
              <w:t>HLS compiler (nn2fpga) that maps skip-connection CNNs (ResNet8, ResNet20, MobileNetV2) to static layer-pipelined dataflow accelerators, with reduced skip-buffering and a binary-integer-programming DSE that assigns FPGA resources per layer.</w:t>
            </w:r>
            <w:r>
              <w:rPr>
                <w:rFonts w:ascii="Calibri" w:hAnsi="Calibri"/>
                <w:i/>
                <w:sz w:val="14"/>
              </w:rPr>
              <w:t xml:space="preserve"> [Basis: abstract]</w:t>
            </w:r>
          </w:p>
        </w:tc>
        <w:tc>
          <w:tcPr>
            <w:tcW w:type="dxa" w:w="1644"/>
          </w:tcPr>
          <w:p>
            <w:pPr>
              <w:spacing w:after="0" w:before="0"/>
            </w:pPr>
            <w:r/>
            <w:r>
              <w:rPr>
                <w:rFonts w:ascii="Calibri" w:hAnsi="Calibri"/>
                <w:b w:val="0"/>
                <w:sz w:val="16"/>
              </w:rPr>
              <w:t>Reports 3x-7x throughput over prior HLS work on CIFAR-10 and ImageNet; MobileNetV2 on ZCU102 reaches 2115 FPS, about 10% above a hand-optimized RTL design.</w:t>
            </w:r>
          </w:p>
        </w:tc>
        <w:tc>
          <w:tcPr>
            <w:tcW w:type="dxa" w:w="1644"/>
          </w:tcPr>
          <w:p>
            <w:pPr>
              <w:spacing w:after="0" w:before="0"/>
            </w:pPr>
            <w:r/>
            <w:r>
              <w:rPr>
                <w:rFonts w:ascii="Calibri" w:hAnsi="Calibri"/>
                <w:b w:val="0"/>
                <w:sz w:val="16"/>
              </w:rPr>
              <w:t>Throughput-oriented static dataflow design; the abstract reports throughput only and makes no latency-predictability or cycle-exactness claim.</w:t>
            </w:r>
          </w:p>
        </w:tc>
        <w:tc>
          <w:tcPr>
            <w:tcW w:type="dxa" w:w="1587"/>
          </w:tcPr>
          <w:p>
            <w:pPr>
              <w:spacing w:after="0" w:before="0"/>
            </w:pPr>
            <w:r/>
            <w:r>
              <w:rPr>
                <w:rFonts w:ascii="Calibri" w:hAnsi="Calibri"/>
                <w:b w:val="0"/>
                <w:sz w:val="16"/>
              </w:rPr>
              <w:t>Closest prior work: custom INT8 ResNet-20/CIFAR-10 on the same KV260 board (per the earlier t5 full-text pass); the performance bar V3 is compared against.</w:t>
            </w:r>
          </w:p>
        </w:tc>
      </w:tr>
      <w:tr>
        <w:tc>
          <w:tcPr>
            <w:tcW w:type="dxa" w:w="709"/>
          </w:tcPr>
          <w:p>
            <w:pPr>
              <w:spacing w:after="0" w:before="0"/>
              <w:jc w:val="center"/>
            </w:pPr>
            <w:r/>
            <w:r>
              <w:rPr>
                <w:rFonts w:ascii="Calibri" w:hAnsi="Calibri"/>
                <w:b w:val="0"/>
                <w:sz w:val="16"/>
              </w:rPr>
              <w:t>2</w:t>
            </w:r>
          </w:p>
        </w:tc>
        <w:tc>
          <w:tcPr>
            <w:tcW w:type="dxa" w:w="1871"/>
          </w:tcPr>
          <w:p>
            <w:pPr>
              <w:spacing w:after="0" w:before="0"/>
            </w:pPr>
            <w:r/>
            <w:r>
              <w:rPr>
                <w:rFonts w:ascii="Calibri" w:hAnsi="Calibri"/>
                <w:b w:val="0"/>
                <w:sz w:val="16"/>
              </w:rPr>
              <w:t>An Exploration of State-of-the-Art Automation Frameworks for FPGA-Based DNN Acceleration</w:t>
            </w:r>
          </w:p>
        </w:tc>
        <w:tc>
          <w:tcPr>
            <w:tcW w:type="dxa" w:w="1701"/>
          </w:tcPr>
          <w:p>
            <w:pPr>
              <w:spacing w:after="0" w:before="0"/>
            </w:pPr>
            <w:r/>
            <w:r>
              <w:rPr>
                <w:rFonts w:ascii="Calibri" w:hAnsi="Calibri"/>
                <w:b w:val="0"/>
                <w:sz w:val="16"/>
              </w:rPr>
              <w:t>Fumio Hamanaka, Takashi Odan, Kenji Kise, Thiem Van Chu</w:t>
            </w:r>
          </w:p>
        </w:tc>
        <w:tc>
          <w:tcPr>
            <w:tcW w:type="dxa" w:w="1531"/>
          </w:tcPr>
          <w:p>
            <w:pPr>
              <w:spacing w:after="0" w:before="0"/>
            </w:pPr>
            <w:r/>
            <w:r>
              <w:rPr>
                <w:rFonts w:ascii="Calibri" w:hAnsi="Calibri"/>
                <w:b w:val="0"/>
                <w:sz w:val="16"/>
              </w:rPr>
              <w:t>IEEE Access</w:t>
            </w:r>
          </w:p>
        </w:tc>
        <w:tc>
          <w:tcPr>
            <w:tcW w:type="dxa" w:w="1191"/>
          </w:tcPr>
          <w:p>
            <w:pPr>
              <w:spacing w:after="0" w:before="0"/>
            </w:pPr>
            <w:r/>
            <w:r>
              <w:rPr>
                <w:rFonts w:ascii="Calibri" w:hAnsi="Calibri"/>
                <w:b w:val="0"/>
                <w:sz w:val="16"/>
              </w:rPr>
              <w:t>Vol. 11, No. n/a, pp. 5701–5713, 2023</w:t>
            </w:r>
          </w:p>
        </w:tc>
        <w:tc>
          <w:tcPr>
            <w:tcW w:type="dxa" w:w="1417"/>
          </w:tcPr>
          <w:p>
            <w:pPr>
              <w:spacing w:after="0" w:before="0"/>
            </w:pPr>
            <w:r/>
            <w:r>
              <w:rPr>
                <w:rFonts w:ascii="Calibri" w:hAnsi="Calibri"/>
                <w:b w:val="0"/>
                <w:sz w:val="16"/>
              </w:rPr>
              <w:t>10.1109/ACCESS.2023.3236974</w:t>
            </w:r>
          </w:p>
        </w:tc>
        <w:tc>
          <w:tcPr>
            <w:tcW w:type="dxa" w:w="1843"/>
          </w:tcPr>
          <w:p>
            <w:pPr>
              <w:spacing w:after="0" w:before="0"/>
            </w:pPr>
            <w:r/>
            <w:r>
              <w:rPr>
                <w:rFonts w:ascii="Calibri" w:hAnsi="Calibri"/>
                <w:b w:val="0"/>
                <w:sz w:val="16"/>
              </w:rPr>
              <w:t>Compares FINN (dataflow) and Vitis AI DPU (overlay) on the same FPGA hardware and DNN by extending the FINN flow, plus Jetson Nano and Core i7 reference platforms.</w:t>
            </w:r>
            <w:r>
              <w:rPr>
                <w:rFonts w:ascii="Calibri" w:hAnsi="Calibri"/>
                <w:i/>
                <w:sz w:val="14"/>
              </w:rPr>
              <w:t xml:space="preserve"> [Basis: abstract]</w:t>
            </w:r>
          </w:p>
        </w:tc>
        <w:tc>
          <w:tcPr>
            <w:tcW w:type="dxa" w:w="1644"/>
          </w:tcPr>
          <w:p>
            <w:pPr>
              <w:spacing w:after="0" w:before="0"/>
            </w:pPr>
            <w:r/>
            <w:r>
              <w:rPr>
                <w:rFonts w:ascii="Calibri" w:hAnsi="Calibri"/>
                <w:b w:val="0"/>
                <w:sz w:val="16"/>
              </w:rPr>
              <w:t>Same-hardware, same-model comparison of the two Xilinx frameworks; FINN accelerator beats the Vitis AI one by 8.4x latency, 3.0x throughput and 3.3x power efficiency.</w:t>
            </w:r>
          </w:p>
        </w:tc>
        <w:tc>
          <w:tcPr>
            <w:tcW w:type="dxa" w:w="1644"/>
          </w:tcPr>
          <w:p>
            <w:pPr>
              <w:spacing w:after="0" w:before="0"/>
            </w:pPr>
            <w:r/>
            <w:r>
              <w:rPr>
                <w:rFonts w:ascii="Calibri" w:hAnsi="Calibri"/>
                <w:b w:val="0"/>
                <w:sz w:val="16"/>
              </w:rPr>
              <w:t>Covers only the two Xilinx frameworks; the abstract notes dataflow designs scale poorly with DNN size.</w:t>
            </w:r>
          </w:p>
        </w:tc>
        <w:tc>
          <w:tcPr>
            <w:tcW w:type="dxa" w:w="1587"/>
          </w:tcPr>
          <w:p>
            <w:pPr>
              <w:spacing w:after="0" w:before="0"/>
            </w:pPr>
            <w:r/>
            <w:r>
              <w:rPr>
                <w:rFonts w:ascii="Calibri" w:hAnsi="Calibri"/>
                <w:b w:val="0"/>
                <w:sz w:val="16"/>
              </w:rPr>
              <w:t>Direct baseline context: DPU vs custom dataflow on a K26-based board, the same DPU baseline V3 uses.</w:t>
            </w:r>
          </w:p>
        </w:tc>
      </w:tr>
      <w:tr>
        <w:tc>
          <w:tcPr>
            <w:tcW w:type="dxa" w:w="709"/>
          </w:tcPr>
          <w:p>
            <w:pPr>
              <w:spacing w:after="0" w:before="0"/>
              <w:jc w:val="center"/>
            </w:pPr>
            <w:r/>
            <w:r>
              <w:rPr>
                <w:rFonts w:ascii="Calibri" w:hAnsi="Calibri"/>
                <w:b w:val="0"/>
                <w:sz w:val="16"/>
              </w:rPr>
              <w:t>3</w:t>
            </w:r>
          </w:p>
        </w:tc>
        <w:tc>
          <w:tcPr>
            <w:tcW w:type="dxa" w:w="1871"/>
          </w:tcPr>
          <w:p>
            <w:pPr>
              <w:spacing w:after="0" w:before="0"/>
            </w:pPr>
            <w:r/>
            <w:r>
              <w:rPr>
                <w:rFonts w:ascii="Calibri" w:hAnsi="Calibri"/>
                <w:b w:val="0"/>
                <w:sz w:val="16"/>
              </w:rPr>
              <w:t>A High-Performance CNN Processor Based on FPGA for MobileNets</w:t>
            </w:r>
          </w:p>
        </w:tc>
        <w:tc>
          <w:tcPr>
            <w:tcW w:type="dxa" w:w="1701"/>
          </w:tcPr>
          <w:p>
            <w:pPr>
              <w:spacing w:after="0" w:before="0"/>
            </w:pPr>
            <w:r/>
            <w:r>
              <w:rPr>
                <w:rFonts w:ascii="Calibri" w:hAnsi="Calibri"/>
                <w:b w:val="0"/>
                <w:sz w:val="16"/>
              </w:rPr>
              <w:t>Di Wu, Yu Zhang, Xijie Jia, Lu Tian, Tianping Li, Lingzhi Sui, Dongliang Xie, Yi Shan</w:t>
            </w:r>
          </w:p>
        </w:tc>
        <w:tc>
          <w:tcPr>
            <w:tcW w:type="dxa" w:w="1531"/>
          </w:tcPr>
          <w:p>
            <w:pPr>
              <w:spacing w:after="0" w:before="0"/>
            </w:pPr>
            <w:r/>
            <w:r>
              <w:rPr>
                <w:rFonts w:ascii="Calibri" w:hAnsi="Calibri"/>
                <w:b w:val="0"/>
                <w:sz w:val="16"/>
              </w:rPr>
              <w:t>2019 29th International Conference on Field Programmable Logic and Applications (FPL)</w:t>
            </w:r>
          </w:p>
        </w:tc>
        <w:tc>
          <w:tcPr>
            <w:tcW w:type="dxa" w:w="1191"/>
          </w:tcPr>
          <w:p>
            <w:pPr>
              <w:spacing w:after="0" w:before="0"/>
            </w:pPr>
            <w:r/>
            <w:r>
              <w:rPr>
                <w:rFonts w:ascii="Calibri" w:hAnsi="Calibri"/>
                <w:b w:val="0"/>
                <w:sz w:val="16"/>
              </w:rPr>
              <w:t>Vol. n/a, No. n/a, pp. 136–143, 2019</w:t>
            </w:r>
          </w:p>
        </w:tc>
        <w:tc>
          <w:tcPr>
            <w:tcW w:type="dxa" w:w="1417"/>
          </w:tcPr>
          <w:p>
            <w:pPr>
              <w:spacing w:after="0" w:before="0"/>
            </w:pPr>
            <w:r/>
            <w:r>
              <w:rPr>
                <w:rFonts w:ascii="Calibri" w:hAnsi="Calibri"/>
                <w:b w:val="0"/>
                <w:sz w:val="16"/>
              </w:rPr>
              <w:t>10.1109/FPL.2019.00030</w:t>
            </w:r>
          </w:p>
        </w:tc>
        <w:tc>
          <w:tcPr>
            <w:tcW w:type="dxa" w:w="1843"/>
          </w:tcPr>
          <w:p>
            <w:pPr>
              <w:spacing w:after="0" w:before="0"/>
            </w:pPr>
            <w:r/>
            <w:r>
              <w:rPr>
                <w:rFonts w:ascii="Calibri" w:hAnsi="Calibri"/>
                <w:b w:val="0"/>
                <w:sz w:val="16"/>
              </w:rPr>
              <w:t>DPU-lineage MobileNet processor with separate Conv (pointwise) and Dwcv (depthwise) engines in a layer pipeline and Channel Augmentation for the first layer; 8-bit, on ZU2 (430 MHz) and ZU9 (333 MHz).</w:t>
            </w:r>
            <w:r>
              <w:rPr>
                <w:rFonts w:ascii="Calibri" w:hAnsi="Calibri"/>
                <w:i/>
                <w:sz w:val="14"/>
              </w:rPr>
              <w:t xml:space="preserve"> [Basis: full text]</w:t>
            </w:r>
          </w:p>
        </w:tc>
        <w:tc>
          <w:tcPr>
            <w:tcW w:type="dxa" w:w="1644"/>
          </w:tcPr>
          <w:p>
            <w:pPr>
              <w:spacing w:after="0" w:before="0"/>
            </w:pPr>
            <w:r/>
            <w:r>
              <w:rPr>
                <w:rFonts w:ascii="Calibri" w:hAnsi="Calibri"/>
                <w:b w:val="0"/>
                <w:sz w:val="16"/>
              </w:rPr>
              <w:t>MobileNetV2 ImageNet at 205.3 fps on ZU2 and 809.8 fps on ZU9 at 68.1% top-1 (Table V); configurable core sizes (DPU S 212 DSP, DPU L 2070 DSP, Table III).</w:t>
            </w:r>
          </w:p>
        </w:tc>
        <w:tc>
          <w:tcPr>
            <w:tcW w:type="dxa" w:w="1644"/>
          </w:tcPr>
          <w:p>
            <w:pPr>
              <w:spacing w:after="0" w:before="0"/>
            </w:pPr>
            <w:r/>
            <w:r>
              <w:rPr>
                <w:rFonts w:ascii="Calibri" w:hAnsi="Calibri"/>
                <w:b w:val="0"/>
                <w:sz w:val="16"/>
              </w:rPr>
              <w:t>No power numbers in the tables read; top-1 68.1% is below the 72% float reference; MobileNetV2+SSD deployment stated as still in progress.</w:t>
            </w:r>
          </w:p>
        </w:tc>
        <w:tc>
          <w:tcPr>
            <w:tcW w:type="dxa" w:w="1587"/>
          </w:tcPr>
          <w:p>
            <w:pPr>
              <w:spacing w:after="0" w:before="0"/>
            </w:pPr>
            <w:r/>
            <w:r>
              <w:rPr>
                <w:rFonts w:ascii="Calibri" w:hAnsi="Calibri"/>
                <w:b w:val="0"/>
                <w:sz w:val="16"/>
              </w:rPr>
              <w:t>AMD/Xilinx DPU lineage on ZU+ with a dedicated depthwise engine: prior art for V3's depthwise mode and the DPU baseline.</w:t>
            </w:r>
          </w:p>
        </w:tc>
      </w:tr>
      <w:tr>
        <w:tc>
          <w:tcPr>
            <w:tcW w:type="dxa" w:w="709"/>
          </w:tcPr>
          <w:p>
            <w:pPr>
              <w:spacing w:after="0" w:before="0"/>
              <w:jc w:val="center"/>
            </w:pPr>
            <w:r/>
            <w:r>
              <w:rPr>
                <w:rFonts w:ascii="Calibri" w:hAnsi="Calibri"/>
                <w:b w:val="0"/>
                <w:sz w:val="16"/>
              </w:rPr>
              <w:t>4</w:t>
            </w:r>
          </w:p>
        </w:tc>
        <w:tc>
          <w:tcPr>
            <w:tcW w:type="dxa" w:w="1871"/>
          </w:tcPr>
          <w:p>
            <w:pPr>
              <w:spacing w:after="0" w:before="0"/>
            </w:pPr>
            <w:r/>
            <w:r>
              <w:rPr>
                <w:rFonts w:ascii="Calibri" w:hAnsi="Calibri"/>
                <w:b w:val="0"/>
                <w:sz w:val="16"/>
              </w:rPr>
              <w:t>DNNVM: End-to-End Compiler Leveraging Heterogeneous Optimizations on FPGA-Based CNN Accelerators</w:t>
            </w:r>
          </w:p>
        </w:tc>
        <w:tc>
          <w:tcPr>
            <w:tcW w:type="dxa" w:w="1701"/>
          </w:tcPr>
          <w:p>
            <w:pPr>
              <w:spacing w:after="0" w:before="0"/>
            </w:pPr>
            <w:r/>
            <w:r>
              <w:rPr>
                <w:rFonts w:ascii="Calibri" w:hAnsi="Calibri"/>
                <w:b w:val="0"/>
                <w:sz w:val="16"/>
              </w:rPr>
              <w:t>Yu Xing, Shuang Liang, Lingzhi Sui, Xijie Jia, Jiantao Qiu, Xin Liu, Yushun Wang, Yi Shan, Yu Wang</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39, No. 10, pp. 2668–2681, 2020</w:t>
            </w:r>
          </w:p>
        </w:tc>
        <w:tc>
          <w:tcPr>
            <w:tcW w:type="dxa" w:w="1417"/>
          </w:tcPr>
          <w:p>
            <w:pPr>
              <w:spacing w:after="0" w:before="0"/>
            </w:pPr>
            <w:r/>
            <w:r>
              <w:rPr>
                <w:rFonts w:ascii="Calibri" w:hAnsi="Calibri"/>
                <w:b w:val="0"/>
                <w:sz w:val="16"/>
              </w:rPr>
              <w:t>10.1109/TCAD.2019.2930577</w:t>
            </w:r>
          </w:p>
        </w:tc>
        <w:tc>
          <w:tcPr>
            <w:tcW w:type="dxa" w:w="1843"/>
          </w:tcPr>
          <w:p>
            <w:pPr>
              <w:spacing w:after="0" w:before="0"/>
            </w:pPr>
            <w:r/>
            <w:r>
              <w:rPr>
                <w:rFonts w:ascii="Calibri" w:hAnsi="Calibri"/>
                <w:b w:val="0"/>
                <w:sz w:val="16"/>
              </w:rPr>
              <w:t>Full-stack compiler for an ISA-driven FPGA CNN accelerator (Xilinx/DeePhi DPU style): XGraph IR, heuristic subgraph-isomorphism fusion, pipeline/data-layout search, assembler and runtime; evaluated on ZU2 and ZU9 at 330 MHz.</w:t>
            </w:r>
            <w:r>
              <w:rPr>
                <w:rFonts w:ascii="Calibri" w:hAnsi="Calibri"/>
                <w:i/>
                <w:sz w:val="14"/>
              </w:rPr>
              <w:t xml:space="preserve"> [Basis: abstract]</w:t>
            </w:r>
          </w:p>
        </w:tc>
        <w:tc>
          <w:tcPr>
            <w:tcW w:type="dxa" w:w="1644"/>
          </w:tcPr>
          <w:p>
            <w:pPr>
              <w:spacing w:after="0" w:before="0"/>
            </w:pPr>
            <w:r/>
            <w:r>
              <w:rPr>
                <w:rFonts w:ascii="Calibri" w:hAnsi="Calibri"/>
                <w:b w:val="0"/>
                <w:sz w:val="16"/>
              </w:rPr>
              <w:t>Up to 1.26x throughput from the heterogeneous optimizations; ResNet50 at 1.38 TOPs/s and VGG at 2.82 TOPs/s / 123.7 GOPs/s/W on ZU9.</w:t>
            </w:r>
          </w:p>
        </w:tc>
        <w:tc>
          <w:tcPr>
            <w:tcW w:type="dxa" w:w="1644"/>
          </w:tcPr>
          <w:p>
            <w:pPr>
              <w:spacing w:after="0" w:before="0"/>
            </w:pPr>
            <w:r/>
            <w:r>
              <w:rPr>
                <w:rFonts w:ascii="Calibri" w:hAnsi="Calibri"/>
                <w:b w:val="0"/>
                <w:sz w:val="16"/>
              </w:rPr>
              <w:t>Throughput-oriented (TOPs/s) results; ImageNet-scale networks only; compiler for one custom ISA accelerator.</w:t>
            </w:r>
          </w:p>
        </w:tc>
        <w:tc>
          <w:tcPr>
            <w:tcW w:type="dxa" w:w="1587"/>
          </w:tcPr>
          <w:p>
            <w:pPr>
              <w:spacing w:after="0" w:before="0"/>
            </w:pPr>
            <w:r/>
            <w:r>
              <w:rPr>
                <w:rFonts w:ascii="Calibri" w:hAnsi="Calibri"/>
                <w:b w:val="0"/>
                <w:sz w:val="16"/>
              </w:rPr>
              <w:t>Compiler side of the DPU baseline: per-layer scheduling/fusion for an instruction-driven ZU+ accelerator, contrast to V3's exact per-layer cycle model.</w:t>
            </w:r>
          </w:p>
        </w:tc>
      </w:tr>
      <w:tr>
        <w:tc>
          <w:tcPr>
            <w:tcW w:type="dxa" w:w="709"/>
          </w:tcPr>
          <w:p>
            <w:pPr>
              <w:spacing w:after="0" w:before="0"/>
              <w:jc w:val="center"/>
            </w:pPr>
            <w:r/>
            <w:r>
              <w:rPr>
                <w:rFonts w:ascii="Calibri" w:hAnsi="Calibri"/>
                <w:b w:val="0"/>
                <w:sz w:val="16"/>
              </w:rPr>
              <w:t>5</w:t>
            </w:r>
          </w:p>
        </w:tc>
        <w:tc>
          <w:tcPr>
            <w:tcW w:type="dxa" w:w="1871"/>
          </w:tcPr>
          <w:p>
            <w:pPr>
              <w:spacing w:after="0" w:before="0"/>
            </w:pPr>
            <w:r/>
            <w:r>
              <w:rPr>
                <w:rFonts w:ascii="Calibri" w:hAnsi="Calibri"/>
                <w:b w:val="0"/>
                <w:sz w:val="16"/>
              </w:rPr>
              <w:t>A High-Throughput Full-Dataflow MobileNetv2 Accelerator on Edge FPGA</w:t>
            </w:r>
          </w:p>
        </w:tc>
        <w:tc>
          <w:tcPr>
            <w:tcW w:type="dxa" w:w="1701"/>
          </w:tcPr>
          <w:p>
            <w:pPr>
              <w:spacing w:after="0" w:before="0"/>
            </w:pPr>
            <w:r/>
            <w:r>
              <w:rPr>
                <w:rFonts w:ascii="Calibri" w:hAnsi="Calibri"/>
                <w:b w:val="0"/>
                <w:sz w:val="16"/>
              </w:rPr>
              <w:t>Weixiong Jiang, Heng Yu, Yajun Ha</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42, No. 5, pp. 1532–1545, 2023</w:t>
            </w:r>
          </w:p>
        </w:tc>
        <w:tc>
          <w:tcPr>
            <w:tcW w:type="dxa" w:w="1417"/>
          </w:tcPr>
          <w:p>
            <w:pPr>
              <w:spacing w:after="0" w:before="0"/>
            </w:pPr>
            <w:r/>
            <w:r>
              <w:rPr>
                <w:rFonts w:ascii="Calibri" w:hAnsi="Calibri"/>
                <w:b w:val="0"/>
                <w:sz w:val="16"/>
              </w:rPr>
              <w:t>10.1109/TCAD.2022.3198246</w:t>
            </w:r>
          </w:p>
        </w:tc>
        <w:tc>
          <w:tcPr>
            <w:tcW w:type="dxa" w:w="1843"/>
          </w:tcPr>
          <w:p>
            <w:pPr>
              <w:spacing w:after="0" w:before="0"/>
            </w:pPr>
            <w:r/>
            <w:r>
              <w:rPr>
                <w:rFonts w:ascii="Calibri" w:hAnsi="Calibri"/>
                <w:b w:val="0"/>
                <w:sz w:val="16"/>
              </w:rPr>
              <w:t>Full-dataflow INT8 MobileNetV2 accelerator: improved full-integer quantization, tunable activation-weight imbalance transfer, parallelism-adjustable components, deeper-FIFO residual connections, and per-layer compute/memory allocation.</w:t>
            </w:r>
            <w:r>
              <w:rPr>
                <w:rFonts w:ascii="Calibri" w:hAnsi="Calibri"/>
                <w:i/>
                <w:sz w:val="14"/>
              </w:rPr>
              <w:t xml:space="preserve"> [Basis: abstract]</w:t>
            </w:r>
          </w:p>
        </w:tc>
        <w:tc>
          <w:tcPr>
            <w:tcW w:type="dxa" w:w="1644"/>
          </w:tcPr>
          <w:p>
            <w:pPr>
              <w:spacing w:after="0" w:before="0"/>
            </w:pPr>
            <w:r/>
            <w:r>
              <w:rPr>
                <w:rFonts w:ascii="Calibri" w:hAnsi="Calibri"/>
                <w:b w:val="0"/>
                <w:sz w:val="16"/>
              </w:rPr>
              <w:t>1910 FPS on ZCU102 (1.8x over prior work) with 72.98% top-1 at 8-bit, the highest among the MobileNetV2 accelerators it compares.</w:t>
            </w:r>
          </w:p>
        </w:tc>
        <w:tc>
          <w:tcPr>
            <w:tcW w:type="dxa" w:w="1644"/>
          </w:tcPr>
          <w:p>
            <w:pPr>
              <w:spacing w:after="0" w:before="0"/>
            </w:pPr>
            <w:r/>
            <w:r>
              <w:rPr>
                <w:rFonts w:ascii="Calibri" w:hAnsi="Calibri"/>
                <w:b w:val="0"/>
                <w:sz w:val="16"/>
              </w:rPr>
              <w:t>Single network (MobileNetV2) design point on a large ZU9 device; full-dataflow mapping is network-specific.</w:t>
            </w:r>
          </w:p>
        </w:tc>
        <w:tc>
          <w:tcPr>
            <w:tcW w:type="dxa" w:w="1587"/>
          </w:tcPr>
          <w:p>
            <w:pPr>
              <w:spacing w:after="0" w:before="0"/>
            </w:pPr>
            <w:r/>
            <w:r>
              <w:rPr>
                <w:rFonts w:ascii="Calibri" w:hAnsi="Calibri"/>
                <w:b w:val="0"/>
                <w:sz w:val="16"/>
              </w:rPr>
              <w:t>State of the art for MobileNet-style INT8 on ZU+; contrast to V3's single-array, layer-sequential approach.</w:t>
            </w:r>
          </w:p>
        </w:tc>
      </w:tr>
      <w:tr>
        <w:tc>
          <w:tcPr>
            <w:tcW w:type="dxa" w:w="709"/>
          </w:tcPr>
          <w:p>
            <w:pPr>
              <w:spacing w:after="0" w:before="0"/>
              <w:jc w:val="center"/>
            </w:pPr>
            <w:r/>
            <w:r>
              <w:rPr>
                <w:rFonts w:ascii="Calibri" w:hAnsi="Calibri"/>
                <w:b w:val="0"/>
                <w:sz w:val="16"/>
              </w:rPr>
              <w:t>6</w:t>
            </w:r>
          </w:p>
        </w:tc>
        <w:tc>
          <w:tcPr>
            <w:tcW w:type="dxa" w:w="1871"/>
          </w:tcPr>
          <w:p>
            <w:pPr>
              <w:spacing w:after="0" w:before="0"/>
            </w:pPr>
            <w:r/>
            <w:r>
              <w:rPr>
                <w:rFonts w:ascii="Calibri" w:hAnsi="Calibri"/>
                <w:b w:val="0"/>
                <w:sz w:val="16"/>
              </w:rPr>
              <w:t>FINN- R: An End-to-End Deep-Learning Framework for Fast Exploration of Quantized Neural Networks</w:t>
            </w:r>
          </w:p>
        </w:tc>
        <w:tc>
          <w:tcPr>
            <w:tcW w:type="dxa" w:w="1701"/>
          </w:tcPr>
          <w:p>
            <w:pPr>
              <w:spacing w:after="0" w:before="0"/>
            </w:pPr>
            <w:r/>
            <w:r>
              <w:rPr>
                <w:rFonts w:ascii="Calibri" w:hAnsi="Calibri"/>
                <w:b w:val="0"/>
                <w:sz w:val="16"/>
              </w:rPr>
              <w:t>Michaela Blott, Thomas B. Preußer, Nicholas J. Fraser, Giulio Gambardella, Kenneth O’brien, Yaman Umuroglu, Miriam Leeser, Kees Vissers</w:t>
            </w:r>
          </w:p>
        </w:tc>
        <w:tc>
          <w:tcPr>
            <w:tcW w:type="dxa" w:w="1531"/>
          </w:tcPr>
          <w:p>
            <w:pPr>
              <w:spacing w:after="0" w:before="0"/>
            </w:pPr>
            <w:r/>
            <w:r>
              <w:rPr>
                <w:rFonts w:ascii="Calibri" w:hAnsi="Calibri"/>
                <w:b w:val="0"/>
                <w:sz w:val="16"/>
              </w:rPr>
              <w:t>ACM Transactions on Reconfigurable Technology and Systems</w:t>
            </w:r>
          </w:p>
        </w:tc>
        <w:tc>
          <w:tcPr>
            <w:tcW w:type="dxa" w:w="1191"/>
          </w:tcPr>
          <w:p>
            <w:pPr>
              <w:spacing w:after="0" w:before="0"/>
            </w:pPr>
            <w:r/>
            <w:r>
              <w:rPr>
                <w:rFonts w:ascii="Calibri" w:hAnsi="Calibri"/>
                <w:b w:val="0"/>
                <w:sz w:val="16"/>
              </w:rPr>
              <w:t>Vol. 11, No. 3, pp. 1–23, 2018</w:t>
            </w:r>
          </w:p>
        </w:tc>
        <w:tc>
          <w:tcPr>
            <w:tcW w:type="dxa" w:w="1417"/>
          </w:tcPr>
          <w:p>
            <w:pPr>
              <w:spacing w:after="0" w:before="0"/>
            </w:pPr>
            <w:r/>
            <w:r>
              <w:rPr>
                <w:rFonts w:ascii="Calibri" w:hAnsi="Calibri"/>
                <w:b w:val="0"/>
                <w:sz w:val="16"/>
              </w:rPr>
              <w:t>10.1145/3242897</w:t>
            </w:r>
          </w:p>
        </w:tc>
        <w:tc>
          <w:tcPr>
            <w:tcW w:type="dxa" w:w="1843"/>
          </w:tcPr>
          <w:p>
            <w:pPr>
              <w:spacing w:after="0" w:before="0"/>
            </w:pPr>
            <w:r/>
            <w:r>
              <w:rPr>
                <w:rFonts w:ascii="Calibri" w:hAnsi="Calibri"/>
                <w:b w:val="0"/>
                <w:sz w:val="16"/>
              </w:rPr>
              <w:t>Second-generation FINN: end-to-end tool that generates customized quantized inference engines (dataflow or multi-layer offload) with resource-cost and performance models; evaluated on PYNQ-Z1, Ultra96 (XCZU3EG) and AWS F1.</w:t>
            </w:r>
            <w:r>
              <w:rPr>
                <w:rFonts w:ascii="Calibri" w:hAnsi="Calibri"/>
                <w:i/>
                <w:sz w:val="14"/>
              </w:rPr>
              <w:t xml:space="preserve"> [Basis: abstract]</w:t>
            </w:r>
          </w:p>
        </w:tc>
        <w:tc>
          <w:tcPr>
            <w:tcW w:type="dxa" w:w="1644"/>
          </w:tcPr>
          <w:p>
            <w:pPr>
              <w:spacing w:after="0" w:before="0"/>
            </w:pPr>
            <w:r/>
            <w:r>
              <w:rPr>
                <w:rFonts w:ascii="Calibri" w:hAnsi="Calibri"/>
                <w:b w:val="0"/>
                <w:sz w:val="16"/>
              </w:rPr>
              <w:t>Up to 50 TOp/s on AWS F1 and 5 TOp/s on embedded devices; on Ultra96 CNV-6 runs at 300 MHz (results table).</w:t>
            </w:r>
          </w:p>
        </w:tc>
        <w:tc>
          <w:tcPr>
            <w:tcW w:type="dxa" w:w="1644"/>
          </w:tcPr>
          <w:p>
            <w:pPr>
              <w:spacing w:after="0" w:before="0"/>
            </w:pPr>
            <w:r/>
            <w:r>
              <w:rPr>
                <w:rFonts w:ascii="Calibri" w:hAnsi="Calibri"/>
                <w:b w:val="0"/>
                <w:sz w:val="16"/>
              </w:rPr>
              <w:t>Targets reduced-precision (binary/few-bit) networks, not INT8; the CIFAR-10 CNV and YOLO models differ from ResNet/MobileNet.</w:t>
            </w:r>
          </w:p>
        </w:tc>
        <w:tc>
          <w:tcPr>
            <w:tcW w:type="dxa" w:w="1587"/>
          </w:tcPr>
          <w:p>
            <w:pPr>
              <w:spacing w:after="0" w:before="0"/>
            </w:pPr>
            <w:r/>
            <w:r>
              <w:rPr>
                <w:rFonts w:ascii="Calibri" w:hAnsi="Calibri"/>
                <w:b w:val="0"/>
                <w:sz w:val="16"/>
              </w:rPr>
              <w:t>FINN dataflow framework on ZU+ (Ultra96): the main open-source custom-accelerator alternative to the DPU.</w:t>
            </w:r>
          </w:p>
        </w:tc>
      </w:tr>
      <w:tr>
        <w:tc>
          <w:tcPr>
            <w:tcW w:type="dxa" w:w="709"/>
          </w:tcPr>
          <w:p>
            <w:pPr>
              <w:spacing w:after="0" w:before="0"/>
              <w:jc w:val="center"/>
            </w:pPr>
            <w:r/>
            <w:r>
              <w:rPr>
                <w:rFonts w:ascii="Calibri" w:hAnsi="Calibri"/>
                <w:b w:val="0"/>
                <w:sz w:val="16"/>
              </w:rPr>
              <w:t>7</w:t>
            </w:r>
          </w:p>
        </w:tc>
        <w:tc>
          <w:tcPr>
            <w:tcW w:type="dxa" w:w="1871"/>
          </w:tcPr>
          <w:p>
            <w:pPr>
              <w:spacing w:after="0" w:before="0"/>
            </w:pPr>
            <w:r/>
            <w:r>
              <w:rPr>
                <w:rFonts w:ascii="Calibri" w:hAnsi="Calibri"/>
                <w:b w:val="0"/>
                <w:sz w:val="16"/>
              </w:rPr>
              <w:t>Dynamic Dataflow Scheduling and Computation Mapping Techniques for Efficient Depthwise Separable Convolution Acceleration</w:t>
            </w:r>
          </w:p>
        </w:tc>
        <w:tc>
          <w:tcPr>
            <w:tcW w:type="dxa" w:w="1701"/>
          </w:tcPr>
          <w:p>
            <w:pPr>
              <w:spacing w:after="0" w:before="0"/>
            </w:pPr>
            <w:r/>
            <w:r>
              <w:rPr>
                <w:rFonts w:ascii="Calibri" w:hAnsi="Calibri"/>
                <w:b w:val="0"/>
                <w:sz w:val="16"/>
              </w:rPr>
              <w:t>Baoting Li, Hang Wang, Xuchong Zhang, Jie Ren, Longjun Liu, Hongbin Sun, Nanning Zheng</w:t>
            </w:r>
          </w:p>
        </w:tc>
        <w:tc>
          <w:tcPr>
            <w:tcW w:type="dxa" w:w="1531"/>
          </w:tcPr>
          <w:p>
            <w:pPr>
              <w:spacing w:after="0" w:before="0"/>
            </w:pPr>
            <w:r/>
            <w:r>
              <w:rPr>
                <w:rFonts w:ascii="Calibri" w:hAnsi="Calibri"/>
                <w:b w:val="0"/>
                <w:sz w:val="16"/>
              </w:rPr>
              <w:t>IEEE Transactions on Circuits and Systems I: Regular Papers</w:t>
            </w:r>
          </w:p>
        </w:tc>
        <w:tc>
          <w:tcPr>
            <w:tcW w:type="dxa" w:w="1191"/>
          </w:tcPr>
          <w:p>
            <w:pPr>
              <w:spacing w:after="0" w:before="0"/>
            </w:pPr>
            <w:r/>
            <w:r>
              <w:rPr>
                <w:rFonts w:ascii="Calibri" w:hAnsi="Calibri"/>
                <w:b w:val="0"/>
                <w:sz w:val="16"/>
              </w:rPr>
              <w:t>Vol. 68, No. 8, pp. 3279–3292, 2021</w:t>
            </w:r>
          </w:p>
        </w:tc>
        <w:tc>
          <w:tcPr>
            <w:tcW w:type="dxa" w:w="1417"/>
          </w:tcPr>
          <w:p>
            <w:pPr>
              <w:spacing w:after="0" w:before="0"/>
            </w:pPr>
            <w:r/>
            <w:r>
              <w:rPr>
                <w:rFonts w:ascii="Calibri" w:hAnsi="Calibri"/>
                <w:b w:val="0"/>
                <w:sz w:val="16"/>
              </w:rPr>
              <w:t>10.1109/TCSI.2021.3078541</w:t>
            </w:r>
          </w:p>
        </w:tc>
        <w:tc>
          <w:tcPr>
            <w:tcW w:type="dxa" w:w="1843"/>
          </w:tcPr>
          <w:p>
            <w:pPr>
              <w:spacing w:after="0" w:before="0"/>
            </w:pPr>
            <w:r/>
            <w:r>
              <w:rPr>
                <w:rFonts w:ascii="Calibri" w:hAnsi="Calibri"/>
                <w:b w:val="0"/>
                <w:sz w:val="16"/>
              </w:rPr>
              <w:t>Adaptive row-based dataflow scheduling and adaptive computation mapping for depthwise separable convolution accelerators, evaluated on six DSC-based lightweight CNNs and implemented for MobileNetV2 on ZCU102.</w:t>
            </w:r>
            <w:r>
              <w:rPr>
                <w:rFonts w:ascii="Calibri" w:hAnsi="Calibri"/>
                <w:i/>
                <w:sz w:val="14"/>
              </w:rPr>
              <w:t xml:space="preserve"> [Basis: abstract]</w:t>
            </w:r>
          </w:p>
        </w:tc>
        <w:tc>
          <w:tcPr>
            <w:tcW w:type="dxa" w:w="1644"/>
          </w:tcPr>
          <w:p>
            <w:pPr>
              <w:spacing w:after="0" w:before="0"/>
            </w:pPr>
            <w:r/>
            <w:r>
              <w:rPr>
                <w:rFonts w:ascii="Calibri" w:hAnsi="Calibri"/>
                <w:b w:val="0"/>
                <w:sz w:val="16"/>
              </w:rPr>
              <w:t>At least 50.4% smaller on-chip buffer and 1.18x convolution performance in simulation; 381.7 fps MobileNetV2 on ZCU102, 1.43x the reference design.</w:t>
            </w:r>
          </w:p>
        </w:tc>
        <w:tc>
          <w:tcPr>
            <w:tcW w:type="dxa" w:w="1644"/>
          </w:tcPr>
          <w:p>
            <w:pPr>
              <w:spacing w:after="0" w:before="0"/>
            </w:pPr>
            <w:r/>
            <w:r>
              <w:rPr>
                <w:rFonts w:ascii="Calibri" w:hAnsi="Calibri"/>
                <w:b w:val="0"/>
                <w:sz w:val="16"/>
              </w:rPr>
              <w:t>Buffer/performance gains are simulation results; board result is for MobileNetV2 only.</w:t>
            </w:r>
          </w:p>
        </w:tc>
        <w:tc>
          <w:tcPr>
            <w:tcW w:type="dxa" w:w="1587"/>
          </w:tcPr>
          <w:p>
            <w:pPr>
              <w:spacing w:after="0" w:before="0"/>
            </w:pPr>
            <w:r/>
            <w:r>
              <w:rPr>
                <w:rFonts w:ascii="Calibri" w:hAnsi="Calibri"/>
                <w:b w:val="0"/>
                <w:sz w:val="16"/>
              </w:rPr>
              <w:t>Per-layer adaptive scheduling for depthwise layers on ZU+: prior art for V3's depthwise mode and per-layer mode choice.</w:t>
            </w:r>
          </w:p>
        </w:tc>
      </w:tr>
      <w:tr>
        <w:tc>
          <w:tcPr>
            <w:tcW w:type="dxa" w:w="709"/>
          </w:tcPr>
          <w:p>
            <w:pPr>
              <w:spacing w:after="0" w:before="0"/>
              <w:jc w:val="center"/>
            </w:pPr>
            <w:r/>
            <w:r>
              <w:rPr>
                <w:rFonts w:ascii="Calibri" w:hAnsi="Calibri"/>
                <w:b w:val="0"/>
                <w:sz w:val="16"/>
              </w:rPr>
              <w:t>8</w:t>
            </w:r>
          </w:p>
        </w:tc>
        <w:tc>
          <w:tcPr>
            <w:tcW w:type="dxa" w:w="1871"/>
          </w:tcPr>
          <w:p>
            <w:pPr>
              <w:spacing w:after="0" w:before="0"/>
            </w:pPr>
            <w:r/>
            <w:r>
              <w:rPr>
                <w:rFonts w:ascii="Calibri" w:hAnsi="Calibri"/>
                <w:b w:val="0"/>
                <w:sz w:val="16"/>
              </w:rPr>
              <w:t>RADAR: An Efficient FPGA-based ResNet Accelerator with Data-aware Reordering of Processing Sequences</w:t>
            </w:r>
          </w:p>
        </w:tc>
        <w:tc>
          <w:tcPr>
            <w:tcW w:type="dxa" w:w="1701"/>
          </w:tcPr>
          <w:p>
            <w:pPr>
              <w:spacing w:after="0" w:before="0"/>
            </w:pPr>
            <w:r/>
            <w:r>
              <w:rPr>
                <w:rFonts w:ascii="Calibri" w:hAnsi="Calibri"/>
                <w:b w:val="0"/>
                <w:sz w:val="16"/>
              </w:rPr>
              <w:t>Juntae Park, Dahun Choi, Hyun Kim</w:t>
            </w:r>
          </w:p>
        </w:tc>
        <w:tc>
          <w:tcPr>
            <w:tcW w:type="dxa" w:w="1531"/>
          </w:tcPr>
          <w:p>
            <w:pPr>
              <w:spacing w:after="0" w:before="0"/>
            </w:pPr>
            <w:r/>
            <w:r>
              <w:rPr>
                <w:rFonts w:ascii="Calibri" w:hAnsi="Calibri"/>
                <w:b w:val="0"/>
                <w:sz w:val="16"/>
              </w:rPr>
              <w:t>JOURNAL OF SEMICONDUCTOR TECHNOLOGY AND SCIENCE</w:t>
            </w:r>
          </w:p>
        </w:tc>
        <w:tc>
          <w:tcPr>
            <w:tcW w:type="dxa" w:w="1191"/>
          </w:tcPr>
          <w:p>
            <w:pPr>
              <w:spacing w:after="0" w:before="0"/>
            </w:pPr>
            <w:r/>
            <w:r>
              <w:rPr>
                <w:rFonts w:ascii="Calibri" w:hAnsi="Calibri"/>
                <w:b w:val="0"/>
                <w:sz w:val="16"/>
              </w:rPr>
              <w:t>Vol. 25, No. 4, pp. 451–458, 2025</w:t>
            </w:r>
          </w:p>
        </w:tc>
        <w:tc>
          <w:tcPr>
            <w:tcW w:type="dxa" w:w="1417"/>
          </w:tcPr>
          <w:p>
            <w:pPr>
              <w:spacing w:after="0" w:before="0"/>
            </w:pPr>
            <w:r/>
            <w:r>
              <w:rPr>
                <w:rFonts w:ascii="Calibri" w:hAnsi="Calibri"/>
                <w:b w:val="0"/>
                <w:sz w:val="16"/>
              </w:rPr>
              <w:t>10.5573/jsts.2025.25.4.451</w:t>
            </w:r>
          </w:p>
        </w:tc>
        <w:tc>
          <w:tcPr>
            <w:tcW w:type="dxa" w:w="1843"/>
          </w:tcPr>
          <w:p>
            <w:pPr>
              <w:spacing w:after="0" w:before="0"/>
            </w:pPr>
            <w:r/>
            <w:r>
              <w:rPr>
                <w:rFonts w:ascii="Calibri" w:hAnsi="Calibri"/>
                <w:b w:val="0"/>
                <w:sz w:val="16"/>
              </w:rPr>
              <w:t>ResNet-18 accelerator IP that reorders each layer's computation sequence to maximize on-chip-memory reuse and uses a shared buffer for skip-connection layers, implemented on ZCU102.</w:t>
            </w:r>
            <w:r>
              <w:rPr>
                <w:rFonts w:ascii="Calibri" w:hAnsi="Calibri"/>
                <w:i/>
                <w:sz w:val="14"/>
              </w:rPr>
              <w:t xml:space="preserve"> [Basis: abstract]</w:t>
            </w:r>
          </w:p>
        </w:tc>
        <w:tc>
          <w:tcPr>
            <w:tcW w:type="dxa" w:w="1644"/>
          </w:tcPr>
          <w:p>
            <w:pPr>
              <w:spacing w:after="0" w:before="0"/>
            </w:pPr>
            <w:r/>
            <w:r>
              <w:rPr>
                <w:rFonts w:ascii="Calibri" w:hAnsi="Calibri"/>
                <w:b w:val="0"/>
                <w:sz w:val="16"/>
              </w:rPr>
              <w:t>446.9 GOPS and 64.9 GOPS/W with less DRAM access and higher OCM and processor utilization.</w:t>
            </w:r>
          </w:p>
        </w:tc>
        <w:tc>
          <w:tcPr>
            <w:tcW w:type="dxa" w:w="1644"/>
          </w:tcPr>
          <w:p>
            <w:pPr>
              <w:spacing w:after="0" w:before="0"/>
            </w:pPr>
            <w:r/>
            <w:r>
              <w:rPr>
                <w:rFonts w:ascii="Calibri" w:hAnsi="Calibri"/>
                <w:b w:val="0"/>
                <w:sz w:val="16"/>
              </w:rPr>
              <w:t>Single network (ResNet-18) on a large ZU9 device; abstract gives no frame rate or latency.</w:t>
            </w:r>
          </w:p>
        </w:tc>
        <w:tc>
          <w:tcPr>
            <w:tcW w:type="dxa" w:w="1587"/>
          </w:tcPr>
          <w:p>
            <w:pPr>
              <w:spacing w:after="0" w:before="0"/>
            </w:pPr>
            <w:r/>
            <w:r>
              <w:rPr>
                <w:rFonts w:ascii="Calibri" w:hAnsi="Calibri"/>
                <w:b w:val="0"/>
                <w:sz w:val="16"/>
              </w:rPr>
              <w:t>ZU+ ResNet accelerator handling skip connections with limited on-chip memory, comparable to V3's residual handling.</w:t>
            </w:r>
          </w:p>
        </w:tc>
      </w:tr>
      <w:tr>
        <w:tc>
          <w:tcPr>
            <w:tcW w:type="dxa" w:w="709"/>
          </w:tcPr>
          <w:p>
            <w:pPr>
              <w:spacing w:after="0" w:before="0"/>
              <w:jc w:val="center"/>
            </w:pPr>
            <w:r/>
            <w:r>
              <w:rPr>
                <w:rFonts w:ascii="Calibri" w:hAnsi="Calibri"/>
                <w:b w:val="0"/>
                <w:sz w:val="16"/>
              </w:rPr>
              <w:t>9</w:t>
            </w:r>
          </w:p>
        </w:tc>
        <w:tc>
          <w:tcPr>
            <w:tcW w:type="dxa" w:w="1871"/>
          </w:tcPr>
          <w:p>
            <w:pPr>
              <w:spacing w:after="0" w:before="0"/>
            </w:pPr>
            <w:r/>
            <w:r>
              <w:rPr>
                <w:rFonts w:ascii="Calibri" w:hAnsi="Calibri"/>
                <w:b w:val="0"/>
                <w:sz w:val="16"/>
              </w:rPr>
              <w:t>DeepDive: An Integrative Algorithm/Architecture Co-Design for Deep Separable Convolutional Neural Networks</w:t>
            </w:r>
          </w:p>
        </w:tc>
        <w:tc>
          <w:tcPr>
            <w:tcW w:type="dxa" w:w="1701"/>
          </w:tcPr>
          <w:p>
            <w:pPr>
              <w:spacing w:after="0" w:before="0"/>
            </w:pPr>
            <w:r/>
            <w:r>
              <w:rPr>
                <w:rFonts w:ascii="Calibri" w:hAnsi="Calibri"/>
                <w:b w:val="0"/>
                <w:sz w:val="16"/>
              </w:rPr>
              <w:t>Mohammadreza Baharani, Ushma Sunil, Kaustubh Manohar, Steven Furgurson, Hamed Tabkhi</w:t>
            </w:r>
          </w:p>
        </w:tc>
        <w:tc>
          <w:tcPr>
            <w:tcW w:type="dxa" w:w="1531"/>
          </w:tcPr>
          <w:p>
            <w:pPr>
              <w:spacing w:after="0" w:before="0"/>
            </w:pPr>
            <w:r/>
            <w:r>
              <w:rPr>
                <w:rFonts w:ascii="Calibri" w:hAnsi="Calibri"/>
                <w:b w:val="0"/>
                <w:sz w:val="16"/>
              </w:rPr>
              <w:t>Proceedings of the 2021 Great Lakes Symposium on VLSI</w:t>
            </w:r>
          </w:p>
        </w:tc>
        <w:tc>
          <w:tcPr>
            <w:tcW w:type="dxa" w:w="1191"/>
          </w:tcPr>
          <w:p>
            <w:pPr>
              <w:spacing w:after="0" w:before="0"/>
            </w:pPr>
            <w:r/>
            <w:r>
              <w:rPr>
                <w:rFonts w:ascii="Calibri" w:hAnsi="Calibri"/>
                <w:b w:val="0"/>
                <w:sz w:val="16"/>
              </w:rPr>
              <w:t>Vol. n/a, No. n/a, pp. 247–252, 2021</w:t>
            </w:r>
          </w:p>
        </w:tc>
        <w:tc>
          <w:tcPr>
            <w:tcW w:type="dxa" w:w="1417"/>
          </w:tcPr>
          <w:p>
            <w:pPr>
              <w:spacing w:after="0" w:before="0"/>
            </w:pPr>
            <w:r/>
            <w:r>
              <w:rPr>
                <w:rFonts w:ascii="Calibri" w:hAnsi="Calibri"/>
                <w:b w:val="0"/>
                <w:sz w:val="16"/>
              </w:rPr>
              <w:t>10.1145/3453688.3461485</w:t>
            </w:r>
          </w:p>
        </w:tc>
        <w:tc>
          <w:tcPr>
            <w:tcW w:type="dxa" w:w="1843"/>
          </w:tcPr>
          <w:p>
            <w:pPr>
              <w:spacing w:after="0" w:before="0"/>
            </w:pPr>
            <w:r/>
            <w:r>
              <w:rPr>
                <w:rFonts w:ascii="Calibri" w:hAnsi="Calibri"/>
                <w:b w:val="0"/>
                <w:sz w:val="16"/>
              </w:rPr>
              <w:t>Co-design framework for depthwise separable CNNs on edge FPGAs: heterogeneous compute units in synthesizable C++, FPGA-aware training and online channel-wise low-bit quantization, run on ZCU102.</w:t>
            </w:r>
            <w:r>
              <w:rPr>
                <w:rFonts w:ascii="Calibri" w:hAnsi="Calibri"/>
                <w:i/>
                <w:sz w:val="14"/>
              </w:rPr>
              <w:t xml:space="preserve"> [Basis: abstract]</w:t>
            </w:r>
          </w:p>
        </w:tc>
        <w:tc>
          <w:tcPr>
            <w:tcW w:type="dxa" w:w="1644"/>
          </w:tcPr>
          <w:p>
            <w:pPr>
              <w:spacing w:after="0" w:before="0"/>
            </w:pPr>
            <w:r/>
            <w:r>
              <w:rPr>
                <w:rFonts w:ascii="Calibri" w:hAnsi="Calibri"/>
                <w:b w:val="0"/>
                <w:sz w:val="16"/>
              </w:rPr>
              <w:t>47.4 FPS/W (MobileNet-V2) and 233.3 FPS/W (compact EfficientNet); 2.2x/1.51x over Jetson Nano modes and 2.27x/37.25x over two FPGA designs.</w:t>
            </w:r>
          </w:p>
        </w:tc>
        <w:tc>
          <w:tcPr>
            <w:tcW w:type="dxa" w:w="1644"/>
          </w:tcPr>
          <w:p>
            <w:pPr>
              <w:spacing w:after="0" w:before="0"/>
            </w:pPr>
            <w:r/>
            <w:r>
              <w:rPr>
                <w:rFonts w:ascii="Calibri" w:hAnsi="Calibri"/>
                <w:b w:val="0"/>
                <w:sz w:val="16"/>
              </w:rPr>
              <w:t>Uses low-bit (about 3-6 bit) quantization rather than INT8; results given as FPS/W.</w:t>
            </w:r>
          </w:p>
        </w:tc>
        <w:tc>
          <w:tcPr>
            <w:tcW w:type="dxa" w:w="1587"/>
          </w:tcPr>
          <w:p>
            <w:pPr>
              <w:spacing w:after="0" w:before="0"/>
            </w:pPr>
            <w:r/>
            <w:r>
              <w:rPr>
                <w:rFonts w:ascii="Calibri" w:hAnsi="Calibri"/>
                <w:b w:val="0"/>
                <w:sz w:val="16"/>
              </w:rPr>
              <w:t>MobileNet-style accelerator on ZU+ with heterogeneous units for depthwise layers; contrast point for V3's MobileNet workload.</w:t>
            </w:r>
          </w:p>
        </w:tc>
      </w:tr>
      <w:tr>
        <w:tc>
          <w:tcPr>
            <w:tcW w:type="dxa" w:w="709"/>
          </w:tcPr>
          <w:p>
            <w:pPr>
              <w:spacing w:after="0" w:before="0"/>
              <w:jc w:val="center"/>
            </w:pPr>
            <w:r/>
            <w:r>
              <w:rPr>
                <w:rFonts w:ascii="Calibri" w:hAnsi="Calibri"/>
                <w:b w:val="0"/>
                <w:sz w:val="16"/>
              </w:rPr>
              <w:t>10</w:t>
            </w:r>
          </w:p>
        </w:tc>
        <w:tc>
          <w:tcPr>
            <w:tcW w:type="dxa" w:w="1871"/>
          </w:tcPr>
          <w:p>
            <w:pPr>
              <w:spacing w:after="0" w:before="0"/>
            </w:pPr>
            <w:r/>
            <w:r>
              <w:rPr>
                <w:rFonts w:ascii="Calibri" w:hAnsi="Calibri"/>
                <w:b w:val="0"/>
                <w:sz w:val="16"/>
              </w:rPr>
              <w:t>Synetgy: Algorithm-hardware Co-design for ConvNet Accelerators on Embedded FPGAs</w:t>
            </w:r>
          </w:p>
        </w:tc>
        <w:tc>
          <w:tcPr>
            <w:tcW w:type="dxa" w:w="1701"/>
          </w:tcPr>
          <w:p>
            <w:pPr>
              <w:spacing w:after="0" w:before="0"/>
            </w:pPr>
            <w:r/>
            <w:r>
              <w:rPr>
                <w:rFonts w:ascii="Calibri" w:hAnsi="Calibri"/>
                <w:b w:val="0"/>
                <w:sz w:val="16"/>
              </w:rPr>
              <w:t>Yifan Yang, Qijing Huang, Bichen Wu, Tianjun Zhang, Liang Ma, Giulio Gambardella, Michaela Blott, Luciano Lavagno, Kees Vissers, John Wawrzynek, Kurt Keutzer</w:t>
            </w:r>
          </w:p>
        </w:tc>
        <w:tc>
          <w:tcPr>
            <w:tcW w:type="dxa" w:w="1531"/>
          </w:tcPr>
          <w:p>
            <w:pPr>
              <w:spacing w:after="0" w:before="0"/>
            </w:pPr>
            <w:r/>
            <w:r>
              <w:rPr>
                <w:rFonts w:ascii="Calibri" w:hAnsi="Calibri"/>
                <w:b w:val="0"/>
                <w:sz w:val="16"/>
              </w:rPr>
              <w:t>Proceedings of the 2019 ACM/SIGDA International Symposium on Field-Programmable Gate Arrays</w:t>
            </w:r>
          </w:p>
        </w:tc>
        <w:tc>
          <w:tcPr>
            <w:tcW w:type="dxa" w:w="1191"/>
          </w:tcPr>
          <w:p>
            <w:pPr>
              <w:spacing w:after="0" w:before="0"/>
            </w:pPr>
            <w:r/>
            <w:r>
              <w:rPr>
                <w:rFonts w:ascii="Calibri" w:hAnsi="Calibri"/>
                <w:b w:val="0"/>
                <w:sz w:val="16"/>
              </w:rPr>
              <w:t>Vol. n/a, No. n/a, pp. 23–32, 2019</w:t>
            </w:r>
          </w:p>
        </w:tc>
        <w:tc>
          <w:tcPr>
            <w:tcW w:type="dxa" w:w="1417"/>
          </w:tcPr>
          <w:p>
            <w:pPr>
              <w:spacing w:after="0" w:before="0"/>
            </w:pPr>
            <w:r/>
            <w:r>
              <w:rPr>
                <w:rFonts w:ascii="Calibri" w:hAnsi="Calibri"/>
                <w:b w:val="0"/>
                <w:sz w:val="16"/>
              </w:rPr>
              <w:t>10.1145/3289602.3293902</w:t>
            </w:r>
          </w:p>
        </w:tc>
        <w:tc>
          <w:tcPr>
            <w:tcW w:type="dxa" w:w="1843"/>
          </w:tcPr>
          <w:p>
            <w:pPr>
              <w:spacing w:after="0" w:before="0"/>
            </w:pPr>
            <w:r/>
            <w:r>
              <w:rPr>
                <w:rFonts w:ascii="Calibri" w:hAnsi="Calibri"/>
                <w:b w:val="0"/>
                <w:sz w:val="16"/>
              </w:rPr>
              <w:t>Co-designs DiracDeltaNet (1x1 convs plus shift operations, 1-bit weights / 4-bit activations) and an HLS accelerator on Ultra96 at 250 MHz.</w:t>
            </w:r>
            <w:r>
              <w:rPr>
                <w:rFonts w:ascii="Calibri" w:hAnsi="Calibri"/>
                <w:i/>
                <w:sz w:val="14"/>
              </w:rPr>
              <w:t xml:space="preserve"> [Basis: abstract]</w:t>
            </w:r>
          </w:p>
        </w:tc>
        <w:tc>
          <w:tcPr>
            <w:tcW w:type="dxa" w:w="1644"/>
          </w:tcPr>
          <w:p>
            <w:pPr>
              <w:spacing w:after="0" w:before="0"/>
            </w:pPr>
            <w:r/>
            <w:r>
              <w:rPr>
                <w:rFonts w:ascii="Calibri" w:hAnsi="Calibri"/>
                <w:b w:val="0"/>
                <w:sz w:val="16"/>
              </w:rPr>
              <w:t>88.2% top-5 ImageNet at 96.5 FPS; power measured with a power monitor (5.3 W idle PL, 5.5 W max).</w:t>
            </w:r>
          </w:p>
        </w:tc>
        <w:tc>
          <w:tcPr>
            <w:tcW w:type="dxa" w:w="1644"/>
          </w:tcPr>
          <w:p>
            <w:pPr>
              <w:spacing w:after="0" w:before="0"/>
            </w:pPr>
            <w:r/>
            <w:r>
              <w:rPr>
                <w:rFonts w:ascii="Calibri" w:hAnsi="Calibri"/>
                <w:b w:val="0"/>
                <w:sz w:val="16"/>
              </w:rPr>
              <w:t>Network is custom (not ResNet/MobileNet) and ultra-low precision, so it is not directly comparable to INT8 designs.</w:t>
            </w:r>
          </w:p>
        </w:tc>
        <w:tc>
          <w:tcPr>
            <w:tcW w:type="dxa" w:w="1587"/>
          </w:tcPr>
          <w:p>
            <w:pPr>
              <w:spacing w:after="0" w:before="0"/>
            </w:pPr>
            <w:r/>
            <w:r>
              <w:rPr>
                <w:rFonts w:ascii="Calibri" w:hAnsi="Calibri"/>
                <w:b w:val="0"/>
                <w:sz w:val="16"/>
              </w:rPr>
              <w:t>Early ZU+ (Ultra96) embedded CNN accelerator with board power; context for board-level power reporting.</w:t>
            </w:r>
          </w:p>
        </w:tc>
      </w:tr>
      <w:tr>
        <w:tc>
          <w:tcPr>
            <w:tcW w:type="dxa" w:w="15137"/>
            <w:gridSpan w:val="10"/>
            <w:shd w:val="clear" w:color="auto" w:fill="DCE3EF"/>
          </w:tcPr>
          <w:p>
            <w:pPr>
              <w:spacing w:after="0" w:before="0"/>
            </w:pPr>
            <w:r/>
            <w:r>
              <w:rPr>
                <w:rFonts w:ascii="Calibri" w:hAnsi="Calibri"/>
                <w:b/>
                <w:sz w:val="19"/>
              </w:rPr>
              <w:t>Category 2: Reconfigurable and flexible dataflow accelerators (8 papers)</w:t>
            </w:r>
          </w:p>
        </w:tc>
      </w:tr>
      <w:tr>
        <w:tc>
          <w:tcPr>
            <w:tcW w:type="dxa" w:w="709"/>
          </w:tcPr>
          <w:p>
            <w:pPr>
              <w:spacing w:after="0" w:before="0"/>
              <w:jc w:val="center"/>
            </w:pPr>
            <w:r/>
            <w:r>
              <w:rPr>
                <w:rFonts w:ascii="Calibri" w:hAnsi="Calibri"/>
                <w:b w:val="0"/>
                <w:sz w:val="16"/>
              </w:rPr>
              <w:t>11</w:t>
            </w:r>
          </w:p>
        </w:tc>
        <w:tc>
          <w:tcPr>
            <w:tcW w:type="dxa" w:w="1871"/>
          </w:tcPr>
          <w:p>
            <w:pPr>
              <w:spacing w:after="0" w:before="0"/>
            </w:pPr>
            <w:r/>
            <w:r>
              <w:rPr>
                <w:rFonts w:ascii="Calibri" w:hAnsi="Calibri"/>
                <w:b w:val="0"/>
                <w:sz w:val="16"/>
              </w:rPr>
              <w:t>Planaria: Dynamic Architecture Fission for Spatial Multi-Tenant Acceleration of Deep Neural Networks</w:t>
            </w:r>
          </w:p>
        </w:tc>
        <w:tc>
          <w:tcPr>
            <w:tcW w:type="dxa" w:w="1701"/>
          </w:tcPr>
          <w:p>
            <w:pPr>
              <w:spacing w:after="0" w:before="0"/>
            </w:pPr>
            <w:r/>
            <w:r>
              <w:rPr>
                <w:rFonts w:ascii="Calibri" w:hAnsi="Calibri"/>
                <w:b w:val="0"/>
                <w:sz w:val="16"/>
              </w:rPr>
              <w:t>Soroush Ghodrati, Byung Hoon Ahn, Joon Kyung Kim, Sean Kinzer, Brahmendra Reddy Yatham, Navateja Alla, Hardik Sharma, Mohammad Alian, Eiman Ebrahimi, Nam Sung Kim, Cliff Young, Hadi Esmaeilzadeh</w:t>
            </w:r>
          </w:p>
        </w:tc>
        <w:tc>
          <w:tcPr>
            <w:tcW w:type="dxa" w:w="1531"/>
          </w:tcPr>
          <w:p>
            <w:pPr>
              <w:spacing w:after="0" w:before="0"/>
            </w:pPr>
            <w:r/>
            <w:r>
              <w:rPr>
                <w:rFonts w:ascii="Calibri" w:hAnsi="Calibri"/>
                <w:b w:val="0"/>
                <w:sz w:val="16"/>
              </w:rPr>
              <w:t>2020 53rd Annual IEEE/ACM International Symposium on Microarchitecture (MICRO)</w:t>
            </w:r>
          </w:p>
        </w:tc>
        <w:tc>
          <w:tcPr>
            <w:tcW w:type="dxa" w:w="1191"/>
          </w:tcPr>
          <w:p>
            <w:pPr>
              <w:spacing w:after="0" w:before="0"/>
            </w:pPr>
            <w:r/>
            <w:r>
              <w:rPr>
                <w:rFonts w:ascii="Calibri" w:hAnsi="Calibri"/>
                <w:b w:val="0"/>
                <w:sz w:val="16"/>
              </w:rPr>
              <w:t>Vol. n/a, No. n/a, pp. 681–697, 2020</w:t>
            </w:r>
          </w:p>
        </w:tc>
        <w:tc>
          <w:tcPr>
            <w:tcW w:type="dxa" w:w="1417"/>
          </w:tcPr>
          <w:p>
            <w:pPr>
              <w:spacing w:after="0" w:before="0"/>
            </w:pPr>
            <w:r/>
            <w:r>
              <w:rPr>
                <w:rFonts w:ascii="Calibri" w:hAnsi="Calibri"/>
                <w:b w:val="0"/>
                <w:sz w:val="16"/>
              </w:rPr>
              <w:t>10.1109/micro50266.2020.00062</w:t>
            </w:r>
          </w:p>
        </w:tc>
        <w:tc>
          <w:tcPr>
            <w:tcW w:type="dxa" w:w="1843"/>
          </w:tcPr>
          <w:p>
            <w:pPr>
              <w:spacing w:after="0" w:before="0"/>
            </w:pPr>
            <w:r/>
            <w:r>
              <w:rPr>
                <w:rFonts w:ascii="Calibri" w:hAnsi="Calibri"/>
                <w:b w:val="0"/>
                <w:sz w:val="16"/>
              </w:rPr>
              <w:t>Proposes a 128x128 systolic accelerator built from omni-directional 32x32 subarrays that can be fissioned at run time into up to 16 logical accelerators to co-locate several DNN inference tasks; the compiler precompiles every fission configuration.</w:t>
            </w:r>
            <w:r>
              <w:rPr>
                <w:rFonts w:ascii="Calibri" w:hAnsi="Calibri"/>
                <w:i/>
                <w:sz w:val="14"/>
              </w:rPr>
              <w:t xml:space="preserve"> [Basis: full text]</w:t>
            </w:r>
          </w:p>
        </w:tc>
        <w:tc>
          <w:tcPr>
            <w:tcW w:type="dxa" w:w="1644"/>
          </w:tcPr>
          <w:p>
            <w:pPr>
              <w:spacing w:after="0" w:before="0"/>
            </w:pPr>
            <w:r/>
            <w:r>
              <w:rPr>
                <w:rFonts w:ascii="Calibri" w:hAnsi="Calibri"/>
                <w:b w:val="0"/>
                <w:sz w:val="16"/>
              </w:rPr>
              <w:t>Fission plus a task scheduler gives 7.4x/7.2x/12.2x higher throughput than time-multiplexed PREMA at equal compute, memory and frequency for soft/medium/hard QoS; cycle counts from its simulator are checked against Verilog.</w:t>
            </w:r>
          </w:p>
        </w:tc>
        <w:tc>
          <w:tcPr>
            <w:tcW w:type="dxa" w:w="1644"/>
          </w:tcPr>
          <w:p>
            <w:pPr>
              <w:spacing w:after="0" w:before="0"/>
            </w:pPr>
            <w:r/>
            <w:r>
              <w:rPr>
                <w:rFonts w:ascii="Calibri" w:hAnsi="Calibri"/>
                <w:b w:val="0"/>
                <w:sz w:val="16"/>
              </w:rPr>
              <w:t>Targets multi-tenant datacenter inference; evaluated with a cycle-accurate simulator and 45 nm (FreePDK) synthesis of added logic, no silicon or FPGA; no number given for simulator-vs-Verilog agreement in the sections read.</w:t>
            </w:r>
          </w:p>
        </w:tc>
        <w:tc>
          <w:tcPr>
            <w:tcW w:type="dxa" w:w="1587"/>
          </w:tcPr>
          <w:p>
            <w:pPr>
              <w:spacing w:after="0" w:before="0"/>
            </w:pPr>
            <w:r/>
            <w:r>
              <w:rPr>
                <w:rFonts w:ascii="Calibri" w:hAnsi="Calibri"/>
                <w:b w:val="0"/>
                <w:sz w:val="16"/>
              </w:rPr>
              <w:t>Closest prior work for sub-array fission of a systolic array with compile-time-known per-configuration tiles/cycles; contrast: V3 splits one array per layer for latency, exact model = board.</w:t>
            </w:r>
          </w:p>
        </w:tc>
      </w:tr>
      <w:tr>
        <w:tc>
          <w:tcPr>
            <w:tcW w:type="dxa" w:w="709"/>
          </w:tcPr>
          <w:p>
            <w:pPr>
              <w:spacing w:after="0" w:before="0"/>
              <w:jc w:val="center"/>
            </w:pPr>
            <w:r/>
            <w:r>
              <w:rPr>
                <w:rFonts w:ascii="Calibri" w:hAnsi="Calibri"/>
                <w:b w:val="0"/>
                <w:sz w:val="16"/>
              </w:rPr>
              <w:t>12</w:t>
            </w:r>
          </w:p>
        </w:tc>
        <w:tc>
          <w:tcPr>
            <w:tcW w:type="dxa" w:w="1871"/>
          </w:tcPr>
          <w:p>
            <w:pPr>
              <w:spacing w:after="0" w:before="0"/>
            </w:pPr>
            <w:r/>
            <w:r>
              <w:rPr>
                <w:rFonts w:ascii="Calibri" w:hAnsi="Calibri"/>
                <w:b w:val="0"/>
                <w:sz w:val="16"/>
              </w:rPr>
              <w:t>FEATHER: A Reconfigurable Accelerator with Data Reordering Support for Low-Cost On-Chip Dataflow Switching</w:t>
            </w:r>
          </w:p>
        </w:tc>
        <w:tc>
          <w:tcPr>
            <w:tcW w:type="dxa" w:w="1701"/>
          </w:tcPr>
          <w:p>
            <w:pPr>
              <w:spacing w:after="0" w:before="0"/>
            </w:pPr>
            <w:r/>
            <w:r>
              <w:rPr>
                <w:rFonts w:ascii="Calibri" w:hAnsi="Calibri"/>
                <w:b w:val="0"/>
                <w:sz w:val="16"/>
              </w:rPr>
              <w:t>Jianming Tong, Anirudh Itagi, Prasanth Chatarasi, Tushar Krishna</w:t>
            </w:r>
          </w:p>
        </w:tc>
        <w:tc>
          <w:tcPr>
            <w:tcW w:type="dxa" w:w="1531"/>
          </w:tcPr>
          <w:p>
            <w:pPr>
              <w:spacing w:after="0" w:before="0"/>
            </w:pPr>
            <w:r/>
            <w:r>
              <w:rPr>
                <w:rFonts w:ascii="Calibri" w:hAnsi="Calibri"/>
                <w:b w:val="0"/>
                <w:sz w:val="16"/>
              </w:rPr>
              <w:t>2024 ACM/IEEE 51st Annual International Symposium on Computer Architecture (ISCA)</w:t>
            </w:r>
          </w:p>
        </w:tc>
        <w:tc>
          <w:tcPr>
            <w:tcW w:type="dxa" w:w="1191"/>
          </w:tcPr>
          <w:p>
            <w:pPr>
              <w:spacing w:after="0" w:before="0"/>
            </w:pPr>
            <w:r/>
            <w:r>
              <w:rPr>
                <w:rFonts w:ascii="Calibri" w:hAnsi="Calibri"/>
                <w:b w:val="0"/>
                <w:sz w:val="16"/>
              </w:rPr>
              <w:t>Vol. n/a, No. n/a, pp. 198–214, 2024</w:t>
            </w:r>
          </w:p>
        </w:tc>
        <w:tc>
          <w:tcPr>
            <w:tcW w:type="dxa" w:w="1417"/>
          </w:tcPr>
          <w:p>
            <w:pPr>
              <w:spacing w:after="0" w:before="0"/>
            </w:pPr>
            <w:r/>
            <w:r>
              <w:rPr>
                <w:rFonts w:ascii="Calibri" w:hAnsi="Calibri"/>
                <w:b w:val="0"/>
                <w:sz w:val="16"/>
              </w:rPr>
              <w:t>10.1109/isca59077.2024.00024</w:t>
            </w:r>
          </w:p>
        </w:tc>
        <w:tc>
          <w:tcPr>
            <w:tcW w:type="dxa" w:w="1843"/>
          </w:tcPr>
          <w:p>
            <w:pPr>
              <w:spacing w:after="0" w:before="0"/>
            </w:pPr>
            <w:r/>
            <w:r>
              <w:rPr>
                <w:rFonts w:ascii="Calibri" w:hAnsi="Calibri"/>
                <w:b w:val="0"/>
                <w:sz w:val="16"/>
              </w:rPr>
              <w:t>Presents FEATHER, a spatial array (NEST) with a multi-stage reduction network (BIRRD) that reorders data layout during reduction so dataflow and layout can switch per layer; adds layout modelling to Timeloop (Layoutloop) and deploys the design end to end on a ZCU104 FPGA.</w:t>
            </w:r>
            <w:r>
              <w:rPr>
                <w:rFonts w:ascii="Calibri" w:hAnsi="Calibri"/>
                <w:i/>
                <w:sz w:val="14"/>
              </w:rPr>
              <w:t xml:space="preserve"> [Basis: full text]</w:t>
            </w:r>
          </w:p>
        </w:tc>
        <w:tc>
          <w:tcPr>
            <w:tcW w:type="dxa" w:w="1644"/>
          </w:tcPr>
          <w:p>
            <w:pPr>
              <w:spacing w:after="0" w:before="0"/>
            </w:pPr>
            <w:r/>
            <w:r>
              <w:rPr>
                <w:rFonts w:ascii="Calibri" w:hAnsi="Calibri"/>
                <w:b w:val="0"/>
                <w:sz w:val="16"/>
              </w:rPr>
              <w:t>Reports 1.27-2.89x latency speedup and 1.3-6.43x energy-efficiency gain over NVDLA, SIGMA and Eyeriss in Layoutloop, 2.65x/3.91x higher normalized throughput than Xilinx DPU/Gemmini on FPGA, at 6% area over a fixed-dataflow Eyeriss-like design.</w:t>
            </w:r>
          </w:p>
        </w:tc>
        <w:tc>
          <w:tcPr>
            <w:tcW w:type="dxa" w:w="1644"/>
          </w:tcPr>
          <w:p>
            <w:pPr>
              <w:spacing w:after="0" w:before="0"/>
            </w:pPr>
            <w:r/>
            <w:r>
              <w:rPr>
                <w:rFonts w:ascii="Calibri" w:hAnsi="Calibri"/>
                <w:b w:val="0"/>
                <w:sz w:val="16"/>
              </w:rPr>
              <w:t>Per-layer choice comes from a Layoutloop (Timeloop-based) EDP search, not validated against the board in the sections read; FPGA deployment of ResNet-50 uses only two layouts; DPU is faster on deep high-C/M layers (controller not optimized).</w:t>
            </w:r>
          </w:p>
        </w:tc>
        <w:tc>
          <w:tcPr>
            <w:tcW w:type="dxa" w:w="1587"/>
          </w:tcPr>
          <w:p>
            <w:pPr>
              <w:spacing w:after="0" w:before="0"/>
            </w:pPr>
            <w:r/>
            <w:r>
              <w:rPr>
                <w:rFonts w:ascii="Calibri" w:hAnsi="Calibri"/>
                <w:b w:val="0"/>
                <w:sz w:val="16"/>
              </w:rPr>
              <w:t>Closest flexible-dataflow FPGA design on a Zynq UltraScale+ board with a DPU baseline and DW layout; contrast for per-layer mode selection and latency reporting.</w:t>
            </w:r>
          </w:p>
        </w:tc>
      </w:tr>
      <w:tr>
        <w:tc>
          <w:tcPr>
            <w:tcW w:type="dxa" w:w="709"/>
          </w:tcPr>
          <w:p>
            <w:pPr>
              <w:spacing w:after="0" w:before="0"/>
              <w:jc w:val="center"/>
            </w:pPr>
            <w:r/>
            <w:r>
              <w:rPr>
                <w:rFonts w:ascii="Calibri" w:hAnsi="Calibri"/>
                <w:b w:val="0"/>
                <w:sz w:val="16"/>
              </w:rPr>
              <w:t>13</w:t>
            </w:r>
          </w:p>
        </w:tc>
        <w:tc>
          <w:tcPr>
            <w:tcW w:type="dxa" w:w="1871"/>
          </w:tcPr>
          <w:p>
            <w:pPr>
              <w:spacing w:after="0" w:before="0"/>
            </w:pPr>
            <w:r/>
            <w:r>
              <w:rPr>
                <w:rFonts w:ascii="Calibri" w:hAnsi="Calibri"/>
                <w:b w:val="0"/>
                <w:sz w:val="16"/>
              </w:rPr>
              <w:t>Eyeriss v2: A Flexible Accelerator for Emerging Deep Neural Networks on Mobile Devices</w:t>
            </w:r>
          </w:p>
        </w:tc>
        <w:tc>
          <w:tcPr>
            <w:tcW w:type="dxa" w:w="1701"/>
          </w:tcPr>
          <w:p>
            <w:pPr>
              <w:spacing w:after="0" w:before="0"/>
            </w:pPr>
            <w:r/>
            <w:r>
              <w:rPr>
                <w:rFonts w:ascii="Calibri" w:hAnsi="Calibri"/>
                <w:b w:val="0"/>
                <w:sz w:val="16"/>
              </w:rPr>
              <w:t>Yu-Hsin Chen, Tien-Ju Yang, Joel S. Emer, Vivienne Sze</w:t>
            </w:r>
          </w:p>
        </w:tc>
        <w:tc>
          <w:tcPr>
            <w:tcW w:type="dxa" w:w="1531"/>
          </w:tcPr>
          <w:p>
            <w:pPr>
              <w:spacing w:after="0" w:before="0"/>
            </w:pPr>
            <w:r/>
            <w:r>
              <w:rPr>
                <w:rFonts w:ascii="Calibri" w:hAnsi="Calibri"/>
                <w:b w:val="0"/>
                <w:sz w:val="16"/>
              </w:rPr>
              <w:t>IEEE Journal on Emerging and Selected Topics in Circuits and Systems</w:t>
            </w:r>
          </w:p>
        </w:tc>
        <w:tc>
          <w:tcPr>
            <w:tcW w:type="dxa" w:w="1191"/>
          </w:tcPr>
          <w:p>
            <w:pPr>
              <w:spacing w:after="0" w:before="0"/>
            </w:pPr>
            <w:r/>
            <w:r>
              <w:rPr>
                <w:rFonts w:ascii="Calibri" w:hAnsi="Calibri"/>
                <w:b w:val="0"/>
                <w:sz w:val="16"/>
              </w:rPr>
              <w:t>Vol. 9, No. 2, pp. 292–308, 2019</w:t>
            </w:r>
          </w:p>
        </w:tc>
        <w:tc>
          <w:tcPr>
            <w:tcW w:type="dxa" w:w="1417"/>
          </w:tcPr>
          <w:p>
            <w:pPr>
              <w:spacing w:after="0" w:before="0"/>
            </w:pPr>
            <w:r/>
            <w:r>
              <w:rPr>
                <w:rFonts w:ascii="Calibri" w:hAnsi="Calibri"/>
                <w:b w:val="0"/>
                <w:sz w:val="16"/>
              </w:rPr>
              <w:t>10.1109/jetcas.2019.2910232</w:t>
            </w:r>
          </w:p>
        </w:tc>
        <w:tc>
          <w:tcPr>
            <w:tcW w:type="dxa" w:w="1843"/>
          </w:tcPr>
          <w:p>
            <w:pPr>
              <w:spacing w:after="0" w:before="0"/>
            </w:pPr>
            <w:r/>
            <w:r>
              <w:rPr>
                <w:rFonts w:ascii="Calibri" w:hAnsi="Calibri"/>
                <w:b w:val="0"/>
                <w:sz w:val="16"/>
              </w:rPr>
              <w:t>Presents Eyeriss v2, a 192-PE row-stationary accelerator for compact and sparse DNNs with a hierarchical mesh NoC that adapts bandwidth and reuse per data type; a per-layer configuration command reconfigures the chip between layers, and PEs process compressed (CSC) sparse data.</w:t>
            </w:r>
            <w:r>
              <w:rPr>
                <w:rFonts w:ascii="Calibri" w:hAnsi="Calibri"/>
                <w:i/>
                <w:sz w:val="14"/>
              </w:rPr>
              <w:t xml:space="preserve"> [Basis: full text]</w:t>
            </w:r>
          </w:p>
        </w:tc>
        <w:tc>
          <w:tcPr>
            <w:tcW w:type="dxa" w:w="1644"/>
          </w:tcPr>
          <w:p>
            <w:pPr>
              <w:spacing w:after="0" w:before="0"/>
            </w:pPr>
            <w:r/>
            <w:r>
              <w:rPr>
                <w:rFonts w:ascii="Calibri" w:hAnsi="Calibri"/>
                <w:b w:val="0"/>
                <w:sz w:val="16"/>
              </w:rPr>
              <w:t>With sparse MobileNet in 65 nm it reaches 1470.6 inferences/s and 2560.3 inferences/J at batch 1, 12.6x faster and 2.5x more energy efficient than Eyeriss v1 running MobileNet; the NoC handles depthwise and pointwise layers with low reuse.</w:t>
            </w:r>
          </w:p>
        </w:tc>
        <w:tc>
          <w:tcPr>
            <w:tcW w:type="dxa" w:w="1644"/>
          </w:tcPr>
          <w:p>
            <w:pPr>
              <w:spacing w:after="0" w:before="0"/>
            </w:pPr>
            <w:r/>
            <w:r>
              <w:rPr>
                <w:rFonts w:ascii="Calibri" w:hAnsi="Calibri"/>
                <w:b w:val="0"/>
                <w:sz w:val="16"/>
              </w:rPr>
              <w:t>Results are post-layout cycle-accurate gate-level simulations in 65 nm, not measured silicon; only one layer is processed at a time; the large MobileNet model was not benchmarked because post-layout simulation was too slow.</w:t>
            </w:r>
          </w:p>
        </w:tc>
        <w:tc>
          <w:tcPr>
            <w:tcW w:type="dxa" w:w="1587"/>
          </w:tcPr>
          <w:p>
            <w:pPr>
              <w:spacing w:after="0" w:before="0"/>
            </w:pPr>
            <w:r/>
            <w:r>
              <w:rPr>
                <w:rFonts w:ascii="Calibri" w:hAnsi="Calibri"/>
                <w:b w:val="0"/>
                <w:sz w:val="16"/>
              </w:rPr>
              <w:t>Key prior work on flexible on-chip networks for layer-shape variation (DW/PW) with per-layer reconfiguration; contrast to V3's fixed systolic links with per-layer modes.</w:t>
            </w:r>
          </w:p>
        </w:tc>
      </w:tr>
      <w:tr>
        <w:tc>
          <w:tcPr>
            <w:tcW w:type="dxa" w:w="709"/>
          </w:tcPr>
          <w:p>
            <w:pPr>
              <w:spacing w:after="0" w:before="0"/>
              <w:jc w:val="center"/>
            </w:pPr>
            <w:r/>
            <w:r>
              <w:rPr>
                <w:rFonts w:ascii="Calibri" w:hAnsi="Calibri"/>
                <w:b w:val="0"/>
                <w:sz w:val="16"/>
              </w:rPr>
              <w:t>14</w:t>
            </w:r>
          </w:p>
        </w:tc>
        <w:tc>
          <w:tcPr>
            <w:tcW w:type="dxa" w:w="1871"/>
          </w:tcPr>
          <w:p>
            <w:pPr>
              <w:spacing w:after="0" w:before="0"/>
            </w:pPr>
            <w:r/>
            <w:r>
              <w:rPr>
                <w:rFonts w:ascii="Calibri" w:hAnsi="Calibri"/>
                <w:b w:val="0"/>
                <w:sz w:val="16"/>
              </w:rPr>
              <w:t>MAERI: Enabling Flexible Dataflow Mapping over DNN Accelerators via Reconfigurable Interconnects</w:t>
            </w:r>
          </w:p>
        </w:tc>
        <w:tc>
          <w:tcPr>
            <w:tcW w:type="dxa" w:w="1701"/>
          </w:tcPr>
          <w:p>
            <w:pPr>
              <w:spacing w:after="0" w:before="0"/>
            </w:pPr>
            <w:r/>
            <w:r>
              <w:rPr>
                <w:rFonts w:ascii="Calibri" w:hAnsi="Calibri"/>
                <w:b w:val="0"/>
                <w:sz w:val="16"/>
              </w:rPr>
              <w:t>Hyoukjun Kwon, Ananda Samajdar, Tushar Krishna</w:t>
            </w:r>
          </w:p>
        </w:tc>
        <w:tc>
          <w:tcPr>
            <w:tcW w:type="dxa" w:w="1531"/>
          </w:tcPr>
          <w:p>
            <w:pPr>
              <w:spacing w:after="0" w:before="0"/>
            </w:pPr>
            <w:r/>
            <w:r>
              <w:rPr>
                <w:rFonts w:ascii="Calibri" w:hAnsi="Calibri"/>
                <w:b w:val="0"/>
                <w:sz w:val="16"/>
              </w:rPr>
              <w:t>Proceedings of the Twenty-Third International Conference on Architectural Support for Programming Languages and Operating Systems</w:t>
            </w:r>
          </w:p>
        </w:tc>
        <w:tc>
          <w:tcPr>
            <w:tcW w:type="dxa" w:w="1191"/>
          </w:tcPr>
          <w:p>
            <w:pPr>
              <w:spacing w:after="0" w:before="0"/>
            </w:pPr>
            <w:r/>
            <w:r>
              <w:rPr>
                <w:rFonts w:ascii="Calibri" w:hAnsi="Calibri"/>
                <w:b w:val="0"/>
                <w:sz w:val="16"/>
              </w:rPr>
              <w:t>Vol. n/a, No. n/a, pp. 461–475, 2018</w:t>
            </w:r>
          </w:p>
        </w:tc>
        <w:tc>
          <w:tcPr>
            <w:tcW w:type="dxa" w:w="1417"/>
          </w:tcPr>
          <w:p>
            <w:pPr>
              <w:spacing w:after="0" w:before="0"/>
            </w:pPr>
            <w:r/>
            <w:r>
              <w:rPr>
                <w:rFonts w:ascii="Calibri" w:hAnsi="Calibri"/>
                <w:b w:val="0"/>
                <w:sz w:val="16"/>
              </w:rPr>
              <w:t>10.1145/3173162.3173176</w:t>
            </w:r>
          </w:p>
        </w:tc>
        <w:tc>
          <w:tcPr>
            <w:tcW w:type="dxa" w:w="1843"/>
          </w:tcPr>
          <w:p>
            <w:pPr>
              <w:spacing w:after="0" w:before="0"/>
            </w:pPr>
            <w:r/>
            <w:r>
              <w:rPr>
                <w:rFonts w:ascii="Calibri" w:hAnsi="Calibri"/>
                <w:b w:val="0"/>
                <w:sz w:val="16"/>
              </w:rPr>
              <w:t>Proposes MAERI, a DNN accelerator built from multiplier and adder switches connected by a configurable distribution tree and an augmented reduction tree, so arbitrary dataflows and layer partitions map by configuring small switches; implemented in Bluespec and synthesized in 28 nm at 200 MHz.</w:t>
            </w:r>
            <w:r>
              <w:rPr>
                <w:rFonts w:ascii="Calibri" w:hAnsi="Calibri"/>
                <w:i/>
                <w:sz w:val="14"/>
              </w:rPr>
              <w:t xml:space="preserve"> [Basis: full text]</w:t>
            </w:r>
          </w:p>
        </w:tc>
        <w:tc>
          <w:tcPr>
            <w:tcW w:type="dxa" w:w="1644"/>
          </w:tcPr>
          <w:p>
            <w:pPr>
              <w:spacing w:after="0" w:before="0"/>
            </w:pPr>
            <w:r/>
            <w:r>
              <w:rPr>
                <w:rFonts w:ascii="Calibri" w:hAnsi="Calibri"/>
                <w:b w:val="0"/>
                <w:sz w:val="16"/>
              </w:rPr>
              <w:t>Reports 8-459% better utilization across dataflow mappings than rigid-NoC baselines and a 72.4% average speedup with about 95% multiplier utilization over a systolic array and an Eyeriss-like design with 64 MACs on AlexNet/VGG conv layers.</w:t>
            </w:r>
          </w:p>
        </w:tc>
        <w:tc>
          <w:tcPr>
            <w:tcW w:type="dxa" w:w="1644"/>
          </w:tcPr>
          <w:p>
            <w:pPr>
              <w:spacing w:after="0" w:before="0"/>
            </w:pPr>
            <w:r/>
            <w:r>
              <w:rPr>
                <w:rFonts w:ascii="Calibri" w:hAnsi="Calibri"/>
                <w:b w:val="0"/>
                <w:sz w:val="16"/>
              </w:rPr>
              <w:t>Synthesis tools report higher power than Eyeriss at equal compute; large filters (AlexNet 11x11, 5x5) lead to underutilization; ASIC synthesis plus simulation only.</w:t>
            </w:r>
          </w:p>
        </w:tc>
        <w:tc>
          <w:tcPr>
            <w:tcW w:type="dxa" w:w="1587"/>
          </w:tcPr>
          <w:p>
            <w:pPr>
              <w:spacing w:after="0" w:before="0"/>
            </w:pPr>
            <w:r/>
            <w:r>
              <w:rPr>
                <w:rFonts w:ascii="Calibri" w:hAnsi="Calibri"/>
                <w:b w:val="0"/>
                <w:sz w:val="16"/>
              </w:rPr>
              <w:t>Classic flexible-interconnect accelerator (reconfigurable reduction tree); contrast to V3's systolic array where flexibility is limited to per-layer modes.</w:t>
            </w:r>
          </w:p>
        </w:tc>
      </w:tr>
      <w:tr>
        <w:tc>
          <w:tcPr>
            <w:tcW w:type="dxa" w:w="709"/>
          </w:tcPr>
          <w:p>
            <w:pPr>
              <w:spacing w:after="0" w:before="0"/>
              <w:jc w:val="center"/>
            </w:pPr>
            <w:r/>
            <w:r>
              <w:rPr>
                <w:rFonts w:ascii="Calibri" w:hAnsi="Calibri"/>
                <w:b w:val="0"/>
                <w:sz w:val="16"/>
              </w:rPr>
              <w:t>15</w:t>
            </w:r>
          </w:p>
        </w:tc>
        <w:tc>
          <w:tcPr>
            <w:tcW w:type="dxa" w:w="1871"/>
          </w:tcPr>
          <w:p>
            <w:pPr>
              <w:spacing w:after="0" w:before="0"/>
            </w:pPr>
            <w:r/>
            <w:r>
              <w:rPr>
                <w:rFonts w:ascii="Calibri" w:hAnsi="Calibri"/>
                <w:b w:val="0"/>
                <w:sz w:val="16"/>
              </w:rPr>
              <w:t>SIGMA: A Sparse and Irregular GEMM Accelerator with Flexible Interconnects for DNN Training</w:t>
            </w:r>
          </w:p>
        </w:tc>
        <w:tc>
          <w:tcPr>
            <w:tcW w:type="dxa" w:w="1701"/>
          </w:tcPr>
          <w:p>
            <w:pPr>
              <w:spacing w:after="0" w:before="0"/>
            </w:pPr>
            <w:r/>
            <w:r>
              <w:rPr>
                <w:rFonts w:ascii="Calibri" w:hAnsi="Calibri"/>
                <w:b w:val="0"/>
                <w:sz w:val="16"/>
              </w:rPr>
              <w:t>Eric Qin, Ananda Samajdar, Hyoukjun Kwon, Vineet Nadella, Sudarshan Srinivasan, Dipankar Das, Bharat Kaul, Tushar Krishna</w:t>
            </w:r>
          </w:p>
        </w:tc>
        <w:tc>
          <w:tcPr>
            <w:tcW w:type="dxa" w:w="1531"/>
          </w:tcPr>
          <w:p>
            <w:pPr>
              <w:spacing w:after="0" w:before="0"/>
            </w:pPr>
            <w:r/>
            <w:r>
              <w:rPr>
                <w:rFonts w:ascii="Calibri" w:hAnsi="Calibri"/>
                <w:b w:val="0"/>
                <w:sz w:val="16"/>
              </w:rPr>
              <w:t>2020 IEEE International Symposium on High Performance Computer Architecture (HPCA)</w:t>
            </w:r>
          </w:p>
        </w:tc>
        <w:tc>
          <w:tcPr>
            <w:tcW w:type="dxa" w:w="1191"/>
          </w:tcPr>
          <w:p>
            <w:pPr>
              <w:spacing w:after="0" w:before="0"/>
            </w:pPr>
            <w:r/>
            <w:r>
              <w:rPr>
                <w:rFonts w:ascii="Calibri" w:hAnsi="Calibri"/>
                <w:b w:val="0"/>
                <w:sz w:val="16"/>
              </w:rPr>
              <w:t>Vol. n/a, No. n/a, pp. 58–70, 2020</w:t>
            </w:r>
          </w:p>
        </w:tc>
        <w:tc>
          <w:tcPr>
            <w:tcW w:type="dxa" w:w="1417"/>
          </w:tcPr>
          <w:p>
            <w:pPr>
              <w:spacing w:after="0" w:before="0"/>
            </w:pPr>
            <w:r/>
            <w:r>
              <w:rPr>
                <w:rFonts w:ascii="Calibri" w:hAnsi="Calibri"/>
                <w:b w:val="0"/>
                <w:sz w:val="16"/>
              </w:rPr>
              <w:t>10.1109/hpca47549.2020.00015</w:t>
            </w:r>
          </w:p>
        </w:tc>
        <w:tc>
          <w:tcPr>
            <w:tcW w:type="dxa" w:w="1843"/>
          </w:tcPr>
          <w:p>
            <w:pPr>
              <w:spacing w:after="0" w:before="0"/>
            </w:pPr>
            <w:r/>
            <w:r>
              <w:rPr>
                <w:rFonts w:ascii="Calibri" w:hAnsi="Calibri"/>
                <w:b w:val="0"/>
                <w:sz w:val="16"/>
              </w:rPr>
              <w:t>Proposes SIGMA, a GEMM accelerator with flexible distribution and a Forwarding Adder Network (FAN) reduction tree that keeps PEs utilized for irregular GEMM shapes and arbitrary sparsity, targeting DNN training.</w:t>
            </w:r>
            <w:r>
              <w:rPr>
                <w:rFonts w:ascii="Calibri" w:hAnsi="Calibri"/>
                <w:i/>
                <w:sz w:val="14"/>
              </w:rPr>
              <w:t xml:space="preserve"> [Basis: abstract]</w:t>
            </w:r>
          </w:p>
        </w:tc>
        <w:tc>
          <w:tcPr>
            <w:tcW w:type="dxa" w:w="1644"/>
          </w:tcPr>
          <w:p>
            <w:pPr>
              <w:spacing w:after="0" w:before="0"/>
            </w:pPr>
            <w:r/>
            <w:r>
              <w:rPr>
                <w:rFonts w:ascii="Calibri" w:hAnsi="Calibri"/>
                <w:b w:val="0"/>
                <w:sz w:val="16"/>
              </w:rPr>
              <w:t>Reports 5.7x better performance than systolic arrays on irregular sparse matrices and about 3x over sparse accelerators; an instance reaches 10.8 TFLOPS efficiency at 65.10 mm^2 and 22.33 W in 28 nm.</w:t>
            </w:r>
          </w:p>
        </w:tc>
        <w:tc>
          <w:tcPr>
            <w:tcW w:type="dxa" w:w="1644"/>
          </w:tcPr>
          <w:p>
            <w:pPr>
              <w:spacing w:after="0" w:before="0"/>
            </w:pPr>
            <w:r/>
            <w:r>
              <w:rPr>
                <w:rFonts w:ascii="Calibri" w:hAnsi="Calibri"/>
                <w:b w:val="0"/>
                <w:sz w:val="16"/>
              </w:rPr>
              <w:t>Targets training-scale GEMMs in an ASIC (28 nm); flexibility comes from large distribution/reduction networks rather than a plain systolic array.</w:t>
            </w:r>
          </w:p>
        </w:tc>
        <w:tc>
          <w:tcPr>
            <w:tcW w:type="dxa" w:w="1587"/>
          </w:tcPr>
          <w:p>
            <w:pPr>
              <w:spacing w:after="0" w:before="0"/>
            </w:pPr>
            <w:r/>
            <w:r>
              <w:rPr>
                <w:rFonts w:ascii="Calibri" w:hAnsi="Calibri"/>
                <w:b w:val="0"/>
                <w:sz w:val="16"/>
              </w:rPr>
              <w:t>Motivates handling irregular (small/skinny) GEMM shapes that underuse systolic arrays, the case V3 addresses with split-K; contrast in hardware cost.</w:t>
            </w:r>
          </w:p>
        </w:tc>
      </w:tr>
      <w:tr>
        <w:tc>
          <w:tcPr>
            <w:tcW w:type="dxa" w:w="709"/>
          </w:tcPr>
          <w:p>
            <w:pPr>
              <w:spacing w:after="0" w:before="0"/>
              <w:jc w:val="center"/>
            </w:pPr>
            <w:r/>
            <w:r>
              <w:rPr>
                <w:rFonts w:ascii="Calibri" w:hAnsi="Calibri"/>
                <w:b w:val="0"/>
                <w:sz w:val="16"/>
              </w:rPr>
              <w:t>16</w:t>
            </w:r>
          </w:p>
        </w:tc>
        <w:tc>
          <w:tcPr>
            <w:tcW w:type="dxa" w:w="1871"/>
          </w:tcPr>
          <w:p>
            <w:pPr>
              <w:spacing w:after="0" w:before="0"/>
            </w:pPr>
            <w:r/>
            <w:r>
              <w:rPr>
                <w:rFonts w:ascii="Calibri" w:hAnsi="Calibri"/>
                <w:b w:val="0"/>
                <w:sz w:val="16"/>
              </w:rPr>
              <w:t>FlexFlow: A Flexible Dataflow Accelerator Architecture for Convolutional Neural Networks</w:t>
            </w:r>
          </w:p>
        </w:tc>
        <w:tc>
          <w:tcPr>
            <w:tcW w:type="dxa" w:w="1701"/>
          </w:tcPr>
          <w:p>
            <w:pPr>
              <w:spacing w:after="0" w:before="0"/>
            </w:pPr>
            <w:r/>
            <w:r>
              <w:rPr>
                <w:rFonts w:ascii="Calibri" w:hAnsi="Calibri"/>
                <w:b w:val="0"/>
                <w:sz w:val="16"/>
              </w:rPr>
              <w:t>Wenyan Lu, Guihai Yan, Jiajun Li, Shijun Gong, Yinhe Han, Xiaowei Li</w:t>
            </w:r>
          </w:p>
        </w:tc>
        <w:tc>
          <w:tcPr>
            <w:tcW w:type="dxa" w:w="1531"/>
          </w:tcPr>
          <w:p>
            <w:pPr>
              <w:spacing w:after="0" w:before="0"/>
            </w:pPr>
            <w:r/>
            <w:r>
              <w:rPr>
                <w:rFonts w:ascii="Calibri" w:hAnsi="Calibri"/>
                <w:b w:val="0"/>
                <w:sz w:val="16"/>
              </w:rPr>
              <w:t>2017 IEEE International Symposium on High Performance Computer Architecture (HPCA)</w:t>
            </w:r>
          </w:p>
        </w:tc>
        <w:tc>
          <w:tcPr>
            <w:tcW w:type="dxa" w:w="1191"/>
          </w:tcPr>
          <w:p>
            <w:pPr>
              <w:spacing w:after="0" w:before="0"/>
            </w:pPr>
            <w:r/>
            <w:r>
              <w:rPr>
                <w:rFonts w:ascii="Calibri" w:hAnsi="Calibri"/>
                <w:b w:val="0"/>
                <w:sz w:val="16"/>
              </w:rPr>
              <w:t>Vol. n/a, No. n/a, pp. 553–564, 2017</w:t>
            </w:r>
          </w:p>
        </w:tc>
        <w:tc>
          <w:tcPr>
            <w:tcW w:type="dxa" w:w="1417"/>
          </w:tcPr>
          <w:p>
            <w:pPr>
              <w:spacing w:after="0" w:before="0"/>
            </w:pPr>
            <w:r/>
            <w:r>
              <w:rPr>
                <w:rFonts w:ascii="Calibri" w:hAnsi="Calibri"/>
                <w:b w:val="0"/>
                <w:sz w:val="16"/>
              </w:rPr>
              <w:t>10.1109/hpca.2017.29</w:t>
            </w:r>
          </w:p>
        </w:tc>
        <w:tc>
          <w:tcPr>
            <w:tcW w:type="dxa" w:w="1843"/>
          </w:tcPr>
          <w:p>
            <w:pPr>
              <w:spacing w:after="0" w:before="0"/>
            </w:pPr>
            <w:r/>
            <w:r>
              <w:rPr>
                <w:rFonts w:ascii="Calibri" w:hAnsi="Calibri"/>
                <w:b w:val="0"/>
                <w:sz w:val="16"/>
              </w:rPr>
              <w:t>Proposes FlexFlow, a CNN accelerator whose dataflow combines feature-map, neuron and synapse parallelism to reduce the mismatch between the parallelism a compute engine supports and the parallelism each CNN workload offers.</w:t>
            </w:r>
            <w:r>
              <w:rPr>
                <w:rFonts w:ascii="Calibri" w:hAnsi="Calibri"/>
                <w:i/>
                <w:sz w:val="14"/>
              </w:rPr>
              <w:t xml:space="preserve"> [Basis: abstract]</w:t>
            </w:r>
          </w:p>
        </w:tc>
        <w:tc>
          <w:tcPr>
            <w:tcW w:type="dxa" w:w="1644"/>
          </w:tcPr>
          <w:p>
            <w:pPr>
              <w:spacing w:after="0" w:before="0"/>
            </w:pPr>
            <w:r/>
            <w:r>
              <w:rPr>
                <w:rFonts w:ascii="Calibri" w:hAnsi="Calibri"/>
                <w:b w:val="0"/>
                <w:sz w:val="16"/>
              </w:rPr>
              <w:t>On six workloads it reports 2-10x speedup and 2.5-10x power-efficiency improvement over three accelerator architectures, and scales well with compute-engine size.</w:t>
            </w:r>
          </w:p>
        </w:tc>
        <w:tc>
          <w:tcPr>
            <w:tcW w:type="dxa" w:w="1644"/>
          </w:tcPr>
          <w:p>
            <w:pPr>
              <w:spacing w:after="0" w:before="0"/>
            </w:pPr>
            <w:r/>
            <w:r>
              <w:rPr>
                <w:rFonts w:ascii="Calibri" w:hAnsi="Calibri"/>
                <w:b w:val="0"/>
                <w:sz w:val="16"/>
              </w:rPr>
              <w:t>Only the abstract was read; evaluation scope (technology, simulation vs silicon) not checked.</w:t>
            </w:r>
          </w:p>
        </w:tc>
        <w:tc>
          <w:tcPr>
            <w:tcW w:type="dxa" w:w="1587"/>
          </w:tcPr>
          <w:p>
            <w:pPr>
              <w:spacing w:after="0" w:before="0"/>
            </w:pPr>
            <w:r/>
            <w:r>
              <w:rPr>
                <w:rFonts w:ascii="Calibri" w:hAnsi="Calibri"/>
                <w:b w:val="0"/>
                <w:sz w:val="16"/>
              </w:rPr>
              <w:t>Early flexible-dataflow CNN accelerator addressing per-layer parallelism mismatch, the same utilization problem V3 tackles with per-layer modes.</w:t>
            </w:r>
          </w:p>
        </w:tc>
      </w:tr>
      <w:tr>
        <w:tc>
          <w:tcPr>
            <w:tcW w:type="dxa" w:w="709"/>
          </w:tcPr>
          <w:p>
            <w:pPr>
              <w:spacing w:after="0" w:before="0"/>
              <w:jc w:val="center"/>
            </w:pPr>
            <w:r/>
            <w:r>
              <w:rPr>
                <w:rFonts w:ascii="Calibri" w:hAnsi="Calibri"/>
                <w:b w:val="0"/>
                <w:sz w:val="16"/>
              </w:rPr>
              <w:t>17</w:t>
            </w:r>
          </w:p>
        </w:tc>
        <w:tc>
          <w:tcPr>
            <w:tcW w:type="dxa" w:w="1871"/>
          </w:tcPr>
          <w:p>
            <w:pPr>
              <w:spacing w:after="0" w:before="0"/>
            </w:pPr>
            <w:r/>
            <w:r>
              <w:rPr>
                <w:rFonts w:ascii="Calibri" w:hAnsi="Calibri"/>
                <w:b w:val="0"/>
                <w:sz w:val="16"/>
              </w:rPr>
              <w:t>Self adaptive reconfigurable arrays (SARA): learning flexible GEMM accelerator configuration and mapping-space using ML</w:t>
            </w:r>
          </w:p>
        </w:tc>
        <w:tc>
          <w:tcPr>
            <w:tcW w:type="dxa" w:w="1701"/>
          </w:tcPr>
          <w:p>
            <w:pPr>
              <w:spacing w:after="0" w:before="0"/>
            </w:pPr>
            <w:r/>
            <w:r>
              <w:rPr>
                <w:rFonts w:ascii="Calibri" w:hAnsi="Calibri"/>
                <w:b w:val="0"/>
                <w:sz w:val="16"/>
              </w:rPr>
              <w:t>Ananda Samajdar, Eric Qin, Michael Pellauer, Tushar Krishna</w:t>
            </w:r>
          </w:p>
        </w:tc>
        <w:tc>
          <w:tcPr>
            <w:tcW w:type="dxa" w:w="1531"/>
          </w:tcPr>
          <w:p>
            <w:pPr>
              <w:spacing w:after="0" w:before="0"/>
            </w:pPr>
            <w:r/>
            <w:r>
              <w:rPr>
                <w:rFonts w:ascii="Calibri" w:hAnsi="Calibri"/>
                <w:b w:val="0"/>
                <w:sz w:val="16"/>
              </w:rPr>
              <w:t>Proceedings of the 59th ACM/IEEE Design Automation Conference</w:t>
            </w:r>
          </w:p>
        </w:tc>
        <w:tc>
          <w:tcPr>
            <w:tcW w:type="dxa" w:w="1191"/>
          </w:tcPr>
          <w:p>
            <w:pPr>
              <w:spacing w:after="0" w:before="0"/>
            </w:pPr>
            <w:r/>
            <w:r>
              <w:rPr>
                <w:rFonts w:ascii="Calibri" w:hAnsi="Calibri"/>
                <w:b w:val="0"/>
                <w:sz w:val="16"/>
              </w:rPr>
              <w:t>Vol. n/a, No. n/a, pp. 583–588, 2022</w:t>
            </w:r>
          </w:p>
        </w:tc>
        <w:tc>
          <w:tcPr>
            <w:tcW w:type="dxa" w:w="1417"/>
          </w:tcPr>
          <w:p>
            <w:pPr>
              <w:spacing w:after="0" w:before="0"/>
            </w:pPr>
            <w:r/>
            <w:r>
              <w:rPr>
                <w:rFonts w:ascii="Calibri" w:hAnsi="Calibri"/>
                <w:b w:val="0"/>
                <w:sz w:val="16"/>
              </w:rPr>
              <w:t>10.1145/3489517.3530506</w:t>
            </w:r>
          </w:p>
        </w:tc>
        <w:tc>
          <w:tcPr>
            <w:tcW w:type="dxa" w:w="1843"/>
          </w:tcPr>
          <w:p>
            <w:pPr>
              <w:spacing w:after="0" w:before="0"/>
            </w:pPr>
            <w:r/>
            <w:r>
              <w:rPr>
                <w:rFonts w:ascii="Calibri" w:hAnsi="Calibri"/>
                <w:b w:val="0"/>
                <w:sz w:val="16"/>
              </w:rPr>
              <w:t>Proposes a reconfigurable systolic array (RSA) that can act as one monolithic array or many smaller arrays of various aspect ratios with OS/WS/IS modes, and ADAPTNET, an ML recommender (with a hardware core, ADAPTNETX) that picks configuration and mapping per GEMM without search; SAGAR is a 32.768 TOPS instance.</w:t>
            </w:r>
            <w:r>
              <w:rPr>
                <w:rFonts w:ascii="Calibri" w:hAnsi="Calibri"/>
                <w:i/>
                <w:sz w:val="14"/>
              </w:rPr>
              <w:t xml:space="preserve"> [Basis: full text]</w:t>
            </w:r>
          </w:p>
        </w:tc>
        <w:tc>
          <w:tcPr>
            <w:tcW w:type="dxa" w:w="1644"/>
          </w:tcPr>
          <w:p>
            <w:pPr>
              <w:spacing w:after="0" w:before="0"/>
            </w:pPr>
            <w:r/>
            <w:r>
              <w:rPr>
                <w:rFonts w:ascii="Calibri" w:hAnsi="Calibri"/>
                <w:b w:val="0"/>
                <w:sz w:val="16"/>
              </w:rPr>
              <w:t>ADAPTNET reaches 95% test accuracy against exhaustive search; SAGAR gives distributed-system mapping flexibility with 3.5x better power efficiency and 3.2x higher compute density.</w:t>
            </w:r>
          </w:p>
        </w:tc>
        <w:tc>
          <w:tcPr>
            <w:tcW w:type="dxa" w:w="1644"/>
          </w:tcPr>
          <w:p>
            <w:pPr>
              <w:spacing w:after="0" w:before="0"/>
            </w:pPr>
            <w:r/>
            <w:r>
              <w:rPr>
                <w:rFonts w:ascii="Calibri" w:hAnsi="Calibri"/>
                <w:b w:val="0"/>
                <w:sz w:val="16"/>
              </w:rPr>
              <w:t>Recommender labels come from SCALE-Sim runs; evaluated by architectural and post-layout simulation (28 nm), no board/silicon; a learned recommender can mispredict (95%).</w:t>
            </w:r>
          </w:p>
        </w:tc>
        <w:tc>
          <w:tcPr>
            <w:tcW w:type="dxa" w:w="1587"/>
          </w:tcPr>
          <w:p>
            <w:pPr>
              <w:spacing w:after="0" w:before="0"/>
            </w:pPr>
            <w:r/>
            <w:r>
              <w:rPr>
                <w:rFonts w:ascii="Calibri" w:hAnsi="Calibri"/>
                <w:b w:val="0"/>
                <w:sz w:val="16"/>
              </w:rPr>
              <w:t>Per-layer sub-array shape plus OS/WS/IS selection on a systolic array; contrast: V3 chooses modes with an exact cycle model at compile time.</w:t>
            </w:r>
          </w:p>
        </w:tc>
      </w:tr>
      <w:tr>
        <w:tc>
          <w:tcPr>
            <w:tcW w:type="dxa" w:w="709"/>
          </w:tcPr>
          <w:p>
            <w:pPr>
              <w:spacing w:after="0" w:before="0"/>
              <w:jc w:val="center"/>
            </w:pPr>
            <w:r/>
            <w:r>
              <w:rPr>
                <w:rFonts w:ascii="Calibri" w:hAnsi="Calibri"/>
                <w:b w:val="0"/>
                <w:sz w:val="16"/>
              </w:rPr>
              <w:t>18</w:t>
            </w:r>
          </w:p>
        </w:tc>
        <w:tc>
          <w:tcPr>
            <w:tcW w:type="dxa" w:w="1871"/>
          </w:tcPr>
          <w:p>
            <w:pPr>
              <w:spacing w:after="0" w:before="0"/>
            </w:pPr>
            <w:r/>
            <w:r>
              <w:rPr>
                <w:rFonts w:ascii="Calibri" w:hAnsi="Calibri"/>
                <w:b w:val="0"/>
                <w:sz w:val="16"/>
              </w:rPr>
              <w:t>Heterogeneous Dataflow Accelerators for Multi-DNN Workloads</w:t>
            </w:r>
          </w:p>
        </w:tc>
        <w:tc>
          <w:tcPr>
            <w:tcW w:type="dxa" w:w="1701"/>
          </w:tcPr>
          <w:p>
            <w:pPr>
              <w:spacing w:after="0" w:before="0"/>
            </w:pPr>
            <w:r/>
            <w:r>
              <w:rPr>
                <w:rFonts w:ascii="Calibri" w:hAnsi="Calibri"/>
                <w:b w:val="0"/>
                <w:sz w:val="16"/>
              </w:rPr>
              <w:t>Hyoukjun Kwon, Liangzhen Lai, Michael Pellauer, Tushar Krishna, Yu-Hsin Chen, Vikas Chandra</w:t>
            </w:r>
          </w:p>
        </w:tc>
        <w:tc>
          <w:tcPr>
            <w:tcW w:type="dxa" w:w="1531"/>
          </w:tcPr>
          <w:p>
            <w:pPr>
              <w:spacing w:after="0" w:before="0"/>
            </w:pPr>
            <w:r/>
            <w:r>
              <w:rPr>
                <w:rFonts w:ascii="Calibri" w:hAnsi="Calibri"/>
                <w:b w:val="0"/>
                <w:sz w:val="16"/>
              </w:rPr>
              <w:t>2021 IEEE International Symposium on High-Performance Computer Architecture (HPCA)</w:t>
            </w:r>
          </w:p>
        </w:tc>
        <w:tc>
          <w:tcPr>
            <w:tcW w:type="dxa" w:w="1191"/>
          </w:tcPr>
          <w:p>
            <w:pPr>
              <w:spacing w:after="0" w:before="0"/>
            </w:pPr>
            <w:r/>
            <w:r>
              <w:rPr>
                <w:rFonts w:ascii="Calibri" w:hAnsi="Calibri"/>
                <w:b w:val="0"/>
                <w:sz w:val="16"/>
              </w:rPr>
              <w:t>Vol. n/a, No. n/a, pp. 71–83, 2021</w:t>
            </w:r>
          </w:p>
        </w:tc>
        <w:tc>
          <w:tcPr>
            <w:tcW w:type="dxa" w:w="1417"/>
          </w:tcPr>
          <w:p>
            <w:pPr>
              <w:spacing w:after="0" w:before="0"/>
            </w:pPr>
            <w:r/>
            <w:r>
              <w:rPr>
                <w:rFonts w:ascii="Calibri" w:hAnsi="Calibri"/>
                <w:b w:val="0"/>
                <w:sz w:val="16"/>
              </w:rPr>
              <w:t>10.1109/hpca51647.2021.00016</w:t>
            </w:r>
          </w:p>
        </w:tc>
        <w:tc>
          <w:tcPr>
            <w:tcW w:type="dxa" w:w="1843"/>
          </w:tcPr>
          <w:p>
            <w:pPr>
              <w:spacing w:after="0" w:before="0"/>
            </w:pPr>
            <w:r/>
            <w:r>
              <w:rPr>
                <w:rFonts w:ascii="Calibri" w:hAnsi="Calibri"/>
                <w:b w:val="0"/>
                <w:sz w:val="16"/>
              </w:rPr>
              <w:t>Proposes heterogeneous dataflow accelerators (HDAs) that place several fixed-dataflow sub-accelerators on one chip, and Herald, a framework that co-optimizes hardware partitioning and layer scheduling using a MAESTRO-based cost model.</w:t>
            </w:r>
            <w:r>
              <w:rPr>
                <w:rFonts w:ascii="Calibri" w:hAnsi="Calibri"/>
                <w:i/>
                <w:sz w:val="14"/>
              </w:rPr>
              <w:t xml:space="preserve"> [Basis: full text]</w:t>
            </w:r>
          </w:p>
        </w:tc>
        <w:tc>
          <w:tcPr>
            <w:tcW w:type="dxa" w:w="1644"/>
          </w:tcPr>
          <w:p>
            <w:pPr>
              <w:spacing w:after="0" w:before="0"/>
            </w:pPr>
            <w:r/>
            <w:r>
              <w:rPr>
                <w:rFonts w:ascii="Calibri" w:hAnsi="Calibri"/>
                <w:b w:val="0"/>
                <w:sz w:val="16"/>
              </w:rPr>
              <w:t>The identified HDA (Maelstrom) gives 65.3% lower latency and 5.0% lower energy than the best fixed-dataflow accelerator, and 22.0% lower energy at 20.7% higher latency than a reconfigurable accelerator.</w:t>
            </w:r>
          </w:p>
        </w:tc>
        <w:tc>
          <w:tcPr>
            <w:tcW w:type="dxa" w:w="1644"/>
          </w:tcPr>
          <w:p>
            <w:pPr>
              <w:spacing w:after="0" w:before="0"/>
            </w:pPr>
            <w:r/>
            <w:r>
              <w:rPr>
                <w:rFonts w:ascii="Calibri" w:hAnsi="Calibri"/>
                <w:b w:val="0"/>
                <w:sz w:val="16"/>
              </w:rPr>
              <w:t>Results come from the MAESTRO analytical cost model, not RTL or hardware measurement; targets multi-DNN AR/VR and MLPerf workloads.</w:t>
            </w:r>
          </w:p>
        </w:tc>
        <w:tc>
          <w:tcPr>
            <w:tcW w:type="dxa" w:w="1587"/>
          </w:tcPr>
          <w:p>
            <w:pPr>
              <w:spacing w:after="0" w:before="0"/>
            </w:pPr>
            <w:r/>
            <w:r>
              <w:rPr>
                <w:rFonts w:ascii="Calibri" w:hAnsi="Calibri"/>
                <w:b w:val="0"/>
                <w:sz w:val="16"/>
              </w:rPr>
              <w:t>Alternative to per-layer reconfiguration (layer-to-dataflow assignment at compile time); contrast for V3's single array with per-layer modes.</w:t>
            </w:r>
          </w:p>
        </w:tc>
      </w:tr>
      <w:tr>
        <w:tc>
          <w:tcPr>
            <w:tcW w:type="dxa" w:w="15137"/>
            <w:gridSpan w:val="10"/>
            <w:shd w:val="clear" w:color="auto" w:fill="DCE3EF"/>
          </w:tcPr>
          <w:p>
            <w:pPr>
              <w:spacing w:after="0" w:before="0"/>
            </w:pPr>
            <w:r/>
            <w:r>
              <w:rPr>
                <w:rFonts w:ascii="Calibri" w:hAnsi="Calibri"/>
                <w:b/>
                <w:sz w:val="19"/>
              </w:rPr>
              <w:t>Category 3: Sparsity-skipping accelerators (structured weight and activation sparsity) (8 papers)</w:t>
            </w:r>
          </w:p>
        </w:tc>
      </w:tr>
      <w:tr>
        <w:tc>
          <w:tcPr>
            <w:tcW w:type="dxa" w:w="709"/>
          </w:tcPr>
          <w:p>
            <w:pPr>
              <w:spacing w:after="0" w:before="0"/>
              <w:jc w:val="center"/>
            </w:pPr>
            <w:r/>
            <w:r>
              <w:rPr>
                <w:rFonts w:ascii="Calibri" w:hAnsi="Calibri"/>
                <w:b w:val="0"/>
                <w:sz w:val="16"/>
              </w:rPr>
              <w:t>19</w:t>
            </w:r>
          </w:p>
        </w:tc>
        <w:tc>
          <w:tcPr>
            <w:tcW w:type="dxa" w:w="1871"/>
          </w:tcPr>
          <w:p>
            <w:pPr>
              <w:spacing w:after="0" w:before="0"/>
            </w:pPr>
            <w:r/>
            <w:r>
              <w:rPr>
                <w:rFonts w:ascii="Calibri" w:hAnsi="Calibri"/>
                <w:b w:val="0"/>
                <w:sz w:val="16"/>
              </w:rPr>
              <w:t>S2TA: Exploiting Structured Sparsity for Energy-Efficient Mobile CNN Acceleration</w:t>
            </w:r>
          </w:p>
        </w:tc>
        <w:tc>
          <w:tcPr>
            <w:tcW w:type="dxa" w:w="1701"/>
          </w:tcPr>
          <w:p>
            <w:pPr>
              <w:spacing w:after="0" w:before="0"/>
            </w:pPr>
            <w:r/>
            <w:r>
              <w:rPr>
                <w:rFonts w:ascii="Calibri" w:hAnsi="Calibri"/>
                <w:b w:val="0"/>
                <w:sz w:val="16"/>
              </w:rPr>
              <w:t>Zhi-Gang Liu, Paul N. Whatmough, Yuhao Zhu, Matthew Mattina</w:t>
            </w:r>
          </w:p>
        </w:tc>
        <w:tc>
          <w:tcPr>
            <w:tcW w:type="dxa" w:w="1531"/>
          </w:tcPr>
          <w:p>
            <w:pPr>
              <w:spacing w:after="0" w:before="0"/>
            </w:pPr>
            <w:r/>
            <w:r>
              <w:rPr>
                <w:rFonts w:ascii="Calibri" w:hAnsi="Calibri"/>
                <w:b w:val="0"/>
                <w:sz w:val="16"/>
              </w:rPr>
              <w:t>2022 IEEE International Symposium on High-Performance Computer Architecture (HPCA)</w:t>
            </w:r>
          </w:p>
        </w:tc>
        <w:tc>
          <w:tcPr>
            <w:tcW w:type="dxa" w:w="1191"/>
          </w:tcPr>
          <w:p>
            <w:pPr>
              <w:spacing w:after="0" w:before="0"/>
            </w:pPr>
            <w:r/>
            <w:r>
              <w:rPr>
                <w:rFonts w:ascii="Calibri" w:hAnsi="Calibri"/>
                <w:b w:val="0"/>
                <w:sz w:val="16"/>
              </w:rPr>
              <w:t>Vol. n/a, No. n/a, pp. 573–586, 2022</w:t>
            </w:r>
          </w:p>
        </w:tc>
        <w:tc>
          <w:tcPr>
            <w:tcW w:type="dxa" w:w="1417"/>
          </w:tcPr>
          <w:p>
            <w:pPr>
              <w:spacing w:after="0" w:before="0"/>
            </w:pPr>
            <w:r/>
            <w:r>
              <w:rPr>
                <w:rFonts w:ascii="Calibri" w:hAnsi="Calibri"/>
                <w:b w:val="0"/>
                <w:sz w:val="16"/>
              </w:rPr>
              <w:t>10.1109/hpca53966.2022.00049</w:t>
            </w:r>
          </w:p>
        </w:tc>
        <w:tc>
          <w:tcPr>
            <w:tcW w:type="dxa" w:w="1843"/>
          </w:tcPr>
          <w:p>
            <w:pPr>
              <w:spacing w:after="0" w:before="0"/>
            </w:pPr>
            <w:r/>
            <w:r>
              <w:rPr>
                <w:rFonts w:ascii="Calibri" w:hAnsi="Calibri"/>
                <w:b w:val="0"/>
                <w:sz w:val="16"/>
              </w:rPr>
              <w:t>Proposes Density Bound Block (DBB) sparsity for static weights and dynamically pruned activations, and S2TA, an INT8 systolic-array accelerator with time-unrolled tensor PEs exploiting joint weight/activation DBB.</w:t>
            </w:r>
            <w:r>
              <w:rPr>
                <w:rFonts w:ascii="Calibri" w:hAnsi="Calibri"/>
                <w:i/>
                <w:sz w:val="14"/>
              </w:rPr>
              <w:t xml:space="preserve"> [Basis: full text]</w:t>
            </w:r>
          </w:p>
        </w:tc>
        <w:tc>
          <w:tcPr>
            <w:tcW w:type="dxa" w:w="1644"/>
          </w:tcPr>
          <w:p>
            <w:pPr>
              <w:spacing w:after="0" w:before="0"/>
            </w:pPr>
            <w:r/>
            <w:r>
              <w:rPr>
                <w:rFonts w:ascii="Calibri" w:hAnsi="Calibri"/>
                <w:b w:val="0"/>
                <w:sz w:val="16"/>
              </w:rPr>
              <w:t>DBB bounds non-zeros per block so the maximum workload is known at design time, enabling lean hardware; reports &gt;2x speedup and energy reduction vs a zero-value-clock-gated systolic array in 16nm.</w:t>
            </w:r>
          </w:p>
        </w:tc>
        <w:tc>
          <w:tcPr>
            <w:tcW w:type="dxa" w:w="1644"/>
          </w:tcPr>
          <w:p>
            <w:pPr>
              <w:spacing w:after="0" w:before="0"/>
            </w:pPr>
            <w:r/>
            <w:r>
              <w:rPr>
                <w:rFonts w:ascii="Calibri" w:hAnsi="Calibri"/>
                <w:b w:val="0"/>
                <w:sz w:val="16"/>
              </w:rPr>
              <w:t>Activation DBB uses Dynamic Activation Pruning (Top-NNZ), which is lossy (MobileNetV1 4/8 DAP on point-wise layers: 71% to 56.1% before retraining); evaluated by RTL simulation and ASIC flow (16nm/65nm), not on an FPGA.</w:t>
            </w:r>
          </w:p>
        </w:tc>
        <w:tc>
          <w:tcPr>
            <w:tcW w:type="dxa" w:w="1587"/>
          </w:tcPr>
          <w:p>
            <w:pPr>
              <w:spacing w:after="0" w:before="0"/>
            </w:pPr>
            <w:r/>
            <w:r>
              <w:rPr>
                <w:rFonts w:ascii="Calibri" w:hAnsi="Calibri"/>
                <w:b w:val="0"/>
                <w:sz w:val="16"/>
              </w:rPr>
              <w:t>Closest prior work: structured weight sparsity plus activation sparsity on an INT8 systolic array with a design-time workload bound; contrast with V3's lossless activation skipping bounded by the dense schedule.</w:t>
            </w:r>
          </w:p>
        </w:tc>
      </w:tr>
      <w:tr>
        <w:tc>
          <w:tcPr>
            <w:tcW w:type="dxa" w:w="709"/>
          </w:tcPr>
          <w:p>
            <w:pPr>
              <w:spacing w:after="0" w:before="0"/>
              <w:jc w:val="center"/>
            </w:pPr>
            <w:r/>
            <w:r>
              <w:rPr>
                <w:rFonts w:ascii="Calibri" w:hAnsi="Calibri"/>
                <w:b w:val="0"/>
                <w:sz w:val="16"/>
              </w:rPr>
              <w:t>20</w:t>
            </w:r>
          </w:p>
        </w:tc>
        <w:tc>
          <w:tcPr>
            <w:tcW w:type="dxa" w:w="1871"/>
          </w:tcPr>
          <w:p>
            <w:pPr>
              <w:spacing w:after="0" w:before="0"/>
            </w:pPr>
            <w:r/>
            <w:r>
              <w:rPr>
                <w:rFonts w:ascii="Calibri" w:hAnsi="Calibri"/>
                <w:b w:val="0"/>
                <w:sz w:val="16"/>
              </w:rPr>
              <w:t>An Efficient Hardware Accelerator for Structured Sparse Convolutional Neural Networks on FPGAs</w:t>
            </w:r>
          </w:p>
        </w:tc>
        <w:tc>
          <w:tcPr>
            <w:tcW w:type="dxa" w:w="1701"/>
          </w:tcPr>
          <w:p>
            <w:pPr>
              <w:spacing w:after="0" w:before="0"/>
            </w:pPr>
            <w:r/>
            <w:r>
              <w:rPr>
                <w:rFonts w:ascii="Calibri" w:hAnsi="Calibri"/>
                <w:b w:val="0"/>
                <w:sz w:val="16"/>
              </w:rPr>
              <w:t>Chaoyang Zhu, Kejie Huang, Shuyuan Yang, Ziqi Zhu, Hejia Zhang, Haibin Shen</w:t>
            </w:r>
          </w:p>
        </w:tc>
        <w:tc>
          <w:tcPr>
            <w:tcW w:type="dxa" w:w="1531"/>
          </w:tcPr>
          <w:p>
            <w:pPr>
              <w:spacing w:after="0" w:before="0"/>
            </w:pPr>
            <w:r/>
            <w:r>
              <w:rPr>
                <w:rFonts w:ascii="Calibri" w:hAnsi="Calibri"/>
                <w:b w:val="0"/>
                <w:sz w:val="16"/>
              </w:rPr>
              <w:t>IEEE Transactions on Very Large Scale Integration (VLSI) Systems</w:t>
            </w:r>
          </w:p>
        </w:tc>
        <w:tc>
          <w:tcPr>
            <w:tcW w:type="dxa" w:w="1191"/>
          </w:tcPr>
          <w:p>
            <w:pPr>
              <w:spacing w:after="0" w:before="0"/>
            </w:pPr>
            <w:r/>
            <w:r>
              <w:rPr>
                <w:rFonts w:ascii="Calibri" w:hAnsi="Calibri"/>
                <w:b w:val="0"/>
                <w:sz w:val="16"/>
              </w:rPr>
              <w:t>Vol. 28, No. 9, pp. 1953–1965, 2020</w:t>
            </w:r>
          </w:p>
        </w:tc>
        <w:tc>
          <w:tcPr>
            <w:tcW w:type="dxa" w:w="1417"/>
          </w:tcPr>
          <w:p>
            <w:pPr>
              <w:spacing w:after="0" w:before="0"/>
            </w:pPr>
            <w:r/>
            <w:r>
              <w:rPr>
                <w:rFonts w:ascii="Calibri" w:hAnsi="Calibri"/>
                <w:b w:val="0"/>
                <w:sz w:val="16"/>
              </w:rPr>
              <w:t>10.1109/tvlsi.2020.3002779</w:t>
            </w:r>
          </w:p>
        </w:tc>
        <w:tc>
          <w:tcPr>
            <w:tcW w:type="dxa" w:w="1843"/>
          </w:tcPr>
          <w:p>
            <w:pPr>
              <w:spacing w:after="0" w:before="0"/>
            </w:pPr>
            <w:r/>
            <w:r>
              <w:rPr>
                <w:rFonts w:ascii="Calibri" w:hAnsi="Calibri"/>
                <w:b w:val="0"/>
                <w:sz w:val="16"/>
              </w:rPr>
              <w:t>Uses shape-wise structured pruning and a sparse-wise dataflow that skips MAC cycles with zero weights, with a Vector Generator Module matching sparse weight indices to activations; implemented on a Xilinx ZCU102.</w:t>
            </w:r>
            <w:r>
              <w:rPr>
                <w:rFonts w:ascii="Calibri" w:hAnsi="Calibri"/>
                <w:i/>
                <w:sz w:val="14"/>
              </w:rPr>
              <w:t xml:space="preserve"> [Basis: full text]</w:t>
            </w:r>
          </w:p>
        </w:tc>
        <w:tc>
          <w:tcPr>
            <w:tcW w:type="dxa" w:w="1644"/>
          </w:tcPr>
          <w:p>
            <w:pPr>
              <w:spacing w:after="0" w:before="0"/>
            </w:pPr>
            <w:r/>
            <w:r>
              <w:rPr>
                <w:rFonts w:ascii="Calibri" w:hAnsi="Calibri"/>
                <w:b w:val="0"/>
                <w:sz w:val="16"/>
              </w:rPr>
              <w:t>Shape-wise pruning shares indices across kernels so PU load is balanced; reports 987 img/s (AlexNet) and 48 img/s (VGG-16) and 1.5x-6.7x speedup over prior FPGA CNN accelerators.</w:t>
            </w:r>
          </w:p>
        </w:tc>
        <w:tc>
          <w:tcPr>
            <w:tcW w:type="dxa" w:w="1644"/>
          </w:tcPr>
          <w:p>
            <w:pPr>
              <w:spacing w:after="0" w:before="0"/>
            </w:pPr>
            <w:r/>
            <w:r>
              <w:rPr>
                <w:rFonts w:ascii="Calibri" w:hAnsi="Calibri"/>
                <w:b w:val="0"/>
                <w:sz w:val="16"/>
              </w:rPr>
              <w:t>Zero activations are clock/zero-gated to save energy rather than skipped for speedup; evaluated on AlexNet and VGG-16 (ImageNet) on a ZCU102 with 16-bit and 8-bit variants.</w:t>
            </w:r>
          </w:p>
        </w:tc>
        <w:tc>
          <w:tcPr>
            <w:tcW w:type="dxa" w:w="1587"/>
          </w:tcPr>
          <w:p>
            <w:pPr>
              <w:spacing w:after="0" w:before="0"/>
            </w:pPr>
            <w:r/>
            <w:r>
              <w:rPr>
                <w:rFonts w:ascii="Calibri" w:hAnsi="Calibri"/>
                <w:b w:val="0"/>
                <w:sz w:val="16"/>
              </w:rPr>
              <w:t>Closest FPGA prior work for static structured weight skipping on a Zynq UltraScale+ device; V3's structured weight skip is positioned against it.</w:t>
            </w:r>
          </w:p>
        </w:tc>
      </w:tr>
      <w:tr>
        <w:tc>
          <w:tcPr>
            <w:tcW w:type="dxa" w:w="709"/>
          </w:tcPr>
          <w:p>
            <w:pPr>
              <w:spacing w:after="0" w:before="0"/>
              <w:jc w:val="center"/>
            </w:pPr>
            <w:r/>
            <w:r>
              <w:rPr>
                <w:rFonts w:ascii="Calibri" w:hAnsi="Calibri"/>
                <w:b w:val="0"/>
                <w:sz w:val="16"/>
              </w:rPr>
              <w:t>21</w:t>
            </w:r>
          </w:p>
        </w:tc>
        <w:tc>
          <w:tcPr>
            <w:tcW w:type="dxa" w:w="1871"/>
          </w:tcPr>
          <w:p>
            <w:pPr>
              <w:spacing w:after="0" w:before="0"/>
            </w:pPr>
            <w:r/>
            <w:r>
              <w:rPr>
                <w:rFonts w:ascii="Calibri" w:hAnsi="Calibri"/>
                <w:b w:val="0"/>
                <w:sz w:val="16"/>
              </w:rPr>
              <w:t>Efficient Layer-Wise N:M Sparse CNN Accelerator with Flexible SPEC: Sparse Processing Element Clusters</w:t>
            </w:r>
          </w:p>
        </w:tc>
        <w:tc>
          <w:tcPr>
            <w:tcW w:type="dxa" w:w="1701"/>
          </w:tcPr>
          <w:p>
            <w:pPr>
              <w:spacing w:after="0" w:before="0"/>
            </w:pPr>
            <w:r/>
            <w:r>
              <w:rPr>
                <w:rFonts w:ascii="Calibri" w:hAnsi="Calibri"/>
                <w:b w:val="0"/>
                <w:sz w:val="16"/>
              </w:rPr>
              <w:t>Xiaoru Xie, Mingyu Zhu, Siyuan Lu, Zhongfeng Wang</w:t>
            </w:r>
          </w:p>
        </w:tc>
        <w:tc>
          <w:tcPr>
            <w:tcW w:type="dxa" w:w="1531"/>
          </w:tcPr>
          <w:p>
            <w:pPr>
              <w:spacing w:after="0" w:before="0"/>
            </w:pPr>
            <w:r/>
            <w:r>
              <w:rPr>
                <w:rFonts w:ascii="Calibri" w:hAnsi="Calibri"/>
                <w:b w:val="0"/>
                <w:sz w:val="16"/>
              </w:rPr>
              <w:t>Micromachines</w:t>
            </w:r>
          </w:p>
        </w:tc>
        <w:tc>
          <w:tcPr>
            <w:tcW w:type="dxa" w:w="1191"/>
          </w:tcPr>
          <w:p>
            <w:pPr>
              <w:spacing w:after="0" w:before="0"/>
            </w:pPr>
            <w:r/>
            <w:r>
              <w:rPr>
                <w:rFonts w:ascii="Calibri" w:hAnsi="Calibri"/>
                <w:b w:val="0"/>
                <w:sz w:val="16"/>
              </w:rPr>
              <w:t>Vol. 14, No. 3, pp. 528, 2023</w:t>
            </w:r>
          </w:p>
        </w:tc>
        <w:tc>
          <w:tcPr>
            <w:tcW w:type="dxa" w:w="1417"/>
          </w:tcPr>
          <w:p>
            <w:pPr>
              <w:spacing w:after="0" w:before="0"/>
            </w:pPr>
            <w:r/>
            <w:r>
              <w:rPr>
                <w:rFonts w:ascii="Calibri" w:hAnsi="Calibri"/>
                <w:b w:val="0"/>
                <w:sz w:val="16"/>
              </w:rPr>
              <w:t>10.3390/mi14030528</w:t>
            </w:r>
          </w:p>
        </w:tc>
        <w:tc>
          <w:tcPr>
            <w:tcW w:type="dxa" w:w="1843"/>
          </w:tcPr>
          <w:p>
            <w:pPr>
              <w:spacing w:after="0" w:before="0"/>
            </w:pPr>
            <w:r/>
            <w:r>
              <w:rPr>
                <w:rFonts w:ascii="Calibri" w:hAnsi="Calibri"/>
                <w:b w:val="0"/>
                <w:sz w:val="16"/>
              </w:rPr>
              <w:t>Designs sparse PE clusters (SPEC) for layer-wise N:M weight sparsity (N:16 channel-wise) and builds input-, output- and input-output-channel-sparse accelerators in Verilog on Xilinx ZCU102 and VCU118.</w:t>
            </w:r>
            <w:r>
              <w:rPr>
                <w:rFonts w:ascii="Calibri" w:hAnsi="Calibri"/>
                <w:i/>
                <w:sz w:val="14"/>
              </w:rPr>
              <w:t xml:space="preserve"> [Basis: full text]</w:t>
            </w:r>
          </w:p>
        </w:tc>
        <w:tc>
          <w:tcPr>
            <w:tcW w:type="dxa" w:w="1644"/>
          </w:tcPr>
          <w:p>
            <w:pPr>
              <w:spacing w:after="0" w:before="0"/>
            </w:pPr>
            <w:r/>
            <w:r>
              <w:rPr>
                <w:rFonts w:ascii="Calibri" w:hAnsi="Calibri"/>
                <w:b w:val="0"/>
                <w:sz w:val="16"/>
              </w:rPr>
              <w:t>Supports variable N per layer and variable sparse dimensions; reports Top-1 accuracy with N:16 50% sparsity close to dense for AlexNet, VGG-16, ResNet-18/50 and the best power efficiency among compared sparse accelerators.</w:t>
            </w:r>
          </w:p>
        </w:tc>
        <w:tc>
          <w:tcPr>
            <w:tcW w:type="dxa" w:w="1644"/>
          </w:tcPr>
          <w:p>
            <w:pPr>
              <w:spacing w:after="0" w:before="0"/>
            </w:pPr>
            <w:r/>
            <w:r>
              <w:rPr>
                <w:rFonts w:ascii="Calibri" w:hAnsi="Calibri"/>
                <w:b w:val="0"/>
                <w:sz w:val="16"/>
              </w:rPr>
              <w:t>Exploits weight sparsity only (one-sided for the ISA/OSA variants); evaluated on ImageNet-scale CNNs at 200 MHz on ZCU102/VCU118, not on smaller edge devices.</w:t>
            </w:r>
          </w:p>
        </w:tc>
        <w:tc>
          <w:tcPr>
            <w:tcW w:type="dxa" w:w="1587"/>
          </w:tcPr>
          <w:p>
            <w:pPr>
              <w:spacing w:after="0" w:before="0"/>
            </w:pPr>
            <w:r/>
            <w:r>
              <w:rPr>
                <w:rFonts w:ascii="Calibri" w:hAnsi="Calibri"/>
                <w:b w:val="0"/>
                <w:sz w:val="16"/>
              </w:rPr>
              <w:t>N:M structured weight sparsity on a Xilinx FPGA; a direct reference point for V3's static structured weight skip and per-layer sparsity choice.</w:t>
            </w:r>
          </w:p>
        </w:tc>
      </w:tr>
      <w:tr>
        <w:tc>
          <w:tcPr>
            <w:tcW w:type="dxa" w:w="709"/>
          </w:tcPr>
          <w:p>
            <w:pPr>
              <w:spacing w:after="0" w:before="0"/>
              <w:jc w:val="center"/>
            </w:pPr>
            <w:r/>
            <w:r>
              <w:rPr>
                <w:rFonts w:ascii="Calibri" w:hAnsi="Calibri"/>
                <w:b w:val="0"/>
                <w:sz w:val="16"/>
              </w:rPr>
              <w:t>22</w:t>
            </w:r>
          </w:p>
        </w:tc>
        <w:tc>
          <w:tcPr>
            <w:tcW w:type="dxa" w:w="1871"/>
          </w:tcPr>
          <w:p>
            <w:pPr>
              <w:spacing w:after="0" w:before="0"/>
            </w:pPr>
            <w:r/>
            <w:r>
              <w:rPr>
                <w:rFonts w:ascii="Calibri" w:hAnsi="Calibri"/>
                <w:b w:val="0"/>
                <w:sz w:val="16"/>
              </w:rPr>
              <w:t>Cnvlutin: Ineffectual-Neuron-Free Deep Neural Network Computing</w:t>
            </w:r>
          </w:p>
        </w:tc>
        <w:tc>
          <w:tcPr>
            <w:tcW w:type="dxa" w:w="1701"/>
          </w:tcPr>
          <w:p>
            <w:pPr>
              <w:spacing w:after="0" w:before="0"/>
            </w:pPr>
            <w:r/>
            <w:r>
              <w:rPr>
                <w:rFonts w:ascii="Calibri" w:hAnsi="Calibri"/>
                <w:b w:val="0"/>
                <w:sz w:val="16"/>
              </w:rPr>
              <w:t>Jorge Albericio, Patrick Judd, Tayler Hetherington, Tor Aamodt, Natalie Enright Jerger, Andreas Moshovos</w:t>
            </w:r>
          </w:p>
        </w:tc>
        <w:tc>
          <w:tcPr>
            <w:tcW w:type="dxa" w:w="1531"/>
          </w:tcPr>
          <w:p>
            <w:pPr>
              <w:spacing w:after="0" w:before="0"/>
            </w:pPr>
            <w:r/>
            <w:r>
              <w:rPr>
                <w:rFonts w:ascii="Calibri" w:hAnsi="Calibri"/>
                <w:b w:val="0"/>
                <w:sz w:val="16"/>
              </w:rPr>
              <w:t>2016 ACM/IEEE 43rd Annual International Symposium on Computer Architecture (ISCA)</w:t>
            </w:r>
          </w:p>
        </w:tc>
        <w:tc>
          <w:tcPr>
            <w:tcW w:type="dxa" w:w="1191"/>
          </w:tcPr>
          <w:p>
            <w:pPr>
              <w:spacing w:after="0" w:before="0"/>
            </w:pPr>
            <w:r/>
            <w:r>
              <w:rPr>
                <w:rFonts w:ascii="Calibri" w:hAnsi="Calibri"/>
                <w:b w:val="0"/>
                <w:sz w:val="16"/>
              </w:rPr>
              <w:t>Vol. n/a, No. n/a, pp. 1–13, 2016</w:t>
            </w:r>
          </w:p>
        </w:tc>
        <w:tc>
          <w:tcPr>
            <w:tcW w:type="dxa" w:w="1417"/>
          </w:tcPr>
          <w:p>
            <w:pPr>
              <w:spacing w:after="0" w:before="0"/>
            </w:pPr>
            <w:r/>
            <w:r>
              <w:rPr>
                <w:rFonts w:ascii="Calibri" w:hAnsi="Calibri"/>
                <w:b w:val="0"/>
                <w:sz w:val="16"/>
              </w:rPr>
              <w:t>10.1109/isca.2016.11</w:t>
            </w:r>
          </w:p>
        </w:tc>
        <w:tc>
          <w:tcPr>
            <w:tcW w:type="dxa" w:w="1843"/>
          </w:tcPr>
          <w:p>
            <w:pPr>
              <w:spacing w:after="0" w:before="0"/>
            </w:pPr>
            <w:r/>
            <w:r>
              <w:rPr>
                <w:rFonts w:ascii="Calibri" w:hAnsi="Calibri"/>
                <w:b w:val="0"/>
                <w:sz w:val="16"/>
              </w:rPr>
              <w:t>Proposes CNV, a value-based accelerator that eliminates multiplications with zero-valued activations using hierarchical data-parallel units whose lane groups proceed independently and a co-designed storage format.</w:t>
            </w:r>
            <w:r>
              <w:rPr>
                <w:rFonts w:ascii="Calibri" w:hAnsi="Calibri"/>
                <w:i/>
                <w:sz w:val="14"/>
              </w:rPr>
              <w:t xml:space="preserve"> [Basis: abstract]</w:t>
            </w:r>
          </w:p>
        </w:tc>
        <w:tc>
          <w:tcPr>
            <w:tcW w:type="dxa" w:w="1644"/>
          </w:tcPr>
          <w:p>
            <w:pPr>
              <w:spacing w:after="0" w:before="0"/>
            </w:pPr>
            <w:r/>
            <w:r>
              <w:rPr>
                <w:rFonts w:ascii="Calibri" w:hAnsi="Calibri"/>
                <w:b w:val="0"/>
                <w:sz w:val="16"/>
              </w:rPr>
              <w:t>No accuracy loss; improves performance 1.24x-1.55x (1.37x average) over a state-of-the-art accelerator with 4.49% area overhead, and 1.52x with a broader ineffectual-value policy.</w:t>
            </w:r>
          </w:p>
        </w:tc>
        <w:tc>
          <w:tcPr>
            <w:tcW w:type="dxa" w:w="1644"/>
          </w:tcPr>
          <w:p>
            <w:pPr>
              <w:spacing w:after="0" w:before="0"/>
            </w:pPr>
            <w:r/>
            <w:r>
              <w:rPr>
                <w:rFonts w:ascii="Calibri" w:hAnsi="Calibri"/>
                <w:b w:val="0"/>
                <w:sz w:val="16"/>
              </w:rPr>
              <w:t>Gains are data-dependent on activation zeros; evaluated against a DaDianNao-style baseline for image-classification DNNs (abstract does not report an FPGA or silicon implementation).</w:t>
            </w:r>
          </w:p>
        </w:tc>
        <w:tc>
          <w:tcPr>
            <w:tcW w:type="dxa" w:w="1587"/>
          </w:tcPr>
          <w:p>
            <w:pPr>
              <w:spacing w:after="0" w:before="0"/>
            </w:pPr>
            <w:r/>
            <w:r>
              <w:rPr>
                <w:rFonts w:ascii="Calibri" w:hAnsi="Calibri"/>
                <w:b w:val="0"/>
                <w:sz w:val="16"/>
              </w:rPr>
              <w:t>Classic activation zero-skipping reference; V3's all-zero K-step skipping is a coarse-grained, bounded variant of this idea.</w:t>
            </w:r>
          </w:p>
        </w:tc>
      </w:tr>
      <w:tr>
        <w:tc>
          <w:tcPr>
            <w:tcW w:type="dxa" w:w="709"/>
          </w:tcPr>
          <w:p>
            <w:pPr>
              <w:spacing w:after="0" w:before="0"/>
              <w:jc w:val="center"/>
            </w:pPr>
            <w:r/>
            <w:r>
              <w:rPr>
                <w:rFonts w:ascii="Calibri" w:hAnsi="Calibri"/>
                <w:b w:val="0"/>
                <w:sz w:val="16"/>
              </w:rPr>
              <w:t>23</w:t>
            </w:r>
          </w:p>
        </w:tc>
        <w:tc>
          <w:tcPr>
            <w:tcW w:type="dxa" w:w="1871"/>
          </w:tcPr>
          <w:p>
            <w:pPr>
              <w:spacing w:after="0" w:before="0"/>
            </w:pPr>
            <w:r/>
            <w:r>
              <w:rPr>
                <w:rFonts w:ascii="Calibri" w:hAnsi="Calibri"/>
                <w:b w:val="0"/>
                <w:sz w:val="16"/>
              </w:rPr>
              <w:t>Cambricon-X: An accelerator for sparse neural networks</w:t>
            </w:r>
          </w:p>
        </w:tc>
        <w:tc>
          <w:tcPr>
            <w:tcW w:type="dxa" w:w="1701"/>
          </w:tcPr>
          <w:p>
            <w:pPr>
              <w:spacing w:after="0" w:before="0"/>
            </w:pPr>
            <w:r/>
            <w:r>
              <w:rPr>
                <w:rFonts w:ascii="Calibri" w:hAnsi="Calibri"/>
                <w:b w:val="0"/>
                <w:sz w:val="16"/>
              </w:rPr>
              <w:t>Shijin Zhang, Zidong Du, Lei Zhang, Huiying Lan, Shaoli Liu, Ling Li, Qi Guo, Tianshi Chen, Yunji Chen</w:t>
            </w:r>
          </w:p>
        </w:tc>
        <w:tc>
          <w:tcPr>
            <w:tcW w:type="dxa" w:w="1531"/>
          </w:tcPr>
          <w:p>
            <w:pPr>
              <w:spacing w:after="0" w:before="0"/>
            </w:pPr>
            <w:r/>
            <w:r>
              <w:rPr>
                <w:rFonts w:ascii="Calibri" w:hAnsi="Calibri"/>
                <w:b w:val="0"/>
                <w:sz w:val="16"/>
              </w:rPr>
              <w:t>2016 49th Annual IEEE/ACM International Symposium on Microarchitecture (MICRO)</w:t>
            </w:r>
          </w:p>
        </w:tc>
        <w:tc>
          <w:tcPr>
            <w:tcW w:type="dxa" w:w="1191"/>
          </w:tcPr>
          <w:p>
            <w:pPr>
              <w:spacing w:after="0" w:before="0"/>
            </w:pPr>
            <w:r/>
            <w:r>
              <w:rPr>
                <w:rFonts w:ascii="Calibri" w:hAnsi="Calibri"/>
                <w:b w:val="0"/>
                <w:sz w:val="16"/>
              </w:rPr>
              <w:t>Vol. n/a, No. n/a, pp. 1–12, 2016</w:t>
            </w:r>
          </w:p>
        </w:tc>
        <w:tc>
          <w:tcPr>
            <w:tcW w:type="dxa" w:w="1417"/>
          </w:tcPr>
          <w:p>
            <w:pPr>
              <w:spacing w:after="0" w:before="0"/>
            </w:pPr>
            <w:r/>
            <w:r>
              <w:rPr>
                <w:rFonts w:ascii="Calibri" w:hAnsi="Calibri"/>
                <w:b w:val="0"/>
                <w:sz w:val="16"/>
              </w:rPr>
              <w:t>10.1109/micro.2016.7783723</w:t>
            </w:r>
          </w:p>
        </w:tc>
        <w:tc>
          <w:tcPr>
            <w:tcW w:type="dxa" w:w="1843"/>
          </w:tcPr>
          <w:p>
            <w:pPr>
              <w:spacing w:after="0" w:before="0"/>
            </w:pPr>
            <w:r/>
            <w:r>
              <w:rPr>
                <w:rFonts w:ascii="Calibri" w:hAnsi="Calibri"/>
                <w:b w:val="0"/>
                <w:sz w:val="16"/>
              </w:rPr>
              <w:t>PE-based accelerator for sparse NNs in which an Indexing Module selects and transfers the neurons matching each PE's compressed, irregular synapses, with PEs computing asynchronously.</w:t>
            </w:r>
            <w:r>
              <w:rPr>
                <w:rFonts w:ascii="Calibri" w:hAnsi="Calibri"/>
                <w:i/>
                <w:sz w:val="14"/>
              </w:rPr>
              <w:t xml:space="preserve"> [Basis: abstract]</w:t>
            </w:r>
          </w:p>
        </w:tc>
        <w:tc>
          <w:tcPr>
            <w:tcW w:type="dxa" w:w="1644"/>
          </w:tcPr>
          <w:p>
            <w:pPr>
              <w:spacing w:after="0" w:before="0"/>
            </w:pPr>
            <w:r/>
            <w:r>
              <w:rPr>
                <w:rFonts w:ascii="Calibri" w:hAnsi="Calibri"/>
                <w:b w:val="0"/>
                <w:sz w:val="16"/>
              </w:rPr>
              <w:t>16 PEs reach up to 544 GOP/s in 6.38 mm2 and 954 mW at 65 nm; on average 7.23x speedup and 6.43x energy saving over a state-of-the-art NN accelerator on sparse networks.</w:t>
            </w:r>
          </w:p>
        </w:tc>
        <w:tc>
          <w:tcPr>
            <w:tcW w:type="dxa" w:w="1644"/>
          </w:tcPr>
          <w:p>
            <w:pPr>
              <w:spacing w:after="0" w:before="0"/>
            </w:pPr>
            <w:r/>
            <w:r>
              <w:rPr>
                <w:rFonts w:ascii="Calibri" w:hAnsi="Calibri"/>
                <w:b w:val="0"/>
                <w:sz w:val="16"/>
              </w:rPr>
              <w:t>Exploits weight sparsity (activations via indexing, not zero-skipping); ASIC (65 nm) evaluation only.</w:t>
            </w:r>
          </w:p>
        </w:tc>
        <w:tc>
          <w:tcPr>
            <w:tcW w:type="dxa" w:w="1587"/>
          </w:tcPr>
          <w:p>
            <w:pPr>
              <w:spacing w:after="0" w:before="0"/>
            </w:pPr>
            <w:r/>
            <w:r>
              <w:rPr>
                <w:rFonts w:ascii="Calibri" w:hAnsi="Calibri"/>
                <w:b w:val="0"/>
                <w:sz w:val="16"/>
              </w:rPr>
              <w:t>Classic weight-sparsity accelerator; contrast with V3's structured, statically scheduled weight skipping without a runtime indexing module.</w:t>
            </w:r>
          </w:p>
        </w:tc>
      </w:tr>
      <w:tr>
        <w:tc>
          <w:tcPr>
            <w:tcW w:type="dxa" w:w="709"/>
          </w:tcPr>
          <w:p>
            <w:pPr>
              <w:spacing w:after="0" w:before="0"/>
              <w:jc w:val="center"/>
            </w:pPr>
            <w:r/>
            <w:r>
              <w:rPr>
                <w:rFonts w:ascii="Calibri" w:hAnsi="Calibri"/>
                <w:b w:val="0"/>
                <w:sz w:val="16"/>
              </w:rPr>
              <w:t>24</w:t>
            </w:r>
          </w:p>
        </w:tc>
        <w:tc>
          <w:tcPr>
            <w:tcW w:type="dxa" w:w="1871"/>
          </w:tcPr>
          <w:p>
            <w:pPr>
              <w:spacing w:after="0" w:before="0"/>
            </w:pPr>
            <w:r/>
            <w:r>
              <w:rPr>
                <w:rFonts w:ascii="Calibri" w:hAnsi="Calibri"/>
                <w:b w:val="0"/>
                <w:sz w:val="16"/>
              </w:rPr>
              <w:t>SCNN: An Accelerator for Compressed-sparse Convolutional Neural Networks</w:t>
            </w:r>
          </w:p>
        </w:tc>
        <w:tc>
          <w:tcPr>
            <w:tcW w:type="dxa" w:w="1701"/>
          </w:tcPr>
          <w:p>
            <w:pPr>
              <w:spacing w:after="0" w:before="0"/>
            </w:pPr>
            <w:r/>
            <w:r>
              <w:rPr>
                <w:rFonts w:ascii="Calibri" w:hAnsi="Calibri"/>
                <w:b w:val="0"/>
                <w:sz w:val="16"/>
              </w:rPr>
              <w:t>Angshuman Parashar, Minsoo Rhu, Anurag Mukkara, Antonio Puglielli, Rangharajan Venkatesan, Brucek Khailany, Joel Emer, Stephen W. Keckler, William J. Dally</w:t>
            </w:r>
          </w:p>
        </w:tc>
        <w:tc>
          <w:tcPr>
            <w:tcW w:type="dxa" w:w="1531"/>
          </w:tcPr>
          <w:p>
            <w:pPr>
              <w:spacing w:after="0" w:before="0"/>
            </w:pPr>
            <w:r/>
            <w:r>
              <w:rPr>
                <w:rFonts w:ascii="Calibri" w:hAnsi="Calibri"/>
                <w:b w:val="0"/>
                <w:sz w:val="16"/>
              </w:rPr>
              <w:t>Proceedings of the 44th Annual International Symposium on Computer Architecture</w:t>
            </w:r>
          </w:p>
        </w:tc>
        <w:tc>
          <w:tcPr>
            <w:tcW w:type="dxa" w:w="1191"/>
          </w:tcPr>
          <w:p>
            <w:pPr>
              <w:spacing w:after="0" w:before="0"/>
            </w:pPr>
            <w:r/>
            <w:r>
              <w:rPr>
                <w:rFonts w:ascii="Calibri" w:hAnsi="Calibri"/>
                <w:b w:val="0"/>
                <w:sz w:val="16"/>
              </w:rPr>
              <w:t>Vol. n/a, No. n/a, pp. 27–40, 2017</w:t>
            </w:r>
          </w:p>
        </w:tc>
        <w:tc>
          <w:tcPr>
            <w:tcW w:type="dxa" w:w="1417"/>
          </w:tcPr>
          <w:p>
            <w:pPr>
              <w:spacing w:after="0" w:before="0"/>
            </w:pPr>
            <w:r/>
            <w:r>
              <w:rPr>
                <w:rFonts w:ascii="Calibri" w:hAnsi="Calibri"/>
                <w:b w:val="0"/>
                <w:sz w:val="16"/>
              </w:rPr>
              <w:t>10.1145/3079856.3080254</w:t>
            </w:r>
          </w:p>
        </w:tc>
        <w:tc>
          <w:tcPr>
            <w:tcW w:type="dxa" w:w="1843"/>
          </w:tcPr>
          <w:p>
            <w:pPr>
              <w:spacing w:after="0" w:before="0"/>
            </w:pPr>
            <w:r/>
            <w:r>
              <w:rPr>
                <w:rFonts w:ascii="Calibri" w:hAnsi="Calibri"/>
                <w:b w:val="0"/>
                <w:sz w:val="16"/>
              </w:rPr>
              <w:t>Accelerator that keeps both zero-pruned weights and ReLU-zero activations compressed and computes their Cartesian product in a multiplier array with a scatter accumulator array.</w:t>
            </w:r>
            <w:r>
              <w:rPr>
                <w:rFonts w:ascii="Calibri" w:hAnsi="Calibri"/>
                <w:i/>
                <w:sz w:val="14"/>
              </w:rPr>
              <w:t xml:space="preserve"> [Basis: full text]</w:t>
            </w:r>
          </w:p>
        </w:tc>
        <w:tc>
          <w:tcPr>
            <w:tcW w:type="dxa" w:w="1644"/>
          </w:tcPr>
          <w:p>
            <w:pPr>
              <w:spacing w:after="0" w:before="0"/>
            </w:pPr>
            <w:r/>
            <w:r>
              <w:rPr>
                <w:rFonts w:ascii="Calibri" w:hAnsi="Calibri"/>
                <w:b w:val="0"/>
                <w:sz w:val="16"/>
              </w:rPr>
              <w:t>Exploits two-sided sparsity; reports 2.7x performance and 2.3x energy over a comparably provisioned dense accelerator across AlexNet, GoogLeNet and VGGNet.</w:t>
            </w:r>
          </w:p>
        </w:tc>
        <w:tc>
          <w:tcPr>
            <w:tcW w:type="dxa" w:w="1644"/>
          </w:tcPr>
          <w:p>
            <w:pPr>
              <w:spacing w:after="0" w:before="0"/>
            </w:pPr>
            <w:r/>
            <w:r>
              <w:rPr>
                <w:rFonts w:ascii="Calibri" w:hAnsi="Calibri"/>
                <w:b w:val="0"/>
                <w:sz w:val="16"/>
              </w:rPr>
              <w:t>Evaluated with a cycle-level simulator and 16nm synthesis; intra-PE fragmentation and inter-PE barrier load imbalance limit speedup (under 20% multiplier utilization in late GoogLeNet modules), and it is less efficient than dense above about 83% density.</w:t>
            </w:r>
          </w:p>
        </w:tc>
        <w:tc>
          <w:tcPr>
            <w:tcW w:type="dxa" w:w="1587"/>
          </w:tcPr>
          <w:p>
            <w:pPr>
              <w:spacing w:after="0" w:before="0"/>
            </w:pPr>
            <w:r/>
            <w:r>
              <w:rPr>
                <w:rFonts w:ascii="Calibri" w:hAnsi="Calibri"/>
                <w:b w:val="0"/>
                <w:sz w:val="16"/>
              </w:rPr>
              <w:t>Two-sided sparsity reference whose load imbalance and data-dependent runtime motivate V3's bounded, statically scheduled approach.</w:t>
            </w:r>
          </w:p>
        </w:tc>
      </w:tr>
      <w:tr>
        <w:tc>
          <w:tcPr>
            <w:tcW w:type="dxa" w:w="709"/>
          </w:tcPr>
          <w:p>
            <w:pPr>
              <w:spacing w:after="0" w:before="0"/>
              <w:jc w:val="center"/>
            </w:pPr>
            <w:r/>
            <w:r>
              <w:rPr>
                <w:rFonts w:ascii="Calibri" w:hAnsi="Calibri"/>
                <w:b w:val="0"/>
                <w:sz w:val="16"/>
              </w:rPr>
              <w:t>25</w:t>
            </w:r>
          </w:p>
        </w:tc>
        <w:tc>
          <w:tcPr>
            <w:tcW w:type="dxa" w:w="1871"/>
          </w:tcPr>
          <w:p>
            <w:pPr>
              <w:spacing w:after="0" w:before="0"/>
            </w:pPr>
            <w:r/>
            <w:r>
              <w:rPr>
                <w:rFonts w:ascii="Calibri" w:hAnsi="Calibri"/>
                <w:b w:val="0"/>
                <w:sz w:val="16"/>
              </w:rPr>
              <w:t>Bit-Tactical: A Software/Hardware Approach to Exploiting Value and Bit Sparsity in Neural Networks</w:t>
            </w:r>
          </w:p>
        </w:tc>
        <w:tc>
          <w:tcPr>
            <w:tcW w:type="dxa" w:w="1701"/>
          </w:tcPr>
          <w:p>
            <w:pPr>
              <w:spacing w:after="0" w:before="0"/>
            </w:pPr>
            <w:r/>
            <w:r>
              <w:rPr>
                <w:rFonts w:ascii="Calibri" w:hAnsi="Calibri"/>
                <w:b w:val="0"/>
                <w:sz w:val="16"/>
              </w:rPr>
              <w:t>Alberto Delmas Lascorz, Patrick Judd, Dylan Malone Stuart, Zissis Poulos, Mostafa Mahmoud, Sayeh Sharify, Milos Nikolic, Kevin Siu, Andreas Moshovos</w:t>
            </w:r>
          </w:p>
        </w:tc>
        <w:tc>
          <w:tcPr>
            <w:tcW w:type="dxa" w:w="1531"/>
          </w:tcPr>
          <w:p>
            <w:pPr>
              <w:spacing w:after="0" w:before="0"/>
            </w:pPr>
            <w:r/>
            <w:r>
              <w:rPr>
                <w:rFonts w:ascii="Calibri" w:hAnsi="Calibri"/>
                <w:b w:val="0"/>
                <w:sz w:val="16"/>
              </w:rPr>
              <w:t>Proceedings of the Twenty-Fourth International Conference on Architectural Support for Programming Languages and Operating Systems</w:t>
            </w:r>
          </w:p>
        </w:tc>
        <w:tc>
          <w:tcPr>
            <w:tcW w:type="dxa" w:w="1191"/>
          </w:tcPr>
          <w:p>
            <w:pPr>
              <w:spacing w:after="0" w:before="0"/>
            </w:pPr>
            <w:r/>
            <w:r>
              <w:rPr>
                <w:rFonts w:ascii="Calibri" w:hAnsi="Calibri"/>
                <w:b w:val="0"/>
                <w:sz w:val="16"/>
              </w:rPr>
              <w:t>Vol. n/a, No. n/a, pp. 749–763, 2019</w:t>
            </w:r>
          </w:p>
        </w:tc>
        <w:tc>
          <w:tcPr>
            <w:tcW w:type="dxa" w:w="1417"/>
          </w:tcPr>
          <w:p>
            <w:pPr>
              <w:spacing w:after="0" w:before="0"/>
            </w:pPr>
            <w:r/>
            <w:r>
              <w:rPr>
                <w:rFonts w:ascii="Calibri" w:hAnsi="Calibri"/>
                <w:b w:val="0"/>
                <w:sz w:val="16"/>
              </w:rPr>
              <w:t>10.1145/3297858.3304041</w:t>
            </w:r>
          </w:p>
        </w:tc>
        <w:tc>
          <w:tcPr>
            <w:tcW w:type="dxa" w:w="1843"/>
          </w:tcPr>
          <w:p>
            <w:pPr>
              <w:spacing w:after="0" w:before="0"/>
            </w:pPr>
            <w:r/>
            <w:r>
              <w:rPr>
                <w:rFonts w:ascii="Calibri" w:hAnsi="Calibri"/>
                <w:b w:val="0"/>
                <w:sz w:val="16"/>
              </w:rPr>
              <w:t>Accelerator where weight sparsity is exploited by a static scheduling middleware plus a lightweight sparse shuffling network (two small multiplexers per activation input), with back-ends that target bit-sparsity in activations.</w:t>
            </w:r>
            <w:r>
              <w:rPr>
                <w:rFonts w:ascii="Calibri" w:hAnsi="Calibri"/>
                <w:i/>
                <w:sz w:val="14"/>
              </w:rPr>
              <w:t xml:space="preserve"> [Basis: abstract]</w:t>
            </w:r>
          </w:p>
        </w:tc>
        <w:tc>
          <w:tcPr>
            <w:tcW w:type="dxa" w:w="1644"/>
          </w:tcPr>
          <w:p>
            <w:pPr>
              <w:spacing w:after="0" w:before="0"/>
            </w:pPr>
            <w:r/>
            <w:r>
              <w:rPr>
                <w:rFonts w:ascii="Calibri" w:hAnsi="Calibri"/>
                <w:b w:val="0"/>
                <w:sz w:val="16"/>
              </w:rPr>
              <w:t>Static weight scheduling avoids dynamic runtime routing/matching of values; targeting activation bit-sparsity avoids handling the dynamic whole-value sparse stream and uncovers more ineffectual work.</w:t>
            </w:r>
          </w:p>
        </w:tc>
        <w:tc>
          <w:tcPr>
            <w:tcW w:type="dxa" w:w="1644"/>
          </w:tcPr>
          <w:p>
            <w:pPr>
              <w:spacing w:after="0" w:before="0"/>
            </w:pPr>
            <w:r/>
            <w:r>
              <w:rPr>
                <w:rFonts w:ascii="Calibri" w:hAnsi="Calibri"/>
                <w:b w:val="0"/>
                <w:sz w:val="16"/>
              </w:rPr>
              <w:t>The abstract reports only qualitative comparisons (outperforms other sparse accelerators); hardware-only evaluation scope (no FPGA mentioned in the abstract).</w:t>
            </w:r>
          </w:p>
        </w:tc>
        <w:tc>
          <w:tcPr>
            <w:tcW w:type="dxa" w:w="1587"/>
          </w:tcPr>
          <w:p>
            <w:pPr>
              <w:spacing w:after="0" w:before="0"/>
            </w:pPr>
            <w:r/>
            <w:r>
              <w:rPr>
                <w:rFonts w:ascii="Calibri" w:hAnsi="Calibri"/>
                <w:b w:val="0"/>
                <w:sz w:val="16"/>
              </w:rPr>
              <w:t>Static (compile-time) weight-skip scheduling and zero-bit activation skipping; prior art for V3's static skip schedule.</w:t>
            </w:r>
          </w:p>
        </w:tc>
      </w:tr>
      <w:tr>
        <w:tc>
          <w:tcPr>
            <w:tcW w:type="dxa" w:w="709"/>
          </w:tcPr>
          <w:p>
            <w:pPr>
              <w:spacing w:after="0" w:before="0"/>
              <w:jc w:val="center"/>
            </w:pPr>
            <w:r/>
            <w:r>
              <w:rPr>
                <w:rFonts w:ascii="Calibri" w:hAnsi="Calibri"/>
                <w:b w:val="0"/>
                <w:sz w:val="16"/>
              </w:rPr>
              <w:t>26</w:t>
            </w:r>
          </w:p>
        </w:tc>
        <w:tc>
          <w:tcPr>
            <w:tcW w:type="dxa" w:w="1871"/>
          </w:tcPr>
          <w:p>
            <w:pPr>
              <w:spacing w:after="0" w:before="0"/>
            </w:pPr>
            <w:r/>
            <w:r>
              <w:rPr>
                <w:rFonts w:ascii="Calibri" w:hAnsi="Calibri"/>
                <w:b w:val="0"/>
                <w:sz w:val="16"/>
              </w:rPr>
              <w:t>SparTen: A Sparse Tensor Accelerator for Convolutional Neural Networks</w:t>
            </w:r>
          </w:p>
        </w:tc>
        <w:tc>
          <w:tcPr>
            <w:tcW w:type="dxa" w:w="1701"/>
          </w:tcPr>
          <w:p>
            <w:pPr>
              <w:spacing w:after="0" w:before="0"/>
            </w:pPr>
            <w:r/>
            <w:r>
              <w:rPr>
                <w:rFonts w:ascii="Calibri" w:hAnsi="Calibri"/>
                <w:b w:val="0"/>
                <w:sz w:val="16"/>
              </w:rPr>
              <w:t>Ashish Gondimalla, Noah Chesnut, Mithuna Thottethodi, T. N. Vijaykumar</w:t>
            </w:r>
          </w:p>
        </w:tc>
        <w:tc>
          <w:tcPr>
            <w:tcW w:type="dxa" w:w="1531"/>
          </w:tcPr>
          <w:p>
            <w:pPr>
              <w:spacing w:after="0" w:before="0"/>
            </w:pPr>
            <w:r/>
            <w:r>
              <w:rPr>
                <w:rFonts w:ascii="Calibri" w:hAnsi="Calibri"/>
                <w:b w:val="0"/>
                <w:sz w:val="16"/>
              </w:rPr>
              <w:t>Proceedings of the 52nd Annual IEEE/ACM International Symposium on Microarchitecture</w:t>
            </w:r>
          </w:p>
        </w:tc>
        <w:tc>
          <w:tcPr>
            <w:tcW w:type="dxa" w:w="1191"/>
          </w:tcPr>
          <w:p>
            <w:pPr>
              <w:spacing w:after="0" w:before="0"/>
            </w:pPr>
            <w:r/>
            <w:r>
              <w:rPr>
                <w:rFonts w:ascii="Calibri" w:hAnsi="Calibri"/>
                <w:b w:val="0"/>
                <w:sz w:val="16"/>
              </w:rPr>
              <w:t>Vol. n/a, No. n/a, pp. 151–165, 2019</w:t>
            </w:r>
          </w:p>
        </w:tc>
        <w:tc>
          <w:tcPr>
            <w:tcW w:type="dxa" w:w="1417"/>
          </w:tcPr>
          <w:p>
            <w:pPr>
              <w:spacing w:after="0" w:before="0"/>
            </w:pPr>
            <w:r/>
            <w:r>
              <w:rPr>
                <w:rFonts w:ascii="Calibri" w:hAnsi="Calibri"/>
                <w:b w:val="0"/>
                <w:sz w:val="16"/>
              </w:rPr>
              <w:t>10.1145/3352460.3358291</w:t>
            </w:r>
          </w:p>
        </w:tc>
        <w:tc>
          <w:tcPr>
            <w:tcW w:type="dxa" w:w="1843"/>
          </w:tcPr>
          <w:p>
            <w:pPr>
              <w:spacing w:after="0" w:before="0"/>
            </w:pPr>
            <w:r/>
            <w:r>
              <w:rPr>
                <w:rFonts w:ascii="Calibri" w:hAnsi="Calibri"/>
                <w:b w:val="0"/>
                <w:sz w:val="16"/>
              </w:rPr>
              <w:t>Two-sided sparse CNN accelerator with native sparse inner-join support and greedy balancing (software or hybrid) that groups filters by density to address systematic load imbalance.</w:t>
            </w:r>
            <w:r>
              <w:rPr>
                <w:rFonts w:ascii="Calibri" w:hAnsi="Calibri"/>
                <w:i/>
                <w:sz w:val="14"/>
              </w:rPr>
              <w:t xml:space="preserve"> [Basis: abstract]</w:t>
            </w:r>
          </w:p>
        </w:tc>
        <w:tc>
          <w:tcPr>
            <w:tcW w:type="dxa" w:w="1644"/>
          </w:tcPr>
          <w:p>
            <w:pPr>
              <w:spacing w:after="0" w:before="0"/>
            </w:pPr>
            <w:r/>
            <w:r>
              <w:rPr>
                <w:rFonts w:ascii="Calibri" w:hAnsi="Calibri"/>
                <w:b w:val="0"/>
                <w:sz w:val="16"/>
              </w:rPr>
              <w:t>Addresses SCNN's overheads and supports non-unit-stride convolutions; simulations show 4.7x, 1.8x and 3x over dense, one-sided sparse and SCNN, and an FPGA implementation shows 4.3x and 1.9x over dense and one-sided.</w:t>
            </w:r>
          </w:p>
        </w:tc>
        <w:tc>
          <w:tcPr>
            <w:tcW w:type="dxa" w:w="1644"/>
          </w:tcPr>
          <w:p>
            <w:pPr>
              <w:spacing w:after="0" w:before="0"/>
            </w:pPr>
            <w:r/>
            <w:r>
              <w:rPr>
                <w:rFonts w:ascii="Calibri" w:hAnsi="Calibri"/>
                <w:b w:val="0"/>
                <w:sz w:val="16"/>
              </w:rPr>
              <w:t>Runtime depends on data sparsity and needs balancing to limit imbalance; main results are simulation, with an FPGA implementation reported for a subset of comparisons.</w:t>
            </w:r>
          </w:p>
        </w:tc>
        <w:tc>
          <w:tcPr>
            <w:tcW w:type="dxa" w:w="1587"/>
          </w:tcPr>
          <w:p>
            <w:pPr>
              <w:spacing w:after="0" w:before="0"/>
            </w:pPr>
            <w:r/>
            <w:r>
              <w:rPr>
                <w:rFonts w:ascii="Calibri" w:hAnsi="Calibri"/>
                <w:b w:val="0"/>
                <w:sz w:val="16"/>
              </w:rPr>
              <w:t>Shows load imbalance is inherent to two-sided sparsity; contrast for V3's dense-bounded activation skip.</w:t>
            </w:r>
          </w:p>
        </w:tc>
      </w:tr>
      <w:tr>
        <w:tc>
          <w:tcPr>
            <w:tcW w:type="dxa" w:w="15137"/>
            <w:gridSpan w:val="10"/>
            <w:shd w:val="clear" w:color="auto" w:fill="DCE3EF"/>
          </w:tcPr>
          <w:p>
            <w:pPr>
              <w:spacing w:after="0" w:before="0"/>
            </w:pPr>
            <w:r/>
            <w:r>
              <w:rPr>
                <w:rFonts w:ascii="Calibri" w:hAnsi="Calibri"/>
                <w:b/>
                <w:sz w:val="19"/>
              </w:rPr>
              <w:t>Category 4: Timing-predictable, real-time and WCET-aware DNN inference (7 papers)</w:t>
            </w:r>
          </w:p>
        </w:tc>
      </w:tr>
      <w:tr>
        <w:tc>
          <w:tcPr>
            <w:tcW w:type="dxa" w:w="709"/>
          </w:tcPr>
          <w:p>
            <w:pPr>
              <w:spacing w:after="0" w:before="0"/>
              <w:jc w:val="center"/>
            </w:pPr>
            <w:r/>
            <w:r>
              <w:rPr>
                <w:rFonts w:ascii="Calibri" w:hAnsi="Calibri"/>
                <w:b w:val="0"/>
                <w:sz w:val="16"/>
              </w:rPr>
              <w:t>27</w:t>
            </w:r>
          </w:p>
        </w:tc>
        <w:tc>
          <w:tcPr>
            <w:tcW w:type="dxa" w:w="1871"/>
          </w:tcPr>
          <w:p>
            <w:pPr>
              <w:spacing w:after="0" w:before="0"/>
            </w:pPr>
            <w:r/>
            <w:r>
              <w:rPr>
                <w:rFonts w:ascii="Calibri" w:hAnsi="Calibri"/>
                <w:b w:val="0"/>
                <w:sz w:val="16"/>
              </w:rPr>
              <w:t>Time-Predictable Acceleration of Deep Neural Networks on FPGA SoCs with Multi-Core DPUs</w:t>
            </w:r>
          </w:p>
        </w:tc>
        <w:tc>
          <w:tcPr>
            <w:tcW w:type="dxa" w:w="1701"/>
          </w:tcPr>
          <w:p>
            <w:pPr>
              <w:spacing w:after="0" w:before="0"/>
            </w:pPr>
            <w:r/>
            <w:r>
              <w:rPr>
                <w:rFonts w:ascii="Calibri" w:hAnsi="Calibri"/>
                <w:b w:val="0"/>
                <w:sz w:val="16"/>
              </w:rPr>
              <w:t>Federico Aromolo, Niko Salamini, Jacopo Del Granchio, Alessandro Biondi, Mauro Marinoni, Giorgio Buttazzo</w:t>
            </w:r>
          </w:p>
        </w:tc>
        <w:tc>
          <w:tcPr>
            <w:tcW w:type="dxa" w:w="1531"/>
          </w:tcPr>
          <w:p>
            <w:pPr>
              <w:spacing w:after="0" w:before="0"/>
            </w:pPr>
            <w:r/>
            <w:r>
              <w:rPr>
                <w:rFonts w:ascii="Calibri" w:hAnsi="Calibri"/>
                <w:b w:val="0"/>
                <w:sz w:val="16"/>
              </w:rPr>
              <w:t>2026 IEEE 32nd Real-Time and Embedded Technology and Applications Symposium (RTAS)</w:t>
            </w:r>
          </w:p>
        </w:tc>
        <w:tc>
          <w:tcPr>
            <w:tcW w:type="dxa" w:w="1191"/>
          </w:tcPr>
          <w:p>
            <w:pPr>
              <w:spacing w:after="0" w:before="0"/>
            </w:pPr>
            <w:r/>
            <w:r>
              <w:rPr>
                <w:rFonts w:ascii="Calibri" w:hAnsi="Calibri"/>
                <w:b w:val="0"/>
                <w:sz w:val="16"/>
              </w:rPr>
              <w:t>Vol. n/a, No. n/a, pp. 275–288, 2026</w:t>
            </w:r>
          </w:p>
        </w:tc>
        <w:tc>
          <w:tcPr>
            <w:tcW w:type="dxa" w:w="1417"/>
          </w:tcPr>
          <w:p>
            <w:pPr>
              <w:spacing w:after="0" w:before="0"/>
            </w:pPr>
            <w:r/>
            <w:r>
              <w:rPr>
                <w:rFonts w:ascii="Calibri" w:hAnsi="Calibri"/>
                <w:b w:val="0"/>
                <w:sz w:val="16"/>
              </w:rPr>
              <w:t>10.1109/RTAS68450.2026.00033</w:t>
            </w:r>
          </w:p>
        </w:tc>
        <w:tc>
          <w:tcPr>
            <w:tcW w:type="dxa" w:w="1843"/>
          </w:tcPr>
          <w:p>
            <w:pPr>
              <w:spacing w:after="0" w:before="0"/>
            </w:pPr>
            <w:r/>
            <w:r>
              <w:rPr>
                <w:rFonts w:ascii="Calibri" w:hAnsi="Calibri"/>
                <w:b w:val="0"/>
                <w:sz w:val="16"/>
              </w:rPr>
              <w:t>Scheduling and analysis framework for multi-core AMD DPU configurations on FPGA SoCs: AXI bus budgeting units regulate per-core memory traffic, DNNs are split into chunks, and limited-preemptive fixed-priority scheduling gets a response-time analysis.</w:t>
            </w:r>
            <w:r>
              <w:rPr>
                <w:rFonts w:ascii="Calibri" w:hAnsi="Calibri"/>
                <w:i/>
                <w:sz w:val="14"/>
              </w:rPr>
              <w:t xml:space="preserve"> [Basis: full text]</w:t>
            </w:r>
          </w:p>
        </w:tc>
        <w:tc>
          <w:tcPr>
            <w:tcW w:type="dxa" w:w="1644"/>
          </w:tcPr>
          <w:p>
            <w:pPr>
              <w:spacing w:after="0" w:before="0"/>
            </w:pPr>
            <w:r/>
            <w:r>
              <w:rPr>
                <w:rFonts w:ascii="Calibri" w:hAnsi="Calibri"/>
                <w:b w:val="0"/>
                <w:sz w:val="16"/>
              </w:rPr>
              <w:t>Gives response-time guarantees for concurrent DNN tasks on a commercial Zynq UltraScale+ platform, and reports large schedulability gains over the standard Vitis AI setup across all evaluated scenarios.</w:t>
            </w:r>
          </w:p>
        </w:tc>
        <w:tc>
          <w:tcPr>
            <w:tcW w:type="dxa" w:w="1644"/>
          </w:tcPr>
          <w:p>
            <w:pPr>
              <w:spacing w:after="0" w:before="0"/>
            </w:pPr>
            <w:r/>
            <w:r>
              <w:rPr>
                <w:rFonts w:ascii="Calibri" w:hAnsi="Calibri"/>
                <w:b w:val="0"/>
                <w:sz w:val="16"/>
              </w:rPr>
              <w:t>Chunk WCETs come from profiling (10,000 inferences under memory interference), not from an analytical model. The DPU is a closed black box; evaluated on ZCU102 with DPUs at 90 MHz; CPU pre/post-processing is left to future work.</w:t>
            </w:r>
          </w:p>
        </w:tc>
        <w:tc>
          <w:tcPr>
            <w:tcW w:type="dxa" w:w="1587"/>
          </w:tcPr>
          <w:p>
            <w:pPr>
              <w:spacing w:after="0" w:before="0"/>
            </w:pPr>
            <w:r/>
            <w:r>
              <w:rPr>
                <w:rFonts w:ascii="Calibri" w:hAnsi="Calibri"/>
                <w:b w:val="0"/>
                <w:sz w:val="16"/>
              </w:rPr>
              <w:t>Closest prior on time-predictable DNN inference on Zynq US+; contrast: measured-WCET bound on a black-box DPU vs V3's exact compile-time cycle count on custom RTL.</w:t>
            </w:r>
          </w:p>
        </w:tc>
      </w:tr>
      <w:tr>
        <w:tc>
          <w:tcPr>
            <w:tcW w:type="dxa" w:w="709"/>
          </w:tcPr>
          <w:p>
            <w:pPr>
              <w:spacing w:after="0" w:before="0"/>
              <w:jc w:val="center"/>
            </w:pPr>
            <w:r/>
            <w:r>
              <w:rPr>
                <w:rFonts w:ascii="Calibri" w:hAnsi="Calibri"/>
                <w:b w:val="0"/>
                <w:sz w:val="16"/>
              </w:rPr>
              <w:t>28</w:t>
            </w:r>
          </w:p>
        </w:tc>
        <w:tc>
          <w:tcPr>
            <w:tcW w:type="dxa" w:w="1871"/>
          </w:tcPr>
          <w:p>
            <w:pPr>
              <w:spacing w:after="0" w:before="0"/>
            </w:pPr>
            <w:r/>
            <w:r>
              <w:rPr>
                <w:rFonts w:ascii="Calibri" w:hAnsi="Calibri"/>
                <w:b w:val="0"/>
                <w:sz w:val="16"/>
              </w:rPr>
              <w:t>Time-Predictable Acceleration of Deep Neural Networks on FPGA SoC Platforms</w:t>
            </w:r>
          </w:p>
        </w:tc>
        <w:tc>
          <w:tcPr>
            <w:tcW w:type="dxa" w:w="1701"/>
          </w:tcPr>
          <w:p>
            <w:pPr>
              <w:spacing w:after="0" w:before="0"/>
            </w:pPr>
            <w:r/>
            <w:r>
              <w:rPr>
                <w:rFonts w:ascii="Calibri" w:hAnsi="Calibri"/>
                <w:b w:val="0"/>
                <w:sz w:val="16"/>
              </w:rPr>
              <w:t>Francesco Restuccia, Alessandro Biondi</w:t>
            </w:r>
          </w:p>
        </w:tc>
        <w:tc>
          <w:tcPr>
            <w:tcW w:type="dxa" w:w="1531"/>
          </w:tcPr>
          <w:p>
            <w:pPr>
              <w:spacing w:after="0" w:before="0"/>
            </w:pPr>
            <w:r/>
            <w:r>
              <w:rPr>
                <w:rFonts w:ascii="Calibri" w:hAnsi="Calibri"/>
                <w:b w:val="0"/>
                <w:sz w:val="16"/>
              </w:rPr>
              <w:t>2021 IEEE Real-Time Systems Symposium (RTSS)</w:t>
            </w:r>
          </w:p>
        </w:tc>
        <w:tc>
          <w:tcPr>
            <w:tcW w:type="dxa" w:w="1191"/>
          </w:tcPr>
          <w:p>
            <w:pPr>
              <w:spacing w:after="0" w:before="0"/>
            </w:pPr>
            <w:r/>
            <w:r>
              <w:rPr>
                <w:rFonts w:ascii="Calibri" w:hAnsi="Calibri"/>
                <w:b w:val="0"/>
                <w:sz w:val="16"/>
              </w:rPr>
              <w:t>Vol. n/a, No. n/a, pp. 441–454, 2021</w:t>
            </w:r>
          </w:p>
        </w:tc>
        <w:tc>
          <w:tcPr>
            <w:tcW w:type="dxa" w:w="1417"/>
          </w:tcPr>
          <w:p>
            <w:pPr>
              <w:spacing w:after="0" w:before="0"/>
            </w:pPr>
            <w:r/>
            <w:r>
              <w:rPr>
                <w:rFonts w:ascii="Calibri" w:hAnsi="Calibri"/>
                <w:b w:val="0"/>
                <w:sz w:val="16"/>
              </w:rPr>
              <w:t>10.1109/RTSS52674.2021.00047</w:t>
            </w:r>
          </w:p>
        </w:tc>
        <w:tc>
          <w:tcPr>
            <w:tcW w:type="dxa" w:w="1843"/>
          </w:tcPr>
          <w:p>
            <w:pPr>
              <w:spacing w:after="0" w:before="0"/>
            </w:pPr>
            <w:r/>
            <w:r>
              <w:rPr>
                <w:rFonts w:ascii="Calibri" w:hAnsi="Calibri"/>
                <w:b w:val="0"/>
                <w:sz w:val="16"/>
              </w:rPr>
              <w:t>Profiles the Xilinx DPU on Zynq UltraScale+ (ZCU102) with a custom AXI bus profiler, derives a series-parallel execution model and response-time analysis, and adds DICTAT, an FPGA module that fetches DPU instructions from on-chip memory.</w:t>
            </w:r>
            <w:r>
              <w:rPr>
                <w:rFonts w:ascii="Calibri" w:hAnsi="Calibri"/>
                <w:i/>
                <w:sz w:val="14"/>
              </w:rPr>
              <w:t xml:space="preserve"> [Basis: full text]</w:t>
            </w:r>
          </w:p>
        </w:tc>
        <w:tc>
          <w:tcPr>
            <w:tcW w:type="dxa" w:w="1644"/>
          </w:tcPr>
          <w:p>
            <w:pPr>
              <w:spacing w:after="0" w:before="0"/>
            </w:pPr>
            <w:r/>
            <w:r>
              <w:rPr>
                <w:rFonts w:ascii="Calibri" w:hAnsi="Calibri"/>
                <w:b w:val="0"/>
                <w:sz w:val="16"/>
              </w:rPr>
              <w:t>Safe analytical upper bounds for DPU inference of ADAS DNNs, validated against on-board measurements; DICTAT reduces bound pessimism by at least 12% overall (25% for pedestrian detection).</w:t>
            </w:r>
          </w:p>
        </w:tc>
        <w:tc>
          <w:tcPr>
            <w:tcW w:type="dxa" w:w="1644"/>
          </w:tcPr>
          <w:p>
            <w:pPr>
              <w:spacing w:after="0" w:before="0"/>
            </w:pPr>
            <w:r/>
            <w:r>
              <w:rPr>
                <w:rFonts w:ascii="Calibri" w:hAnsi="Calibri"/>
                <w:b w:val="0"/>
                <w:sz w:val="16"/>
              </w:rPr>
              <w:t>Bounds, not exact predictions: measured latency still varies (e.g. Lane Detect 7.09-7.12 ms over 1000 runs, attributed to DRAM). Single black-box DPU, model built from profiling.</w:t>
            </w:r>
          </w:p>
        </w:tc>
        <w:tc>
          <w:tcPr>
            <w:tcW w:type="dxa" w:w="1587"/>
          </w:tcPr>
          <w:p>
            <w:pPr>
              <w:spacing w:after="0" w:before="0"/>
            </w:pPr>
            <w:r/>
            <w:r>
              <w:rPr>
                <w:rFonts w:ascii="Calibri" w:hAnsi="Calibri"/>
                <w:b w:val="0"/>
                <w:sz w:val="16"/>
              </w:rPr>
              <w:t>Baseline line of work for time-predictable DNN acceleration on the same SoC family as the KV260; V3 contrasts exact cycle equality with RTA bounds.</w:t>
            </w:r>
          </w:p>
        </w:tc>
      </w:tr>
      <w:tr>
        <w:tc>
          <w:tcPr>
            <w:tcW w:type="dxa" w:w="709"/>
          </w:tcPr>
          <w:p>
            <w:pPr>
              <w:spacing w:after="0" w:before="0"/>
              <w:jc w:val="center"/>
            </w:pPr>
            <w:r/>
            <w:r>
              <w:rPr>
                <w:rFonts w:ascii="Calibri" w:hAnsi="Calibri"/>
                <w:b w:val="0"/>
                <w:sz w:val="16"/>
              </w:rPr>
              <w:t>29</w:t>
            </w:r>
          </w:p>
        </w:tc>
        <w:tc>
          <w:tcPr>
            <w:tcW w:type="dxa" w:w="1871"/>
          </w:tcPr>
          <w:p>
            <w:pPr>
              <w:spacing w:after="0" w:before="0"/>
            </w:pPr>
            <w:r/>
            <w:r>
              <w:rPr>
                <w:rFonts w:ascii="Calibri" w:hAnsi="Calibri"/>
                <w:b w:val="0"/>
                <w:sz w:val="16"/>
              </w:rPr>
              <w:t>DERCA: DetERministic Cycle-Level Accelerator on Reconfigurable Platforms in DNN-Enabled Real-Time Safety-Critical Systems</w:t>
            </w:r>
          </w:p>
        </w:tc>
        <w:tc>
          <w:tcPr>
            <w:tcW w:type="dxa" w:w="1701"/>
          </w:tcPr>
          <w:p>
            <w:pPr>
              <w:spacing w:after="0" w:before="0"/>
            </w:pPr>
            <w:r/>
            <w:r>
              <w:rPr>
                <w:rFonts w:ascii="Calibri" w:hAnsi="Calibri"/>
                <w:b w:val="0"/>
                <w:sz w:val="16"/>
              </w:rPr>
              <w:t>Shixin Ji, Zhuoping Yang, Xingzhen Chen, Wei Zhang, Jinming Zhuang, Alex K. Jones, Zheng Dong, Peipei Zhou</w:t>
            </w:r>
          </w:p>
        </w:tc>
        <w:tc>
          <w:tcPr>
            <w:tcW w:type="dxa" w:w="1531"/>
          </w:tcPr>
          <w:p>
            <w:pPr>
              <w:spacing w:after="0" w:before="0"/>
            </w:pPr>
            <w:r/>
            <w:r>
              <w:rPr>
                <w:rFonts w:ascii="Calibri" w:hAnsi="Calibri"/>
                <w:b w:val="0"/>
                <w:sz w:val="16"/>
              </w:rPr>
              <w:t>2025 IEEE Real-Time Systems Symposium (RTSS)</w:t>
            </w:r>
          </w:p>
        </w:tc>
        <w:tc>
          <w:tcPr>
            <w:tcW w:type="dxa" w:w="1191"/>
          </w:tcPr>
          <w:p>
            <w:pPr>
              <w:spacing w:after="0" w:before="0"/>
            </w:pPr>
            <w:r/>
            <w:r>
              <w:rPr>
                <w:rFonts w:ascii="Calibri" w:hAnsi="Calibri"/>
                <w:b w:val="0"/>
                <w:sz w:val="16"/>
              </w:rPr>
              <w:t>Vol. n/a, No. n/a, pp. 392–405, 2025</w:t>
            </w:r>
          </w:p>
        </w:tc>
        <w:tc>
          <w:tcPr>
            <w:tcW w:type="dxa" w:w="1417"/>
          </w:tcPr>
          <w:p>
            <w:pPr>
              <w:spacing w:after="0" w:before="0"/>
            </w:pPr>
            <w:r/>
            <w:r>
              <w:rPr>
                <w:rFonts w:ascii="Calibri" w:hAnsi="Calibri"/>
                <w:b w:val="0"/>
                <w:sz w:val="16"/>
              </w:rPr>
              <w:t>10.1109/RTSS66672.2025.00039</w:t>
            </w:r>
          </w:p>
        </w:tc>
        <w:tc>
          <w:tcPr>
            <w:tcW w:type="dxa" w:w="1843"/>
          </w:tcPr>
          <w:p>
            <w:pPr>
              <w:spacing w:after="0" w:before="0"/>
            </w:pPr>
            <w:r/>
            <w:r>
              <w:rPr>
                <w:rFonts w:ascii="Calibri" w:hAnsi="Calibri"/>
                <w:b w:val="0"/>
                <w:sz w:val="16"/>
              </w:rPr>
              <w:t>Accelerator architecture with fine-grained intra-layer preemption and cycle-level determinism, an on-chip EDF scheduler and a dataflow with intra-layer preemption points; predictability analysis under the limited-preemptive task model enables schedulability analysis and preemption-point placement.</w:t>
            </w:r>
            <w:r>
              <w:rPr>
                <w:rFonts w:ascii="Calibri" w:hAnsi="Calibri"/>
                <w:i/>
                <w:sz w:val="14"/>
              </w:rPr>
              <w:t xml:space="preserve"> [Basis: abstract]</w:t>
            </w:r>
          </w:p>
        </w:tc>
        <w:tc>
          <w:tcPr>
            <w:tcW w:type="dxa" w:w="1644"/>
          </w:tcPr>
          <w:p>
            <w:pPr>
              <w:spacing w:after="0" w:before="0"/>
            </w:pPr>
            <w:r/>
            <w:r>
              <w:rPr>
                <w:rFonts w:ascii="Calibri" w:hAnsi="Calibri"/>
                <w:b w:val="0"/>
                <w:sz w:val="16"/>
              </w:rPr>
              <w:t>Reduces priority inversion versus non-preemptive and layer-wise preemptive dataflows with under 5% WCET overhead and 6% extra resources on AMD VCK190; open-sourced.</w:t>
            </w:r>
          </w:p>
        </w:tc>
        <w:tc>
          <w:tcPr>
            <w:tcW w:type="dxa" w:w="1644"/>
          </w:tcPr>
          <w:p>
            <w:pPr>
              <w:spacing w:after="0" w:before="0"/>
            </w:pPr>
            <w:r/>
            <w:r>
              <w:rPr>
                <w:rFonts w:ascii="Calibri" w:hAnsi="Calibri"/>
                <w:b w:val="0"/>
                <w:sz w:val="16"/>
              </w:rPr>
              <w:t>Evaluated on Versal ACAP (VCK190), not Zynq UltraScale+. Full text not yet public (NSF PAR embargo to 2026-12-02), so how WCET is derived and whether model and board cycles are compared was not checked.</w:t>
            </w:r>
          </w:p>
        </w:tc>
        <w:tc>
          <w:tcPr>
            <w:tcW w:type="dxa" w:w="1587"/>
          </w:tcPr>
          <w:p>
            <w:pPr>
              <w:spacing w:after="0" w:before="0"/>
            </w:pPr>
            <w:r/>
            <w:r>
              <w:rPr>
                <w:rFonts w:ascii="Calibri" w:hAnsi="Calibri"/>
                <w:b w:val="0"/>
                <w:sz w:val="16"/>
              </w:rPr>
              <w:t>Closest custom-accelerator prior claiming cycle-level determinism; V3 must position its exact model=RTL=board equality against it. Read full text when available.</w:t>
            </w:r>
          </w:p>
        </w:tc>
      </w:tr>
      <w:tr>
        <w:tc>
          <w:tcPr>
            <w:tcW w:type="dxa" w:w="709"/>
          </w:tcPr>
          <w:p>
            <w:pPr>
              <w:spacing w:after="0" w:before="0"/>
              <w:jc w:val="center"/>
            </w:pPr>
            <w:r/>
            <w:r>
              <w:rPr>
                <w:rFonts w:ascii="Calibri" w:hAnsi="Calibri"/>
                <w:b w:val="0"/>
                <w:sz w:val="16"/>
              </w:rPr>
              <w:t>30</w:t>
            </w:r>
          </w:p>
        </w:tc>
        <w:tc>
          <w:tcPr>
            <w:tcW w:type="dxa" w:w="1871"/>
          </w:tcPr>
          <w:p>
            <w:pPr>
              <w:spacing w:after="0" w:before="0"/>
            </w:pPr>
            <w:r/>
            <w:r>
              <w:rPr>
                <w:rFonts w:ascii="Calibri" w:hAnsi="Calibri"/>
                <w:b w:val="0"/>
                <w:sz w:val="16"/>
              </w:rPr>
              <w:t>Superscalar Time-Triggered Versatile-Tensor Accelerator</w:t>
            </w:r>
          </w:p>
        </w:tc>
        <w:tc>
          <w:tcPr>
            <w:tcW w:type="dxa" w:w="1701"/>
          </w:tcPr>
          <w:p>
            <w:pPr>
              <w:spacing w:after="0" w:before="0"/>
            </w:pPr>
            <w:r/>
            <w:r>
              <w:rPr>
                <w:rFonts w:ascii="Calibri" w:hAnsi="Calibri"/>
                <w:b w:val="0"/>
                <w:sz w:val="16"/>
              </w:rPr>
              <w:t>Yosab Bebawy, Aniebiet Micheal Ezekiel, Roman Obermaisser</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44, No. 7, pp. 2503–2515, 2025</w:t>
            </w:r>
          </w:p>
        </w:tc>
        <w:tc>
          <w:tcPr>
            <w:tcW w:type="dxa" w:w="1417"/>
          </w:tcPr>
          <w:p>
            <w:pPr>
              <w:spacing w:after="0" w:before="0"/>
            </w:pPr>
            <w:r/>
            <w:r>
              <w:rPr>
                <w:rFonts w:ascii="Calibri" w:hAnsi="Calibri"/>
                <w:b w:val="0"/>
                <w:sz w:val="16"/>
              </w:rPr>
              <w:t>10.1109/TCAD.2025.3528355</w:t>
            </w:r>
          </w:p>
        </w:tc>
        <w:tc>
          <w:tcPr>
            <w:tcW w:type="dxa" w:w="1843"/>
          </w:tcPr>
          <w:p>
            <w:pPr>
              <w:spacing w:after="0" w:before="0"/>
            </w:pPr>
            <w:r/>
            <w:r>
              <w:rPr>
                <w:rFonts w:ascii="Calibri" w:hAnsi="Calibri"/>
                <w:b w:val="0"/>
                <w:sz w:val="16"/>
              </w:rPr>
              <w:t>Proposes STT-VTA, a superscalar extension of the time-triggered VTA: pattern-based timing schedules from an extended simulator plus a configuration manager decide how many extra VTA modules a model needs.</w:t>
            </w:r>
            <w:r>
              <w:rPr>
                <w:rFonts w:ascii="Calibri" w:hAnsi="Calibri"/>
                <w:i/>
                <w:sz w:val="14"/>
              </w:rPr>
              <w:t xml:space="preserve"> [Basis: abstract]</w:t>
            </w:r>
          </w:p>
        </w:tc>
        <w:tc>
          <w:tcPr>
            <w:tcW w:type="dxa" w:w="1644"/>
          </w:tcPr>
          <w:p>
            <w:pPr>
              <w:spacing w:after="0" w:before="0"/>
            </w:pPr>
            <w:r/>
            <w:r>
              <w:rPr>
                <w:rFonts w:ascii="Calibri" w:hAnsi="Calibri"/>
                <w:b w:val="0"/>
                <w:sz w:val="16"/>
              </w:rPr>
              <w:t>Keeps deterministic temporal use of shared memories and buses (time-triggered) while cutting inference time by 20-41% versus a single (TT-)VTA, with identical classification accuracy.</w:t>
            </w:r>
          </w:p>
        </w:tc>
        <w:tc>
          <w:tcPr>
            <w:tcW w:type="dxa" w:w="1644"/>
          </w:tcPr>
          <w:p>
            <w:pPr>
              <w:spacing w:after="0" w:before="0"/>
            </w:pPr>
            <w:r/>
            <w:r>
              <w:rPr>
                <w:rFonts w:ascii="Calibri" w:hAnsi="Calibri"/>
                <w:b w:val="0"/>
                <w:sz w:val="16"/>
              </w:rPr>
              <w:t>Evaluation as described in the abstract uses a software simulator (DRAMSim2 for memory instructions plus a cycle-accurate simulator); no board measurement is mentioned there. The earlier TT-VTA was slower on average (53 vs 51 ms).</w:t>
            </w:r>
          </w:p>
        </w:tc>
        <w:tc>
          <w:tcPr>
            <w:tcW w:type="dxa" w:w="1587"/>
          </w:tcPr>
          <w:p>
            <w:pPr>
              <w:spacing w:after="0" w:before="0"/>
            </w:pPr>
            <w:r/>
            <w:r>
              <w:rPr>
                <w:rFonts w:ascii="Calibri" w:hAnsi="Calibri"/>
                <w:b w:val="0"/>
                <w:sz w:val="16"/>
              </w:rPr>
              <w:t>Closest time-triggered custom DNN accelerator line; contrast with V3's on-board cycle-exact verification.</w:t>
            </w:r>
          </w:p>
        </w:tc>
      </w:tr>
      <w:tr>
        <w:tc>
          <w:tcPr>
            <w:tcW w:type="dxa" w:w="709"/>
          </w:tcPr>
          <w:p>
            <w:pPr>
              <w:spacing w:after="0" w:before="0"/>
              <w:jc w:val="center"/>
            </w:pPr>
            <w:r/>
            <w:r>
              <w:rPr>
                <w:rFonts w:ascii="Calibri" w:hAnsi="Calibri"/>
                <w:b w:val="0"/>
                <w:sz w:val="16"/>
              </w:rPr>
              <w:t>31</w:t>
            </w:r>
          </w:p>
        </w:tc>
        <w:tc>
          <w:tcPr>
            <w:tcW w:type="dxa" w:w="1871"/>
          </w:tcPr>
          <w:p>
            <w:pPr>
              <w:spacing w:after="0" w:before="0"/>
            </w:pPr>
            <w:r/>
            <w:r>
              <w:rPr>
                <w:rFonts w:ascii="Calibri" w:hAnsi="Calibri"/>
                <w:b w:val="0"/>
                <w:sz w:val="16"/>
              </w:rPr>
              <w:t>ART: Customizing Accelerators for DNN-Enabled Real-Time Safety-Critical Systems</w:t>
            </w:r>
          </w:p>
        </w:tc>
        <w:tc>
          <w:tcPr>
            <w:tcW w:type="dxa" w:w="1701"/>
          </w:tcPr>
          <w:p>
            <w:pPr>
              <w:spacing w:after="0" w:before="0"/>
            </w:pPr>
            <w:r/>
            <w:r>
              <w:rPr>
                <w:rFonts w:ascii="Calibri" w:hAnsi="Calibri"/>
                <w:b w:val="0"/>
                <w:sz w:val="16"/>
              </w:rPr>
              <w:t>Shixin Ji, Xingzhen Chen, Jinming Zhuang, Wei Zhang, Zhuoping Yang, Sarah Schultz, Yukai Song, Jingtong Hu, Alex Jones, Zheng Dong, Peipei Zhou</w:t>
            </w:r>
          </w:p>
        </w:tc>
        <w:tc>
          <w:tcPr>
            <w:tcW w:type="dxa" w:w="1531"/>
          </w:tcPr>
          <w:p>
            <w:pPr>
              <w:spacing w:after="0" w:before="0"/>
            </w:pPr>
            <w:r/>
            <w:r>
              <w:rPr>
                <w:rFonts w:ascii="Calibri" w:hAnsi="Calibri"/>
                <w:b w:val="0"/>
                <w:sz w:val="16"/>
              </w:rPr>
              <w:t>Proceedings of the Great Lakes Symposium on VLSI 2025</w:t>
            </w:r>
          </w:p>
        </w:tc>
        <w:tc>
          <w:tcPr>
            <w:tcW w:type="dxa" w:w="1191"/>
          </w:tcPr>
          <w:p>
            <w:pPr>
              <w:spacing w:after="0" w:before="0"/>
            </w:pPr>
            <w:r/>
            <w:r>
              <w:rPr>
                <w:rFonts w:ascii="Calibri" w:hAnsi="Calibri"/>
                <w:b w:val="0"/>
                <w:sz w:val="16"/>
              </w:rPr>
              <w:t>Vol. n/a, No. n/a, pp. 442–449, 2025</w:t>
            </w:r>
          </w:p>
        </w:tc>
        <w:tc>
          <w:tcPr>
            <w:tcW w:type="dxa" w:w="1417"/>
          </w:tcPr>
          <w:p>
            <w:pPr>
              <w:spacing w:after="0" w:before="0"/>
            </w:pPr>
            <w:r/>
            <w:r>
              <w:rPr>
                <w:rFonts w:ascii="Calibri" w:hAnsi="Calibri"/>
                <w:b w:val="0"/>
                <w:sz w:val="16"/>
              </w:rPr>
              <w:t>10.1145/3716368.3735215</w:t>
            </w:r>
          </w:p>
        </w:tc>
        <w:tc>
          <w:tcPr>
            <w:tcW w:type="dxa" w:w="1843"/>
          </w:tcPr>
          <w:p>
            <w:pPr>
              <w:spacing w:after="0" w:before="0"/>
            </w:pPr>
            <w:r/>
            <w:r>
              <w:rPr>
                <w:rFonts w:ascii="Calibri" w:hAnsi="Calibri"/>
                <w:b w:val="0"/>
                <w:sz w:val="16"/>
              </w:rPr>
              <w:t>HW/SW co-design framework that turns HLS-based FPGA DNN accelerators into real-time ones: schedulability analysis and preemption-point placement in software, and hardware GEDF scheduling with save/resume preemption via source-code transformation.</w:t>
            </w:r>
            <w:r>
              <w:rPr>
                <w:rFonts w:ascii="Calibri" w:hAnsi="Calibri"/>
                <w:i/>
                <w:sz w:val="14"/>
              </w:rPr>
              <w:t xml:space="preserve"> [Basis: full text]</w:t>
            </w:r>
          </w:p>
        </w:tc>
        <w:tc>
          <w:tcPr>
            <w:tcW w:type="dxa" w:w="1644"/>
          </w:tcPr>
          <w:p>
            <w:pPr>
              <w:spacing w:after="0" w:before="0"/>
            </w:pPr>
            <w:r/>
            <w:r>
              <w:rPr>
                <w:rFonts w:ascii="Calibri" w:hAnsi="Calibri"/>
                <w:b w:val="0"/>
                <w:sz w:val="16"/>
              </w:rPr>
              <w:t>Meets schedulability where baseline accelerators miss deadlines on AMD VCK190; scheduler hardware takes a fixed small number of cycles and uses &lt;0.5% resources; about 100 lines of user input generate about 2.5k lines of code.</w:t>
            </w:r>
          </w:p>
        </w:tc>
        <w:tc>
          <w:tcPr>
            <w:tcW w:type="dxa" w:w="1644"/>
          </w:tcPr>
          <w:p>
            <w:pPr>
              <w:spacing w:after="0" w:before="0"/>
            </w:pPr>
            <w:r/>
            <w:r>
              <w:rPr>
                <w:rFonts w:ascii="Calibri" w:hAnsi="Calibri"/>
                <w:b w:val="0"/>
                <w:sz w:val="16"/>
              </w:rPr>
              <w:t>Task WCETs are inputs to the analysis; we found no statement on how they are derived in the sections read. Evaluated on Versal VCK190 with two baseline accelerator models; one accelerator shared by all tasks (heterogeneous/partial reconfiguration future work).</w:t>
            </w:r>
          </w:p>
        </w:tc>
        <w:tc>
          <w:tcPr>
            <w:tcW w:type="dxa" w:w="1587"/>
          </w:tcPr>
          <w:p>
            <w:pPr>
              <w:spacing w:after="0" w:before="0"/>
            </w:pPr>
            <w:r/>
            <w:r>
              <w:rPr>
                <w:rFonts w:ascii="Calibri" w:hAnsi="Calibri"/>
                <w:b w:val="0"/>
                <w:sz w:val="16"/>
              </w:rPr>
              <w:t>Real-time scheduling of FPGA DNN accelerators; V3 provides the exact per-layer WCETs such frameworks assume.</w:t>
            </w:r>
          </w:p>
        </w:tc>
      </w:tr>
      <w:tr>
        <w:tc>
          <w:tcPr>
            <w:tcW w:type="dxa" w:w="709"/>
          </w:tcPr>
          <w:p>
            <w:pPr>
              <w:spacing w:after="0" w:before="0"/>
              <w:jc w:val="center"/>
            </w:pPr>
            <w:r/>
            <w:r>
              <w:rPr>
                <w:rFonts w:ascii="Calibri" w:hAnsi="Calibri"/>
                <w:b w:val="0"/>
                <w:sz w:val="16"/>
              </w:rPr>
              <w:t>32</w:t>
            </w:r>
          </w:p>
        </w:tc>
        <w:tc>
          <w:tcPr>
            <w:tcW w:type="dxa" w:w="1871"/>
          </w:tcPr>
          <w:p>
            <w:pPr>
              <w:spacing w:after="0" w:before="0"/>
            </w:pPr>
            <w:r/>
            <w:r>
              <w:rPr>
                <w:rFonts w:ascii="Calibri" w:hAnsi="Calibri"/>
                <w:b w:val="0"/>
                <w:sz w:val="16"/>
              </w:rPr>
              <w:t>Vicuna: A Timing-Predictable RISC-V Vector Coprocessor for Scalable Parallel Computation</w:t>
            </w:r>
          </w:p>
        </w:tc>
        <w:tc>
          <w:tcPr>
            <w:tcW w:type="dxa" w:w="1701"/>
          </w:tcPr>
          <w:p>
            <w:pPr>
              <w:spacing w:after="0" w:before="0"/>
            </w:pPr>
            <w:r/>
            <w:r>
              <w:rPr>
                <w:rFonts w:ascii="Calibri" w:hAnsi="Calibri"/>
                <w:b w:val="0"/>
                <w:sz w:val="16"/>
              </w:rPr>
              <w:t>Michael Platzer, Peter Puschner</w:t>
            </w:r>
          </w:p>
        </w:tc>
        <w:tc>
          <w:tcPr>
            <w:tcW w:type="dxa" w:w="1531"/>
          </w:tcPr>
          <w:p>
            <w:pPr>
              <w:spacing w:after="0" w:before="0"/>
            </w:pPr>
            <w:r/>
            <w:r>
              <w:rPr>
                <w:rFonts w:ascii="Calibri" w:hAnsi="Calibri"/>
                <w:b w:val="0"/>
                <w:sz w:val="16"/>
              </w:rPr>
              <w:t>LIPIcs, Volume 196, ECRTS 2021</w:t>
            </w:r>
          </w:p>
        </w:tc>
        <w:tc>
          <w:tcPr>
            <w:tcW w:type="dxa" w:w="1191"/>
          </w:tcPr>
          <w:p>
            <w:pPr>
              <w:spacing w:after="0" w:before="0"/>
            </w:pPr>
            <w:r/>
            <w:r>
              <w:rPr>
                <w:rFonts w:ascii="Calibri" w:hAnsi="Calibri"/>
                <w:b w:val="0"/>
                <w:sz w:val="16"/>
              </w:rPr>
              <w:t>Vol. 196, No. n/a, pp. 1:1–1:18, 2021</w:t>
            </w:r>
          </w:p>
        </w:tc>
        <w:tc>
          <w:tcPr>
            <w:tcW w:type="dxa" w:w="1417"/>
          </w:tcPr>
          <w:p>
            <w:pPr>
              <w:spacing w:after="0" w:before="0"/>
            </w:pPr>
            <w:r/>
            <w:r>
              <w:rPr>
                <w:rFonts w:ascii="Calibri" w:hAnsi="Calibri"/>
                <w:b w:val="0"/>
                <w:sz w:val="16"/>
              </w:rPr>
              <w:t>10.4230/LIPIcs.ECRTS.2021.1</w:t>
            </w:r>
          </w:p>
        </w:tc>
        <w:tc>
          <w:tcPr>
            <w:tcW w:type="dxa" w:w="1843"/>
          </w:tcPr>
          <w:p>
            <w:pPr>
              <w:spacing w:after="0" w:before="0"/>
            </w:pPr>
            <w:r/>
            <w:r>
              <w:rPr>
                <w:rFonts w:ascii="Calibri" w:hAnsi="Calibri"/>
                <w:b w:val="0"/>
                <w:sz w:val="16"/>
              </w:rPr>
              <w:t>Timing-anomaly-free RISC-V vector coprocessor integrated with Ibex (128 8-bit MACs/cycle, 80 MHz on Xilinx 7-series), evaluated on data-parallel benchmarks including 3x3 convolution and matrix multiplication.</w:t>
            </w:r>
            <w:r>
              <w:rPr>
                <w:rFonts w:ascii="Calibri" w:hAnsi="Calibri"/>
                <w:i/>
                <w:sz w:val="14"/>
              </w:rPr>
              <w:t xml:space="preserve"> [Basis: full text]</w:t>
            </w:r>
          </w:p>
        </w:tc>
        <w:tc>
          <w:tcPr>
            <w:tcW w:type="dxa" w:w="1644"/>
          </w:tcPr>
          <w:p>
            <w:pPr>
              <w:spacing w:after="0" w:before="0"/>
            </w:pPr>
            <w:r/>
            <w:r>
              <w:rPr>
                <w:rFonts w:ascii="Calibri" w:hAnsi="Calibri"/>
                <w:b w:val="0"/>
                <w:sz w:val="16"/>
              </w:rPr>
              <w:t>Each benchmark always runs in exactly the same number of cycles, and repeated runs with varying inputs give identical times; over 90% efficiency on compute-bound tasks while enabling compositional WCET analysis.</w:t>
            </w:r>
          </w:p>
        </w:tc>
        <w:tc>
          <w:tcPr>
            <w:tcW w:type="dxa" w:w="1644"/>
          </w:tcPr>
          <w:p>
            <w:pPr>
              <w:spacing w:after="0" w:before="0"/>
            </w:pPr>
            <w:r/>
            <w:r>
              <w:rPr>
                <w:rFonts w:ascii="Calibri" w:hAnsi="Calibri"/>
                <w:b w:val="0"/>
                <w:sz w:val="16"/>
              </w:rPr>
              <w:t>Performance figures come from measurement, not timing analysis (Sec. 5). It is a programmable processor, not a CNN accelerator, and is evaluated on kernels rather than full networks.</w:t>
            </w:r>
          </w:p>
        </w:tc>
        <w:tc>
          <w:tcPr>
            <w:tcW w:type="dxa" w:w="1587"/>
          </w:tcPr>
          <w:p>
            <w:pPr>
              <w:spacing w:after="0" w:before="0"/>
            </w:pPr>
            <w:r/>
            <w:r>
              <w:rPr>
                <w:rFonts w:ascii="Calibri" w:hAnsi="Calibri"/>
                <w:b w:val="0"/>
                <w:sz w:val="16"/>
              </w:rPr>
              <w:t>Prior evidence of run-to-run cycle constancy on FPGA; V3 adds analytical prediction equal to the measurement for full CNNs.</w:t>
            </w:r>
          </w:p>
        </w:tc>
      </w:tr>
      <w:tr>
        <w:tc>
          <w:tcPr>
            <w:tcW w:type="dxa" w:w="709"/>
          </w:tcPr>
          <w:p>
            <w:pPr>
              <w:spacing w:after="0" w:before="0"/>
              <w:jc w:val="center"/>
            </w:pPr>
            <w:r/>
            <w:r>
              <w:rPr>
                <w:rFonts w:ascii="Calibri" w:hAnsi="Calibri"/>
                <w:b w:val="0"/>
                <w:sz w:val="16"/>
              </w:rPr>
              <w:t>33</w:t>
            </w:r>
          </w:p>
        </w:tc>
        <w:tc>
          <w:tcPr>
            <w:tcW w:type="dxa" w:w="1871"/>
          </w:tcPr>
          <w:p>
            <w:pPr>
              <w:spacing w:after="0" w:before="0"/>
            </w:pPr>
            <w:r/>
            <w:r>
              <w:rPr>
                <w:rFonts w:ascii="Calibri" w:hAnsi="Calibri"/>
                <w:b w:val="0"/>
                <w:sz w:val="16"/>
              </w:rPr>
              <w:t>Work-in-Progress: Real-Time Neural Network Inference on a Custom RISC-V Multicore Vector Processor</w:t>
            </w:r>
          </w:p>
        </w:tc>
        <w:tc>
          <w:tcPr>
            <w:tcW w:type="dxa" w:w="1701"/>
          </w:tcPr>
          <w:p>
            <w:pPr>
              <w:spacing w:after="0" w:before="0"/>
            </w:pPr>
            <w:r/>
            <w:r>
              <w:rPr>
                <w:rFonts w:ascii="Calibri" w:hAnsi="Calibri"/>
                <w:b w:val="0"/>
                <w:sz w:val="16"/>
              </w:rPr>
              <w:t>Maximilian Kirschner, Konstantin Dudzikk, Jürgen Becker</w:t>
            </w:r>
          </w:p>
        </w:tc>
        <w:tc>
          <w:tcPr>
            <w:tcW w:type="dxa" w:w="1531"/>
          </w:tcPr>
          <w:p>
            <w:pPr>
              <w:spacing w:after="0" w:before="0"/>
            </w:pPr>
            <w:r/>
            <w:r>
              <w:rPr>
                <w:rFonts w:ascii="Calibri" w:hAnsi="Calibri"/>
                <w:b w:val="0"/>
                <w:sz w:val="16"/>
              </w:rPr>
              <w:t>2024 IEEE Real-Time Systems Symposium (RTSS)</w:t>
            </w:r>
          </w:p>
        </w:tc>
        <w:tc>
          <w:tcPr>
            <w:tcW w:type="dxa" w:w="1191"/>
          </w:tcPr>
          <w:p>
            <w:pPr>
              <w:spacing w:after="0" w:before="0"/>
            </w:pPr>
            <w:r/>
            <w:r>
              <w:rPr>
                <w:rFonts w:ascii="Calibri" w:hAnsi="Calibri"/>
                <w:b w:val="0"/>
                <w:sz w:val="16"/>
              </w:rPr>
              <w:t>Vol. n/a, No. n/a, pp. 427–430, 2024</w:t>
            </w:r>
          </w:p>
        </w:tc>
        <w:tc>
          <w:tcPr>
            <w:tcW w:type="dxa" w:w="1417"/>
          </w:tcPr>
          <w:p>
            <w:pPr>
              <w:spacing w:after="0" w:before="0"/>
            </w:pPr>
            <w:r/>
            <w:r>
              <w:rPr>
                <w:rFonts w:ascii="Calibri" w:hAnsi="Calibri"/>
                <w:b w:val="0"/>
                <w:sz w:val="16"/>
              </w:rPr>
              <w:t>10.1109/RTSS62706.2024.00043</w:t>
            </w:r>
          </w:p>
        </w:tc>
        <w:tc>
          <w:tcPr>
            <w:tcW w:type="dxa" w:w="1843"/>
          </w:tcPr>
          <w:p>
            <w:pPr>
              <w:spacing w:after="0" w:before="0"/>
            </w:pPr>
            <w:r/>
            <w:r>
              <w:rPr>
                <w:rFonts w:ascii="Calibri" w:hAnsi="Calibri"/>
                <w:b w:val="0"/>
                <w:sz w:val="16"/>
              </w:rPr>
              <w:t>Multicore architecture of predictable Ibex+Vicuna vector cores with local scratchpads and a management core; an MLIR compiler splits int8 NNs into subtasks and computes a static compile-time schedule for shared-memory transfers from subtask WCET estimates.</w:t>
            </w:r>
            <w:r>
              <w:rPr>
                <w:rFonts w:ascii="Calibri" w:hAnsi="Calibri"/>
                <w:i/>
                <w:sz w:val="14"/>
              </w:rPr>
              <w:t xml:space="preserve"> [Basis: full text]</w:t>
            </w:r>
          </w:p>
        </w:tc>
        <w:tc>
          <w:tcPr>
            <w:tcW w:type="dxa" w:w="1644"/>
          </w:tcPr>
          <w:p>
            <w:pPr>
              <w:spacing w:after="0" w:before="0"/>
            </w:pPr>
            <w:r/>
            <w:r>
              <w:rPr>
                <w:rFonts w:ascii="Calibri" w:hAnsi="Calibri"/>
                <w:b w:val="0"/>
                <w:sz w:val="16"/>
              </w:rPr>
              <w:t>Removes memory-subsystem interference by construction through a precomputed transfer schedule, giving a composable WCET for NN inference; SystemVerilog design targeting UltraScale+ FPGAs.</w:t>
            </w:r>
          </w:p>
        </w:tc>
        <w:tc>
          <w:tcPr>
            <w:tcW w:type="dxa" w:w="1644"/>
          </w:tcPr>
          <w:p>
            <w:pPr>
              <w:spacing w:after="0" w:before="0"/>
            </w:pPr>
            <w:r/>
            <w:r>
              <w:rPr>
                <w:rFonts w:ascii="Calibri" w:hAnsi="Calibri"/>
                <w:b w:val="0"/>
                <w:sz w:val="16"/>
              </w:rPr>
              <w:t>Work-in-progress: FPGA evaluation is future work and the compiler-based scheduling and deployment are stated as ongoing work; no measured results.</w:t>
            </w:r>
          </w:p>
        </w:tc>
        <w:tc>
          <w:tcPr>
            <w:tcW w:type="dxa" w:w="1587"/>
          </w:tcPr>
          <w:p>
            <w:pPr>
              <w:spacing w:after="0" w:before="0"/>
            </w:pPr>
            <w:r/>
            <w:r>
              <w:rPr>
                <w:rFonts w:ascii="Calibri" w:hAnsi="Calibri"/>
                <w:b w:val="0"/>
                <w:sz w:val="16"/>
              </w:rPr>
              <w:t>Compile-time static scheduling for predictable NN inference; processor-based contrast to V3's fixed-function array.</w:t>
            </w:r>
          </w:p>
        </w:tc>
      </w:tr>
      <w:tr>
        <w:tc>
          <w:tcPr>
            <w:tcW w:type="dxa" w:w="15137"/>
            <w:gridSpan w:val="10"/>
            <w:shd w:val="clear" w:color="auto" w:fill="DCE3EF"/>
          </w:tcPr>
          <w:p>
            <w:pPr>
              <w:spacing w:after="0" w:before="0"/>
            </w:pPr>
            <w:r/>
            <w:r>
              <w:rPr>
                <w:rFonts w:ascii="Calibri" w:hAnsi="Calibri"/>
                <w:b/>
                <w:sz w:val="19"/>
              </w:rPr>
              <w:t>Category 5: Analytical performance models and DSE validated against hardware (6 papers)</w:t>
            </w:r>
          </w:p>
        </w:tc>
      </w:tr>
      <w:tr>
        <w:tc>
          <w:tcPr>
            <w:tcW w:type="dxa" w:w="709"/>
          </w:tcPr>
          <w:p>
            <w:pPr>
              <w:spacing w:after="0" w:before="0"/>
              <w:jc w:val="center"/>
            </w:pPr>
            <w:r/>
            <w:r>
              <w:rPr>
                <w:rFonts w:ascii="Calibri" w:hAnsi="Calibri"/>
                <w:b w:val="0"/>
                <w:sz w:val="16"/>
              </w:rPr>
              <w:t>34</w:t>
            </w:r>
          </w:p>
        </w:tc>
        <w:tc>
          <w:tcPr>
            <w:tcW w:type="dxa" w:w="1871"/>
          </w:tcPr>
          <w:p>
            <w:pPr>
              <w:spacing w:after="0" w:before="0"/>
            </w:pPr>
            <w:r/>
            <w:r>
              <w:rPr>
                <w:rFonts w:ascii="Calibri" w:hAnsi="Calibri"/>
                <w:b w:val="0"/>
                <w:sz w:val="16"/>
              </w:rPr>
              <w:t>Timeloop: A Systematic Approach to DNN Accelerator Evaluation</w:t>
            </w:r>
          </w:p>
        </w:tc>
        <w:tc>
          <w:tcPr>
            <w:tcW w:type="dxa" w:w="1701"/>
          </w:tcPr>
          <w:p>
            <w:pPr>
              <w:spacing w:after="0" w:before="0"/>
            </w:pPr>
            <w:r/>
            <w:r>
              <w:rPr>
                <w:rFonts w:ascii="Calibri" w:hAnsi="Calibri"/>
                <w:b w:val="0"/>
                <w:sz w:val="16"/>
              </w:rPr>
              <w:t>Angshuman Parashar, Priyanka Raina, Yakun Sophia Shao, Yu-Hsin Chen, Victor A. Ying, Anurag Mukkara, Rangharajan Venkatesan, Brucek Khailany, Stephen W. Keckler, Joel Emer</w:t>
            </w:r>
          </w:p>
        </w:tc>
        <w:tc>
          <w:tcPr>
            <w:tcW w:type="dxa" w:w="1531"/>
          </w:tcPr>
          <w:p>
            <w:pPr>
              <w:spacing w:after="0" w:before="0"/>
            </w:pPr>
            <w:r/>
            <w:r>
              <w:rPr>
                <w:rFonts w:ascii="Calibri" w:hAnsi="Calibri"/>
                <w:b w:val="0"/>
                <w:sz w:val="16"/>
              </w:rPr>
              <w:t>2019 IEEE International Symposium on Performance Analysis of Systems and Software (ISPASS)</w:t>
            </w:r>
          </w:p>
        </w:tc>
        <w:tc>
          <w:tcPr>
            <w:tcW w:type="dxa" w:w="1191"/>
          </w:tcPr>
          <w:p>
            <w:pPr>
              <w:spacing w:after="0" w:before="0"/>
            </w:pPr>
            <w:r/>
            <w:r>
              <w:rPr>
                <w:rFonts w:ascii="Calibri" w:hAnsi="Calibri"/>
                <w:b w:val="0"/>
                <w:sz w:val="16"/>
              </w:rPr>
              <w:t>Vol. n/a, No. n/a, pp. 304–315, 2019</w:t>
            </w:r>
          </w:p>
        </w:tc>
        <w:tc>
          <w:tcPr>
            <w:tcW w:type="dxa" w:w="1417"/>
          </w:tcPr>
          <w:p>
            <w:pPr>
              <w:spacing w:after="0" w:before="0"/>
            </w:pPr>
            <w:r/>
            <w:r>
              <w:rPr>
                <w:rFonts w:ascii="Calibri" w:hAnsi="Calibri"/>
                <w:b w:val="0"/>
                <w:sz w:val="16"/>
              </w:rPr>
              <w:t>10.1109/ISPASS.2019.00042</w:t>
            </w:r>
          </w:p>
        </w:tc>
        <w:tc>
          <w:tcPr>
            <w:tcW w:type="dxa" w:w="1843"/>
          </w:tcPr>
          <w:p>
            <w:pPr>
              <w:spacing w:after="0" w:before="0"/>
            </w:pPr>
            <w:r/>
            <w:r>
              <w:rPr>
                <w:rFonts w:ascii="Calibri" w:hAnsi="Calibri"/>
                <w:b w:val="0"/>
                <w:sz w:val="16"/>
              </w:rPr>
              <w:t>Infrastructure that describes accelerator topologies and uses a mapper plus an analytical model to project performance and energy for DNN workloads. Validated against an in-house NVDLA-derived RTL design (detailed simulator) and Eyeriss 65 nm results on 107 DeepBench workloads.</w:t>
            </w:r>
            <w:r>
              <w:rPr>
                <w:rFonts w:ascii="Calibri" w:hAnsi="Calibri"/>
                <w:i/>
                <w:sz w:val="14"/>
              </w:rPr>
              <w:t xml:space="preserve"> [Basis: full text]</w:t>
            </w:r>
          </w:p>
        </w:tc>
        <w:tc>
          <w:tcPr>
            <w:tcW w:type="dxa" w:w="1644"/>
          </w:tcPr>
          <w:p>
            <w:pPr>
              <w:spacing w:after="0" w:before="0"/>
            </w:pPr>
            <w:r/>
            <w:r>
              <w:rPr>
                <w:rFonts w:ascii="Calibri" w:hAnsi="Calibri"/>
                <w:b w:val="0"/>
                <w:sz w:val="16"/>
              </w:rPr>
              <w:t>Covers a broad architecture and mapping space with one representation. Energy within 8% of the NVDLA-derived baseline for all 107 workloads; cycle accuracy 78-99%, mean 95%.</w:t>
            </w:r>
          </w:p>
        </w:tc>
        <w:tc>
          <w:tcPr>
            <w:tcW w:type="dxa" w:w="1644"/>
          </w:tcPr>
          <w:p>
            <w:pPr>
              <w:spacing w:after="0" w:before="0"/>
            </w:pPr>
            <w:r/>
            <w:r>
              <w:rPr>
                <w:rFonts w:ascii="Calibri" w:hAnsi="Calibri"/>
                <w:b w:val="0"/>
                <w:sz w:val="16"/>
              </w:rPr>
              <w:t>Throughput-based model assumes minimal fill/drain disruption; six outlier workloads at 78-88% due to stalls from hardware data layout. Reference is a detailed simulator of an RTL design, not FPGA/board counters.</w:t>
            </w:r>
          </w:p>
        </w:tc>
        <w:tc>
          <w:tcPr>
            <w:tcW w:type="dxa" w:w="1587"/>
          </w:tcPr>
          <w:p>
            <w:pPr>
              <w:spacing w:after="0" w:before="0"/>
            </w:pPr>
            <w:r/>
            <w:r>
              <w:rPr>
                <w:rFonts w:ascii="Calibri" w:hAnsi="Calibri"/>
                <w:b w:val="0"/>
                <w:sz w:val="16"/>
              </w:rPr>
              <w:t>Main ASIC-oriented analytical model to contrast with V3's exact (0-cycle) model = RTL = board agreement; its error sources (fill/drain, stalls) are what V3 models explicitly.</w:t>
            </w:r>
          </w:p>
        </w:tc>
      </w:tr>
      <w:tr>
        <w:tc>
          <w:tcPr>
            <w:tcW w:type="dxa" w:w="709"/>
          </w:tcPr>
          <w:p>
            <w:pPr>
              <w:spacing w:after="0" w:before="0"/>
              <w:jc w:val="center"/>
            </w:pPr>
            <w:r/>
            <w:r>
              <w:rPr>
                <w:rFonts w:ascii="Calibri" w:hAnsi="Calibri"/>
                <w:b w:val="0"/>
                <w:sz w:val="16"/>
              </w:rPr>
              <w:t>35</w:t>
            </w:r>
          </w:p>
        </w:tc>
        <w:tc>
          <w:tcPr>
            <w:tcW w:type="dxa" w:w="1871"/>
          </w:tcPr>
          <w:p>
            <w:pPr>
              <w:spacing w:after="0" w:before="0"/>
            </w:pPr>
            <w:r/>
            <w:r>
              <w:rPr>
                <w:rFonts w:ascii="Calibri" w:hAnsi="Calibri"/>
                <w:b w:val="0"/>
                <w:sz w:val="16"/>
              </w:rPr>
              <w:t>Understanding Reuse, Performance, and Hardware Cost of DNN Dataflow: A Data-Centric Approach</w:t>
            </w:r>
          </w:p>
        </w:tc>
        <w:tc>
          <w:tcPr>
            <w:tcW w:type="dxa" w:w="1701"/>
          </w:tcPr>
          <w:p>
            <w:pPr>
              <w:spacing w:after="0" w:before="0"/>
            </w:pPr>
            <w:r/>
            <w:r>
              <w:rPr>
                <w:rFonts w:ascii="Calibri" w:hAnsi="Calibri"/>
                <w:b w:val="0"/>
                <w:sz w:val="16"/>
              </w:rPr>
              <w:t>Hyoukjun Kwon, Prasanth Chatarasi, Michael Pellauer, Angshuman Parashar, Vivek Sarkar, Tushar Krishna</w:t>
            </w:r>
          </w:p>
        </w:tc>
        <w:tc>
          <w:tcPr>
            <w:tcW w:type="dxa" w:w="1531"/>
          </w:tcPr>
          <w:p>
            <w:pPr>
              <w:spacing w:after="0" w:before="0"/>
            </w:pPr>
            <w:r/>
            <w:r>
              <w:rPr>
                <w:rFonts w:ascii="Calibri" w:hAnsi="Calibri"/>
                <w:b w:val="0"/>
                <w:sz w:val="16"/>
              </w:rPr>
              <w:t>Proceedings of the 52nd Annual IEEE/ACM International Symposium on Microarchitecture</w:t>
            </w:r>
          </w:p>
        </w:tc>
        <w:tc>
          <w:tcPr>
            <w:tcW w:type="dxa" w:w="1191"/>
          </w:tcPr>
          <w:p>
            <w:pPr>
              <w:spacing w:after="0" w:before="0"/>
            </w:pPr>
            <w:r/>
            <w:r>
              <w:rPr>
                <w:rFonts w:ascii="Calibri" w:hAnsi="Calibri"/>
                <w:b w:val="0"/>
                <w:sz w:val="16"/>
              </w:rPr>
              <w:t>Vol. n/a, No. n/a, pp. 754–768, 2019</w:t>
            </w:r>
          </w:p>
        </w:tc>
        <w:tc>
          <w:tcPr>
            <w:tcW w:type="dxa" w:w="1417"/>
          </w:tcPr>
          <w:p>
            <w:pPr>
              <w:spacing w:after="0" w:before="0"/>
            </w:pPr>
            <w:r/>
            <w:r>
              <w:rPr>
                <w:rFonts w:ascii="Calibri" w:hAnsi="Calibri"/>
                <w:b w:val="0"/>
                <w:sz w:val="16"/>
              </w:rPr>
              <w:t>10.1145/3352460.3358252</w:t>
            </w:r>
          </w:p>
        </w:tc>
        <w:tc>
          <w:tcPr>
            <w:tcW w:type="dxa" w:w="1843"/>
          </w:tcPr>
          <w:p>
            <w:pPr>
              <w:spacing w:after="0" w:before="0"/>
            </w:pPr>
            <w:r/>
            <w:r>
              <w:rPr>
                <w:rFonts w:ascii="Calibri" w:hAnsi="Calibri"/>
                <w:b w:val="0"/>
                <w:sz w:val="16"/>
              </w:rPr>
              <w:t>Defines data-centric directives for DNN dataflows and an analytical cost model (MAESTRO) for runtime, energy and reuse; drives a DSE over 480M designs. Runtime validated against MAERI RTL simulation (VGG16, 64 PEs) and Eyeriss reported AlexNet runtime.</w:t>
            </w:r>
            <w:r>
              <w:rPr>
                <w:rFonts w:ascii="Calibri" w:hAnsi="Calibri"/>
                <w:i/>
                <w:sz w:val="14"/>
              </w:rPr>
              <w:t xml:space="preserve"> [Basis: full text]</w:t>
            </w:r>
          </w:p>
        </w:tc>
        <w:tc>
          <w:tcPr>
            <w:tcW w:type="dxa" w:w="1644"/>
          </w:tcPr>
          <w:p>
            <w:pPr>
              <w:spacing w:after="0" w:before="0"/>
            </w:pPr>
            <w:r/>
            <w:r>
              <w:rPr>
                <w:rFonts w:ascii="Calibri" w:hAnsi="Calibri"/>
                <w:b w:val="0"/>
                <w:sz w:val="16"/>
              </w:rPr>
              <w:t>Runtime within 3.9% absolute error on average vs cycle-accurate RTL and reported delay; 1029-4116x faster than the equivalent RTL simulation; compiler-friendly dataflow notation.</w:t>
            </w:r>
          </w:p>
        </w:tc>
        <w:tc>
          <w:tcPr>
            <w:tcW w:type="dxa" w:w="1644"/>
          </w:tcPr>
          <w:p>
            <w:pPr>
              <w:spacing w:after="0" w:before="0"/>
            </w:pPr>
            <w:r/>
            <w:r>
              <w:rPr>
                <w:rFonts w:ascii="Calibri" w:hAnsi="Calibri"/>
                <w:b w:val="0"/>
                <w:sz w:val="16"/>
              </w:rPr>
              <w:t>Error is nonzero and averaged over CONV layers of two designs; Eyeriss comparison uses paper-reported runtime, not measured hardware. Sparsity modelled only as uniform distribution.</w:t>
            </w:r>
          </w:p>
        </w:tc>
        <w:tc>
          <w:tcPr>
            <w:tcW w:type="dxa" w:w="1587"/>
          </w:tcPr>
          <w:p>
            <w:pPr>
              <w:spacing w:after="0" w:before="0"/>
            </w:pPr>
            <w:r/>
            <w:r>
              <w:rPr>
                <w:rFonts w:ascii="Calibri" w:hAnsi="Calibri"/>
                <w:b w:val="0"/>
                <w:sz w:val="16"/>
              </w:rPr>
              <w:t>Per-layer dataflow cost model of the kind a V3 compiler could use for mode selection; contrast with V3's exact per-layer cycle model.</w:t>
            </w:r>
          </w:p>
        </w:tc>
      </w:tr>
      <w:tr>
        <w:tc>
          <w:tcPr>
            <w:tcW w:type="dxa" w:w="709"/>
          </w:tcPr>
          <w:p>
            <w:pPr>
              <w:spacing w:after="0" w:before="0"/>
              <w:jc w:val="center"/>
            </w:pPr>
            <w:r/>
            <w:r>
              <w:rPr>
                <w:rFonts w:ascii="Calibri" w:hAnsi="Calibri"/>
                <w:b w:val="0"/>
                <w:sz w:val="16"/>
              </w:rPr>
              <w:t>36</w:t>
            </w:r>
          </w:p>
        </w:tc>
        <w:tc>
          <w:tcPr>
            <w:tcW w:type="dxa" w:w="1871"/>
          </w:tcPr>
          <w:p>
            <w:pPr>
              <w:spacing w:after="0" w:before="0"/>
            </w:pPr>
            <w:r/>
            <w:r>
              <w:rPr>
                <w:rFonts w:ascii="Calibri" w:hAnsi="Calibri"/>
                <w:b w:val="0"/>
                <w:sz w:val="16"/>
              </w:rPr>
              <w:t>A Systematic Methodology for Characterizing Scalability of DNN Accelerators using SCALE-Sim</w:t>
            </w:r>
          </w:p>
        </w:tc>
        <w:tc>
          <w:tcPr>
            <w:tcW w:type="dxa" w:w="1701"/>
          </w:tcPr>
          <w:p>
            <w:pPr>
              <w:spacing w:after="0" w:before="0"/>
            </w:pPr>
            <w:r/>
            <w:r>
              <w:rPr>
                <w:rFonts w:ascii="Calibri" w:hAnsi="Calibri"/>
                <w:b w:val="0"/>
                <w:sz w:val="16"/>
              </w:rPr>
              <w:t>Ananda Samajdar, Jan Moritz Joseph, Yuhao Zhu, Paul Whatmough, Matthew Mattina, Tushar Krishna</w:t>
            </w:r>
          </w:p>
        </w:tc>
        <w:tc>
          <w:tcPr>
            <w:tcW w:type="dxa" w:w="1531"/>
          </w:tcPr>
          <w:p>
            <w:pPr>
              <w:spacing w:after="0" w:before="0"/>
            </w:pPr>
            <w:r/>
            <w:r>
              <w:rPr>
                <w:rFonts w:ascii="Calibri" w:hAnsi="Calibri"/>
                <w:b w:val="0"/>
                <w:sz w:val="16"/>
              </w:rPr>
              <w:t>2020 IEEE International Symposium on Performance Analysis of Systems and Software (ISPASS)</w:t>
            </w:r>
          </w:p>
        </w:tc>
        <w:tc>
          <w:tcPr>
            <w:tcW w:type="dxa" w:w="1191"/>
          </w:tcPr>
          <w:p>
            <w:pPr>
              <w:spacing w:after="0" w:before="0"/>
            </w:pPr>
            <w:r/>
            <w:r>
              <w:rPr>
                <w:rFonts w:ascii="Calibri" w:hAnsi="Calibri"/>
                <w:b w:val="0"/>
                <w:sz w:val="16"/>
              </w:rPr>
              <w:t>Vol. n/a, No. n/a, pp. 58–68, 2020</w:t>
            </w:r>
          </w:p>
        </w:tc>
        <w:tc>
          <w:tcPr>
            <w:tcW w:type="dxa" w:w="1417"/>
          </w:tcPr>
          <w:p>
            <w:pPr>
              <w:spacing w:after="0" w:before="0"/>
            </w:pPr>
            <w:r/>
            <w:r>
              <w:rPr>
                <w:rFonts w:ascii="Calibri" w:hAnsi="Calibri"/>
                <w:b w:val="0"/>
                <w:sz w:val="16"/>
              </w:rPr>
              <w:t>10.1109/ISPASS48437.2020.00016</w:t>
            </w:r>
          </w:p>
        </w:tc>
        <w:tc>
          <w:tcPr>
            <w:tcW w:type="dxa" w:w="1843"/>
          </w:tcPr>
          <w:p>
            <w:pPr>
              <w:spacing w:after="0" w:before="0"/>
            </w:pPr>
            <w:r/>
            <w:r>
              <w:rPr>
                <w:rFonts w:ascii="Calibri" w:hAnsi="Calibri"/>
                <w:b w:val="0"/>
                <w:sz w:val="16"/>
              </w:rPr>
              <w:t>Presents SCALE-Sim, a cycle-accurate systolic-array DNN simulator (SRAM/DRAM traces, runtime, bandwidth), plus an analytical runtime model used to study scale-up vs scale-out. Validated against an RTL systolic array (OS dataflow) for matmuls at varying array sizes.</w:t>
            </w:r>
            <w:r>
              <w:rPr>
                <w:rFonts w:ascii="Calibri" w:hAnsi="Calibri"/>
                <w:i/>
                <w:sz w:val="14"/>
              </w:rPr>
              <w:t xml:space="preserve"> [Basis: full text]</w:t>
            </w:r>
          </w:p>
        </w:tc>
        <w:tc>
          <w:tcPr>
            <w:tcW w:type="dxa" w:w="1644"/>
          </w:tcPr>
          <w:p>
            <w:pPr>
              <w:spacing w:after="0" w:before="0"/>
            </w:pPr>
            <w:r/>
            <w:r>
              <w:rPr>
                <w:rFonts w:ascii="Calibri" w:hAnsi="Calibri"/>
                <w:b w:val="0"/>
                <w:sz w:val="16"/>
              </w:rPr>
              <w:t>Directly models systolic OS/WS/IS arrays with cycle-level traces; RTL and simulator cycle counts shown 'in good agreement' (Fig. 4); analytical model prunes search space quickly.</w:t>
            </w:r>
          </w:p>
        </w:tc>
        <w:tc>
          <w:tcPr>
            <w:tcW w:type="dxa" w:w="1644"/>
          </w:tcPr>
          <w:p>
            <w:pPr>
              <w:spacing w:after="0" w:before="0"/>
            </w:pPr>
            <w:r/>
            <w:r>
              <w:rPr>
                <w:rFonts w:ascii="Calibri" w:hAnsi="Calibri"/>
                <w:b w:val="0"/>
                <w:sz w:val="16"/>
              </w:rPr>
              <w:t>Validation uses only matrix multiplications under full utilization, shown graphically with no error figure; analytical model ignores memory-limited bandwidth effects; no FPGA or silicon measurement.</w:t>
            </w:r>
          </w:p>
        </w:tc>
        <w:tc>
          <w:tcPr>
            <w:tcW w:type="dxa" w:w="1587"/>
          </w:tcPr>
          <w:p>
            <w:pPr>
              <w:spacing w:after="0" w:before="0"/>
            </w:pPr>
            <w:r/>
            <w:r>
              <w:rPr>
                <w:rFonts w:ascii="Calibri" w:hAnsi="Calibri"/>
                <w:b w:val="0"/>
                <w:sz w:val="16"/>
              </w:rPr>
              <w:t>Closest modelled architecture to V3 (systolic OS array); V3 extends model-RTL agreement to whole CNN layers and the board.</w:t>
            </w:r>
          </w:p>
        </w:tc>
      </w:tr>
      <w:tr>
        <w:tc>
          <w:tcPr>
            <w:tcW w:type="dxa" w:w="709"/>
          </w:tcPr>
          <w:p>
            <w:pPr>
              <w:spacing w:after="0" w:before="0"/>
              <w:jc w:val="center"/>
            </w:pPr>
            <w:r/>
            <w:r>
              <w:rPr>
                <w:rFonts w:ascii="Calibri" w:hAnsi="Calibri"/>
                <w:b w:val="0"/>
                <w:sz w:val="16"/>
              </w:rPr>
              <w:t>37</w:t>
            </w:r>
          </w:p>
        </w:tc>
        <w:tc>
          <w:tcPr>
            <w:tcW w:type="dxa" w:w="1871"/>
          </w:tcPr>
          <w:p>
            <w:pPr>
              <w:spacing w:after="0" w:before="0"/>
            </w:pPr>
            <w:r/>
            <w:r>
              <w:rPr>
                <w:rFonts w:ascii="Calibri" w:hAnsi="Calibri"/>
                <w:b w:val="0"/>
                <w:sz w:val="16"/>
              </w:rPr>
              <w:t>Performance Modeling for CNN Inference Accelerators on FPGA</w:t>
            </w:r>
          </w:p>
        </w:tc>
        <w:tc>
          <w:tcPr>
            <w:tcW w:type="dxa" w:w="1701"/>
          </w:tcPr>
          <w:p>
            <w:pPr>
              <w:spacing w:after="0" w:before="0"/>
            </w:pPr>
            <w:r/>
            <w:r>
              <w:rPr>
                <w:rFonts w:ascii="Calibri" w:hAnsi="Calibri"/>
                <w:b w:val="0"/>
                <w:sz w:val="16"/>
              </w:rPr>
              <w:t>Yufei Ma, Yu Cao, Sarma Vrudhula, Jae-Sun Seo</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39, No. 4, pp. 843–856, 2020</w:t>
            </w:r>
          </w:p>
        </w:tc>
        <w:tc>
          <w:tcPr>
            <w:tcW w:type="dxa" w:w="1417"/>
          </w:tcPr>
          <w:p>
            <w:pPr>
              <w:spacing w:after="0" w:before="0"/>
            </w:pPr>
            <w:r/>
            <w:r>
              <w:rPr>
                <w:rFonts w:ascii="Calibri" w:hAnsi="Calibri"/>
                <w:b w:val="0"/>
                <w:sz w:val="16"/>
              </w:rPr>
              <w:t>10.1109/TCAD.2019.2897634</w:t>
            </w:r>
          </w:p>
        </w:tc>
        <w:tc>
          <w:tcPr>
            <w:tcW w:type="dxa" w:w="1843"/>
          </w:tcPr>
          <w:p>
            <w:pPr>
              <w:spacing w:after="0" w:before="0"/>
            </w:pPr>
            <w:r/>
            <w:r>
              <w:rPr>
                <w:rFonts w:ascii="Calibri" w:hAnsi="Calibri"/>
                <w:b w:val="0"/>
                <w:sz w:val="16"/>
              </w:rPr>
              <w:t>Analytical performance and resource model for a loop-unrolled/tiled FPGA CNN accelerator, used for early DSE. Throughput and latency validated against on-board tests on Arria 10 and Stratix 10 with different MAC counts, 16-bit fixed point.</w:t>
            </w:r>
            <w:r>
              <w:rPr>
                <w:rFonts w:ascii="Calibri" w:hAnsi="Calibri"/>
                <w:i/>
                <w:sz w:val="14"/>
              </w:rPr>
              <w:t xml:space="preserve"> [Basis: full text]</w:t>
            </w:r>
          </w:p>
        </w:tc>
        <w:tc>
          <w:tcPr>
            <w:tcW w:type="dxa" w:w="1644"/>
          </w:tcPr>
          <w:p>
            <w:pPr>
              <w:spacing w:after="0" w:before="0"/>
            </w:pPr>
            <w:r/>
            <w:r>
              <w:rPr>
                <w:rFonts w:ascii="Calibri" w:hAnsi="Calibri"/>
                <w:b w:val="0"/>
                <w:sz w:val="16"/>
              </w:rPr>
              <w:t>Board-validated: estimate vs on-board results within 3%; replaces 6-8 h Quartus compilations in DSE; models external and on-chip memory accesses.</w:t>
            </w:r>
          </w:p>
        </w:tc>
        <w:tc>
          <w:tcPr>
            <w:tcW w:type="dxa" w:w="1644"/>
          </w:tcPr>
          <w:p>
            <w:pPr>
              <w:spacing w:after="0" w:before="0"/>
            </w:pPr>
            <w:r/>
            <w:r>
              <w:rPr>
                <w:rFonts w:ascii="Calibri" w:hAnsi="Calibri"/>
                <w:b w:val="0"/>
                <w:sz w:val="16"/>
              </w:rPr>
              <w:t>Residual error attributed to DRAM transfer latency mismatch, minor layers (e.g., average pooling) and pipeline stages; validated for one design strategy on Intel FPGAs, power not modelled.</w:t>
            </w:r>
          </w:p>
        </w:tc>
        <w:tc>
          <w:tcPr>
            <w:tcW w:type="dxa" w:w="1587"/>
          </w:tcPr>
          <w:p>
            <w:pPr>
              <w:spacing w:after="0" w:before="0"/>
            </w:pPr>
            <w:r/>
            <w:r>
              <w:rPr>
                <w:rFonts w:ascii="Calibri" w:hAnsi="Calibri"/>
                <w:b w:val="0"/>
                <w:sz w:val="16"/>
              </w:rPr>
              <w:t>FPGA analytical model validated on boards with few-% error; V3 claims exact agreement and removes the cited error sources.</w:t>
            </w:r>
          </w:p>
        </w:tc>
      </w:tr>
      <w:tr>
        <w:tc>
          <w:tcPr>
            <w:tcW w:type="dxa" w:w="709"/>
          </w:tcPr>
          <w:p>
            <w:pPr>
              <w:spacing w:after="0" w:before="0"/>
              <w:jc w:val="center"/>
            </w:pPr>
            <w:r/>
            <w:r>
              <w:rPr>
                <w:rFonts w:ascii="Calibri" w:hAnsi="Calibri"/>
                <w:b w:val="0"/>
                <w:sz w:val="16"/>
              </w:rPr>
              <w:t>38</w:t>
            </w:r>
          </w:p>
        </w:tc>
        <w:tc>
          <w:tcPr>
            <w:tcW w:type="dxa" w:w="1871"/>
          </w:tcPr>
          <w:p>
            <w:pPr>
              <w:spacing w:after="0" w:before="0"/>
            </w:pPr>
            <w:r/>
            <w:r>
              <w:rPr>
                <w:rFonts w:ascii="Calibri" w:hAnsi="Calibri"/>
                <w:b w:val="0"/>
                <w:sz w:val="16"/>
              </w:rPr>
              <w:t>DNNExplorer: a framework for modeling and exploring a novel paradigm of FPGA-based DNN accelerator</w:t>
            </w:r>
          </w:p>
        </w:tc>
        <w:tc>
          <w:tcPr>
            <w:tcW w:type="dxa" w:w="1701"/>
          </w:tcPr>
          <w:p>
            <w:pPr>
              <w:spacing w:after="0" w:before="0"/>
            </w:pPr>
            <w:r/>
            <w:r>
              <w:rPr>
                <w:rFonts w:ascii="Calibri" w:hAnsi="Calibri"/>
                <w:b w:val="0"/>
                <w:sz w:val="16"/>
              </w:rPr>
              <w:t>Xiaofan Zhang, Hanchen Ye, Junsong Wang, Yonghua Lin, Jinjun Xiong, Wen-mei Hwu, Deming Chen</w:t>
            </w:r>
          </w:p>
        </w:tc>
        <w:tc>
          <w:tcPr>
            <w:tcW w:type="dxa" w:w="1531"/>
          </w:tcPr>
          <w:p>
            <w:pPr>
              <w:spacing w:after="0" w:before="0"/>
            </w:pPr>
            <w:r/>
            <w:r>
              <w:rPr>
                <w:rFonts w:ascii="Calibri" w:hAnsi="Calibri"/>
                <w:b w:val="0"/>
                <w:sz w:val="16"/>
              </w:rPr>
              <w:t>Proceedings of the 39th International Conference on Computer-Aided Design</w:t>
            </w:r>
          </w:p>
        </w:tc>
        <w:tc>
          <w:tcPr>
            <w:tcW w:type="dxa" w:w="1191"/>
          </w:tcPr>
          <w:p>
            <w:pPr>
              <w:spacing w:after="0" w:before="0"/>
            </w:pPr>
            <w:r/>
            <w:r>
              <w:rPr>
                <w:rFonts w:ascii="Calibri" w:hAnsi="Calibri"/>
                <w:b w:val="0"/>
                <w:sz w:val="16"/>
              </w:rPr>
              <w:t>Vol. n/a, No. n/a, pp. 1–9, 2020</w:t>
            </w:r>
          </w:p>
        </w:tc>
        <w:tc>
          <w:tcPr>
            <w:tcW w:type="dxa" w:w="1417"/>
          </w:tcPr>
          <w:p>
            <w:pPr>
              <w:spacing w:after="0" w:before="0"/>
            </w:pPr>
            <w:r/>
            <w:r>
              <w:rPr>
                <w:rFonts w:ascii="Calibri" w:hAnsi="Calibri"/>
                <w:b w:val="0"/>
                <w:sz w:val="16"/>
              </w:rPr>
              <w:t>10.1145/3400302.3415609</w:t>
            </w:r>
          </w:p>
        </w:tc>
        <w:tc>
          <w:tcPr>
            <w:tcW w:type="dxa" w:w="1843"/>
          </w:tcPr>
          <w:p>
            <w:pPr>
              <w:spacing w:after="0" w:before="0"/>
            </w:pPr>
            <w:r/>
            <w:r>
              <w:rPr>
                <w:rFonts w:ascii="Calibri" w:hAnsi="Calibri"/>
                <w:b w:val="0"/>
                <w:sz w:val="16"/>
              </w:rPr>
              <w:t>FPGA accelerator paradigm mixing a layer-wise pipeline and a generic reusable structure, with analytical performance/resource models and a DSE engine. Pipeline model checked against board results on ZC706 and KU115; generic-structure model against 36 CONV cases on VU9P.</w:t>
            </w:r>
            <w:r>
              <w:rPr>
                <w:rFonts w:ascii="Calibri" w:hAnsi="Calibri"/>
                <w:i/>
                <w:sz w:val="14"/>
              </w:rPr>
              <w:t xml:space="preserve"> [Basis: full text]</w:t>
            </w:r>
          </w:p>
        </w:tc>
        <w:tc>
          <w:tcPr>
            <w:tcW w:type="dxa" w:w="1644"/>
          </w:tcPr>
          <w:p>
            <w:pPr>
              <w:spacing w:after="0" w:before="0"/>
            </w:pPr>
            <w:r/>
            <w:r>
              <w:rPr>
                <w:rFonts w:ascii="Calibri" w:hAnsi="Calibri"/>
                <w:b w:val="0"/>
                <w:sz w:val="16"/>
              </w:rPr>
              <w:t>Board-level validation: 1.15% average error (pipeline model, 6 and 8 DNNs) and 2.17% average error (generic structure, 36 CONV layers); up to 4.2x over DNNBuilder for a 38-layer VGG-like net.</w:t>
            </w:r>
          </w:p>
        </w:tc>
        <w:tc>
          <w:tcPr>
            <w:tcW w:type="dxa" w:w="1644"/>
          </w:tcPr>
          <w:p>
            <w:pPr>
              <w:spacing w:after="0" w:before="0"/>
            </w:pPr>
            <w:r/>
            <w:r>
              <w:rPr>
                <w:rFonts w:ascii="Calibri" w:hAnsi="Calibri"/>
                <w:b w:val="0"/>
                <w:sz w:val="16"/>
              </w:rPr>
              <w:t>Errors are averages, not per-cycle exact; generic-structure validation uses single CONV layers; evaluation on Xilinx devices other than Zynq UltraScale+ MPSoC KV260.</w:t>
            </w:r>
          </w:p>
        </w:tc>
        <w:tc>
          <w:tcPr>
            <w:tcW w:type="dxa" w:w="1587"/>
          </w:tcPr>
          <w:p>
            <w:pPr>
              <w:spacing w:after="0" w:before="0"/>
            </w:pPr>
            <w:r/>
            <w:r>
              <w:rPr>
                <w:rFonts w:ascii="Calibri" w:hAnsi="Calibri"/>
                <w:b w:val="0"/>
                <w:sz w:val="16"/>
              </w:rPr>
              <w:t>FPGA DSE model with board-validated error and DPU comparison; V3 contrasts its 0-cycle model and also uses the DPU as baseline.</w:t>
            </w:r>
          </w:p>
        </w:tc>
      </w:tr>
      <w:tr>
        <w:tc>
          <w:tcPr>
            <w:tcW w:type="dxa" w:w="709"/>
          </w:tcPr>
          <w:p>
            <w:pPr>
              <w:spacing w:after="0" w:before="0"/>
              <w:jc w:val="center"/>
            </w:pPr>
            <w:r/>
            <w:r>
              <w:rPr>
                <w:rFonts w:ascii="Calibri" w:hAnsi="Calibri"/>
                <w:b w:val="0"/>
                <w:sz w:val="16"/>
              </w:rPr>
              <w:t>39</w:t>
            </w:r>
          </w:p>
        </w:tc>
        <w:tc>
          <w:tcPr>
            <w:tcW w:type="dxa" w:w="1871"/>
          </w:tcPr>
          <w:p>
            <w:pPr>
              <w:spacing w:after="0" w:before="0"/>
            </w:pPr>
            <w:r/>
            <w:r>
              <w:rPr>
                <w:rFonts w:ascii="Calibri" w:hAnsi="Calibri"/>
                <w:b w:val="0"/>
                <w:sz w:val="16"/>
              </w:rPr>
              <w:t>Optimizing FPGA-based Accelerator Design for Deep Convolutional Neural Networks</w:t>
            </w:r>
          </w:p>
        </w:tc>
        <w:tc>
          <w:tcPr>
            <w:tcW w:type="dxa" w:w="1701"/>
          </w:tcPr>
          <w:p>
            <w:pPr>
              <w:spacing w:after="0" w:before="0"/>
            </w:pPr>
            <w:r/>
            <w:r>
              <w:rPr>
                <w:rFonts w:ascii="Calibri" w:hAnsi="Calibri"/>
                <w:b w:val="0"/>
                <w:sz w:val="16"/>
              </w:rPr>
              <w:t>Chen Zhang, Peng Li, Guangyu Sun, Yijin Guan, Bingjun Xiao, Jason Cong</w:t>
            </w:r>
          </w:p>
        </w:tc>
        <w:tc>
          <w:tcPr>
            <w:tcW w:type="dxa" w:w="1531"/>
          </w:tcPr>
          <w:p>
            <w:pPr>
              <w:spacing w:after="0" w:before="0"/>
            </w:pPr>
            <w:r/>
            <w:r>
              <w:rPr>
                <w:rFonts w:ascii="Calibri" w:hAnsi="Calibri"/>
                <w:b w:val="0"/>
                <w:sz w:val="16"/>
              </w:rPr>
              <w:t>Proceedings of the 2015 ACM/SIGDA International Symposium on Field-Programmable Gate Arrays</w:t>
            </w:r>
          </w:p>
        </w:tc>
        <w:tc>
          <w:tcPr>
            <w:tcW w:type="dxa" w:w="1191"/>
          </w:tcPr>
          <w:p>
            <w:pPr>
              <w:spacing w:after="0" w:before="0"/>
            </w:pPr>
            <w:r/>
            <w:r>
              <w:rPr>
                <w:rFonts w:ascii="Calibri" w:hAnsi="Calibri"/>
                <w:b w:val="0"/>
                <w:sz w:val="16"/>
              </w:rPr>
              <w:t>Vol. n/a, No. n/a, pp. 161–170, 2015</w:t>
            </w:r>
          </w:p>
        </w:tc>
        <w:tc>
          <w:tcPr>
            <w:tcW w:type="dxa" w:w="1417"/>
          </w:tcPr>
          <w:p>
            <w:pPr>
              <w:spacing w:after="0" w:before="0"/>
            </w:pPr>
            <w:r/>
            <w:r>
              <w:rPr>
                <w:rFonts w:ascii="Calibri" w:hAnsi="Calibri"/>
                <w:b w:val="0"/>
                <w:sz w:val="16"/>
              </w:rPr>
              <w:t>10.1145/2684746.2689060</w:t>
            </w:r>
          </w:p>
        </w:tc>
        <w:tc>
          <w:tcPr>
            <w:tcW w:type="dxa" w:w="1843"/>
          </w:tcPr>
          <w:p>
            <w:pPr>
              <w:spacing w:after="0" w:before="0"/>
            </w:pPr>
            <w:r/>
            <w:r>
              <w:rPr>
                <w:rFonts w:ascii="Calibri" w:hAnsi="Calibri"/>
                <w:b w:val="0"/>
                <w:sz w:val="16"/>
              </w:rPr>
              <w:t>Roofline-based analytical DSE of loop tiling/unrolling for an HLS CNN accelerator, computing compute roof and computation-to-communication ratio per design; implemented on a VC707 (Virtex-7 485T) at 100 MHz, 61.62 GFLOPS peak.</w:t>
            </w:r>
            <w:r>
              <w:rPr>
                <w:rFonts w:ascii="Calibri" w:hAnsi="Calibri"/>
                <w:i/>
                <w:sz w:val="14"/>
              </w:rPr>
              <w:t xml:space="preserve"> [Basis: full text]</w:t>
            </w:r>
          </w:p>
        </w:tc>
        <w:tc>
          <w:tcPr>
            <w:tcW w:type="dxa" w:w="1644"/>
          </w:tcPr>
          <w:p>
            <w:pPr>
              <w:spacing w:after="0" w:before="0"/>
            </w:pPr>
            <w:r/>
            <w:r>
              <w:rPr>
                <w:rFonts w:ascii="Calibri" w:hAnsi="Calibri"/>
                <w:b w:val="0"/>
                <w:sz w:val="16"/>
              </w:rPr>
              <w:t>Classic method linking tile/unroll choices to compute and bandwidth bounds; per-layer execution-cycle estimates (Table 4) drive a cross-layer uniform unroll choice; board timing reported per layer (Table 7).</w:t>
            </w:r>
          </w:p>
        </w:tc>
        <w:tc>
          <w:tcPr>
            <w:tcW w:type="dxa" w:w="1644"/>
          </w:tcPr>
          <w:p>
            <w:pPr>
              <w:spacing w:after="0" w:before="0"/>
            </w:pPr>
            <w:r/>
            <w:r>
              <w:rPr>
                <w:rFonts w:ascii="Calibri" w:hAnsi="Calibri"/>
                <w:b w:val="0"/>
                <w:sz w:val="16"/>
              </w:rPr>
              <w:t>32-bit float AlexNet CONV layers only; in the sections read no explicit model-vs-board error figure is reported; HLS pre-synthesis reports used for estimation.</w:t>
            </w:r>
          </w:p>
        </w:tc>
        <w:tc>
          <w:tcPr>
            <w:tcW w:type="dxa" w:w="1587"/>
          </w:tcPr>
          <w:p>
            <w:pPr>
              <w:spacing w:after="0" w:before="0"/>
            </w:pPr>
            <w:r/>
            <w:r>
              <w:rPr>
                <w:rFonts w:ascii="Calibri" w:hAnsi="Calibri"/>
                <w:b w:val="0"/>
                <w:sz w:val="16"/>
              </w:rPr>
              <w:t>Key classic for analytical FPGA CNN DSE; V3 uses a cycle model rather than a roofline bound.</w:t>
            </w:r>
          </w:p>
        </w:tc>
      </w:tr>
      <w:tr>
        <w:tc>
          <w:tcPr>
            <w:tcW w:type="dxa" w:w="15137"/>
            <w:gridSpan w:val="10"/>
            <w:shd w:val="clear" w:color="auto" w:fill="DCE3EF"/>
          </w:tcPr>
          <w:p>
            <w:pPr>
              <w:spacing w:after="0" w:before="0"/>
            </w:pPr>
            <w:r/>
            <w:r>
              <w:rPr>
                <w:rFonts w:ascii="Calibri" w:hAnsi="Calibri"/>
                <w:b/>
                <w:sz w:val="19"/>
              </w:rPr>
              <w:t>Category 6: INT8 quantization, DSP packing, depthwise/MobileNet and ResNet hardware support (6 papers)</w:t>
            </w:r>
          </w:p>
        </w:tc>
      </w:tr>
      <w:tr>
        <w:tc>
          <w:tcPr>
            <w:tcW w:type="dxa" w:w="709"/>
          </w:tcPr>
          <w:p>
            <w:pPr>
              <w:spacing w:after="0" w:before="0"/>
              <w:jc w:val="center"/>
            </w:pPr>
            <w:r/>
            <w:r>
              <w:rPr>
                <w:rFonts w:ascii="Calibri" w:hAnsi="Calibri"/>
                <w:b w:val="0"/>
                <w:sz w:val="16"/>
              </w:rPr>
              <w:t>40</w:t>
            </w:r>
          </w:p>
        </w:tc>
        <w:tc>
          <w:tcPr>
            <w:tcW w:type="dxa" w:w="1871"/>
          </w:tcPr>
          <w:p>
            <w:pPr>
              <w:spacing w:after="0" w:before="0"/>
            </w:pPr>
            <w:r/>
            <w:r>
              <w:rPr>
                <w:rFonts w:ascii="Calibri" w:hAnsi="Calibri"/>
                <w:b w:val="0"/>
                <w:sz w:val="16"/>
              </w:rPr>
              <w:t>Quantization and Training of Neural Networks for Efficient Integer-Arithmetic-Only Inference</w:t>
            </w:r>
          </w:p>
        </w:tc>
        <w:tc>
          <w:tcPr>
            <w:tcW w:type="dxa" w:w="1701"/>
          </w:tcPr>
          <w:p>
            <w:pPr>
              <w:spacing w:after="0" w:before="0"/>
            </w:pPr>
            <w:r/>
            <w:r>
              <w:rPr>
                <w:rFonts w:ascii="Calibri" w:hAnsi="Calibri"/>
                <w:b w:val="0"/>
                <w:sz w:val="16"/>
              </w:rPr>
              <w:t>Benoit Jacob, Skirmantas Kligys, Bo Chen, Menglong Zhu, Matthew Tang, Andrew Howard, Hartwig Adam, Dmitry Kalenichenko</w:t>
            </w:r>
          </w:p>
        </w:tc>
        <w:tc>
          <w:tcPr>
            <w:tcW w:type="dxa" w:w="1531"/>
          </w:tcPr>
          <w:p>
            <w:pPr>
              <w:spacing w:after="0" w:before="0"/>
            </w:pPr>
            <w:r/>
            <w:r>
              <w:rPr>
                <w:rFonts w:ascii="Calibri" w:hAnsi="Calibri"/>
                <w:b w:val="0"/>
                <w:sz w:val="16"/>
              </w:rPr>
              <w:t>2018 IEEE/CVF Conference on Computer Vision and Pattern Recognition</w:t>
            </w:r>
          </w:p>
        </w:tc>
        <w:tc>
          <w:tcPr>
            <w:tcW w:type="dxa" w:w="1191"/>
          </w:tcPr>
          <w:p>
            <w:pPr>
              <w:spacing w:after="0" w:before="0"/>
            </w:pPr>
            <w:r/>
            <w:r>
              <w:rPr>
                <w:rFonts w:ascii="Calibri" w:hAnsi="Calibri"/>
                <w:b w:val="0"/>
                <w:sz w:val="16"/>
              </w:rPr>
              <w:t>Vol. n/a, No. n/a, pp. 2704–2713, 2018</w:t>
            </w:r>
          </w:p>
        </w:tc>
        <w:tc>
          <w:tcPr>
            <w:tcW w:type="dxa" w:w="1417"/>
          </w:tcPr>
          <w:p>
            <w:pPr>
              <w:spacing w:after="0" w:before="0"/>
            </w:pPr>
            <w:r/>
            <w:r>
              <w:rPr>
                <w:rFonts w:ascii="Calibri" w:hAnsi="Calibri"/>
                <w:b w:val="0"/>
                <w:sz w:val="16"/>
              </w:rPr>
              <w:t>10.1109/cvpr.2018.00286</w:t>
            </w:r>
          </w:p>
        </w:tc>
        <w:tc>
          <w:tcPr>
            <w:tcW w:type="dxa" w:w="1843"/>
          </w:tcPr>
          <w:p>
            <w:pPr>
              <w:spacing w:after="0" w:before="0"/>
            </w:pPr>
            <w:r/>
            <w:r>
              <w:rPr>
                <w:rFonts w:ascii="Calibri" w:hAnsi="Calibri"/>
                <w:b w:val="0"/>
                <w:sz w:val="16"/>
              </w:rPr>
              <w:t>Defines the affine scheme r = S(q - Z) with integer-only inference: uint8 operands, int32 accumulation, int32 bias with S_bias = S1*S2, and requantization by a fixed-point multiplier M0 in [0.5,1) plus a rounding shift, followed by a saturating cast; adds quantization-aware training.</w:t>
            </w:r>
            <w:r>
              <w:rPr>
                <w:rFonts w:ascii="Calibri" w:hAnsi="Calibri"/>
                <w:i/>
                <w:sz w:val="14"/>
              </w:rPr>
              <w:t xml:space="preserve"> [Basis: full text]</w:t>
            </w:r>
          </w:p>
        </w:tc>
        <w:tc>
          <w:tcPr>
            <w:tcW w:type="dxa" w:w="1644"/>
          </w:tcPr>
          <w:p>
            <w:pPr>
              <w:spacing w:after="0" w:before="0"/>
            </w:pPr>
            <w:r/>
            <w:r>
              <w:rPr>
                <w:rFonts w:ascii="Calibri" w:hAnsi="Calibri"/>
                <w:b w:val="0"/>
                <w:sz w:val="16"/>
              </w:rPr>
              <w:t>Whole layer (MAC, bias, requant, ReLU6 clamp) runs in integer arithmetic, so a bit-exact integer reference is possible; small loss (ResNet-50 ImageNet 74.9% vs 76.4% float).</w:t>
            </w:r>
          </w:p>
        </w:tc>
        <w:tc>
          <w:tcPr>
            <w:tcW w:type="dxa" w:w="1644"/>
          </w:tcPr>
          <w:p>
            <w:pPr>
              <w:spacing w:after="0" w:before="0"/>
            </w:pPr>
            <w:r/>
            <w:r>
              <w:rPr>
                <w:rFonts w:ascii="Calibri" w:hAnsi="Calibri"/>
                <w:b w:val="0"/>
                <w:sz w:val="16"/>
              </w:rPr>
              <w:t>Evaluated on ARM CPUs (Snapdragon 835 cores) rather than accelerator hardware; scheme uses uint8 with zero-points, which adds zero-point correction terms.</w:t>
            </w:r>
          </w:p>
        </w:tc>
        <w:tc>
          <w:tcPr>
            <w:tcW w:type="dxa" w:w="1587"/>
          </w:tcPr>
          <w:p>
            <w:pPr>
              <w:spacing w:after="0" w:before="0"/>
            </w:pPr>
            <w:r/>
            <w:r>
              <w:rPr>
                <w:rFonts w:ascii="Calibri" w:hAnsi="Calibri"/>
                <w:b w:val="0"/>
                <w:sz w:val="16"/>
              </w:rPr>
              <w:t>Method we reuse: standard integer-only requantization (int32 accumulator, fixed-point multiplier and shift) behind V3's bit-exact INT8 path.</w:t>
            </w:r>
          </w:p>
        </w:tc>
      </w:tr>
      <w:tr>
        <w:tc>
          <w:tcPr>
            <w:tcW w:type="dxa" w:w="709"/>
          </w:tcPr>
          <w:p>
            <w:pPr>
              <w:spacing w:after="0" w:before="0"/>
              <w:jc w:val="center"/>
            </w:pPr>
            <w:r/>
            <w:r>
              <w:rPr>
                <w:rFonts w:ascii="Calibri" w:hAnsi="Calibri"/>
                <w:b w:val="0"/>
                <w:sz w:val="16"/>
              </w:rPr>
              <w:t>41</w:t>
            </w:r>
          </w:p>
        </w:tc>
        <w:tc>
          <w:tcPr>
            <w:tcW w:type="dxa" w:w="1871"/>
          </w:tcPr>
          <w:p>
            <w:pPr>
              <w:spacing w:after="0" w:before="0"/>
            </w:pPr>
            <w:r/>
            <w:r>
              <w:rPr>
                <w:rFonts w:ascii="Calibri" w:hAnsi="Calibri"/>
                <w:b w:val="0"/>
                <w:sz w:val="16"/>
              </w:rPr>
              <w:t>DSP-Packing: Squeezing Low-precision Arithmetic into FPGA DSP Blocks</w:t>
            </w:r>
          </w:p>
        </w:tc>
        <w:tc>
          <w:tcPr>
            <w:tcW w:type="dxa" w:w="1701"/>
          </w:tcPr>
          <w:p>
            <w:pPr>
              <w:spacing w:after="0" w:before="0"/>
            </w:pPr>
            <w:r/>
            <w:r>
              <w:rPr>
                <w:rFonts w:ascii="Calibri" w:hAnsi="Calibri"/>
                <w:b w:val="0"/>
                <w:sz w:val="16"/>
              </w:rPr>
              <w:t>Jan Sommer, M. Akif Ozkan, Oliver Keszocze, Jurgen Teich</w:t>
            </w:r>
          </w:p>
        </w:tc>
        <w:tc>
          <w:tcPr>
            <w:tcW w:type="dxa" w:w="1531"/>
          </w:tcPr>
          <w:p>
            <w:pPr>
              <w:spacing w:after="0" w:before="0"/>
            </w:pPr>
            <w:r/>
            <w:r>
              <w:rPr>
                <w:rFonts w:ascii="Calibri" w:hAnsi="Calibri"/>
                <w:b w:val="0"/>
                <w:sz w:val="16"/>
              </w:rPr>
              <w:t>2022 32nd International Conference on Field-Programmable Logic and Applications (FPL)</w:t>
            </w:r>
          </w:p>
        </w:tc>
        <w:tc>
          <w:tcPr>
            <w:tcW w:type="dxa" w:w="1191"/>
          </w:tcPr>
          <w:p>
            <w:pPr>
              <w:spacing w:after="0" w:before="0"/>
            </w:pPr>
            <w:r/>
            <w:r>
              <w:rPr>
                <w:rFonts w:ascii="Calibri" w:hAnsi="Calibri"/>
                <w:b w:val="0"/>
                <w:sz w:val="16"/>
              </w:rPr>
              <w:t>Vol. n/a, No. n/a, pp. 160–166, 2022</w:t>
            </w:r>
          </w:p>
        </w:tc>
        <w:tc>
          <w:tcPr>
            <w:tcW w:type="dxa" w:w="1417"/>
          </w:tcPr>
          <w:p>
            <w:pPr>
              <w:spacing w:after="0" w:before="0"/>
            </w:pPr>
            <w:r/>
            <w:r>
              <w:rPr>
                <w:rFonts w:ascii="Calibri" w:hAnsi="Calibri"/>
                <w:b w:val="0"/>
                <w:sz w:val="16"/>
              </w:rPr>
              <w:t>10.1109/fpl57034.2022.00035</w:t>
            </w:r>
          </w:p>
        </w:tc>
        <w:tc>
          <w:tcPr>
            <w:tcW w:type="dxa" w:w="1843"/>
          </w:tcPr>
          <w:p>
            <w:pPr>
              <w:spacing w:after="0" w:before="0"/>
            </w:pPr>
            <w:r/>
            <w:r>
              <w:rPr>
                <w:rFonts w:ascii="Calibri" w:hAnsi="Calibri"/>
                <w:b w:val="0"/>
                <w:sz w:val="16"/>
              </w:rPr>
              <w:t>Generalizes Xilinx's INT8/INT4 multiplication packing on the DSP48E2 to arbitrary bit widths and counts, analyses its rounding error, proposes full and approximate corrections, and introduces approximate 'Overpacking' (six 4-bit multiplies per DSP).</w:t>
            </w:r>
            <w:r>
              <w:rPr>
                <w:rFonts w:ascii="Calibri" w:hAnsi="Calibri"/>
                <w:i/>
                <w:sz w:val="14"/>
              </w:rPr>
              <w:t xml:space="preserve"> [Basis: full text]</w:t>
            </w:r>
          </w:p>
        </w:tc>
        <w:tc>
          <w:tcPr>
            <w:tcW w:type="dxa" w:w="1644"/>
          </w:tcPr>
          <w:p>
            <w:pPr>
              <w:spacing w:after="0" w:before="0"/>
            </w:pPr>
            <w:r/>
            <w:r>
              <w:rPr>
                <w:rFonts w:ascii="Calibri" w:hAnsi="Calibri"/>
                <w:b w:val="0"/>
                <w:sz w:val="16"/>
              </w:rPr>
              <w:t>Shows the vendor INT4 packing has an error bounded by -1 (MAE 0.37) and gives a full correction costing 27 LUTs and 32 FFs that reaches zero error; packing density analysed per method.</w:t>
            </w:r>
          </w:p>
        </w:tc>
        <w:tc>
          <w:tcPr>
            <w:tcW w:type="dxa" w:w="1644"/>
          </w:tcPr>
          <w:p>
            <w:pPr>
              <w:spacing w:after="0" w:before="0"/>
            </w:pPr>
            <w:r/>
            <w:r>
              <w:rPr>
                <w:rFonts w:ascii="Calibri" w:hAnsi="Calibri"/>
                <w:b w:val="0"/>
                <w:sz w:val="16"/>
              </w:rPr>
              <w:t>Circuit-level study on one Zynq UltraScale+ device (XCZU7EV), no full CNN accelerator; Overpacking is approximate and therefore not bit-exact.</w:t>
            </w:r>
          </w:p>
        </w:tc>
        <w:tc>
          <w:tcPr>
            <w:tcW w:type="dxa" w:w="1587"/>
          </w:tcPr>
          <w:p>
            <w:pPr>
              <w:spacing w:after="0" w:before="0"/>
            </w:pPr>
            <w:r/>
            <w:r>
              <w:rPr>
                <w:rFonts w:ascii="Calibri" w:hAnsi="Calibri"/>
                <w:b w:val="0"/>
                <w:sz w:val="16"/>
              </w:rPr>
              <w:t>Method source: exactness conditions and correction for packed INT8 MACs in V3's DSP48E2 PEs; Overpacking is a contrast (inexact).</w:t>
            </w:r>
          </w:p>
        </w:tc>
      </w:tr>
      <w:tr>
        <w:tc>
          <w:tcPr>
            <w:tcW w:type="dxa" w:w="709"/>
          </w:tcPr>
          <w:p>
            <w:pPr>
              <w:spacing w:after="0" w:before="0"/>
              <w:jc w:val="center"/>
            </w:pPr>
            <w:r/>
            <w:r>
              <w:rPr>
                <w:rFonts w:ascii="Calibri" w:hAnsi="Calibri"/>
                <w:b w:val="0"/>
                <w:sz w:val="16"/>
              </w:rPr>
              <w:t>42</w:t>
            </w:r>
          </w:p>
        </w:tc>
        <w:tc>
          <w:tcPr>
            <w:tcW w:type="dxa" w:w="1871"/>
          </w:tcPr>
          <w:p>
            <w:pPr>
              <w:spacing w:after="0" w:before="0"/>
            </w:pPr>
            <w:r/>
            <w:r>
              <w:rPr>
                <w:rFonts w:ascii="Calibri" w:hAnsi="Calibri"/>
                <w:b w:val="0"/>
                <w:sz w:val="16"/>
              </w:rPr>
              <w:t>RiSA: A Reinforced Systolic Array for Depthwise Convolutions and Embedded Tensor Reshaping</w:t>
            </w:r>
          </w:p>
        </w:tc>
        <w:tc>
          <w:tcPr>
            <w:tcW w:type="dxa" w:w="1701"/>
          </w:tcPr>
          <w:p>
            <w:pPr>
              <w:spacing w:after="0" w:before="0"/>
            </w:pPr>
            <w:r/>
            <w:r>
              <w:rPr>
                <w:rFonts w:ascii="Calibri" w:hAnsi="Calibri"/>
                <w:b w:val="0"/>
                <w:sz w:val="16"/>
              </w:rPr>
              <w:t>Hyungmin Cho</w:t>
            </w:r>
          </w:p>
        </w:tc>
        <w:tc>
          <w:tcPr>
            <w:tcW w:type="dxa" w:w="1531"/>
          </w:tcPr>
          <w:p>
            <w:pPr>
              <w:spacing w:after="0" w:before="0"/>
            </w:pPr>
            <w:r/>
            <w:r>
              <w:rPr>
                <w:rFonts w:ascii="Calibri" w:hAnsi="Calibri"/>
                <w:b w:val="0"/>
                <w:sz w:val="16"/>
              </w:rPr>
              <w:t>ACM Transactions on Embedded Computing Systems</w:t>
            </w:r>
          </w:p>
        </w:tc>
        <w:tc>
          <w:tcPr>
            <w:tcW w:type="dxa" w:w="1191"/>
          </w:tcPr>
          <w:p>
            <w:pPr>
              <w:spacing w:after="0" w:before="0"/>
            </w:pPr>
            <w:r/>
            <w:r>
              <w:rPr>
                <w:rFonts w:ascii="Calibri" w:hAnsi="Calibri"/>
                <w:b w:val="0"/>
                <w:sz w:val="16"/>
              </w:rPr>
              <w:t>Vol. 20, No. 5s, pp. 1–20, 2021</w:t>
            </w:r>
          </w:p>
        </w:tc>
        <w:tc>
          <w:tcPr>
            <w:tcW w:type="dxa" w:w="1417"/>
          </w:tcPr>
          <w:p>
            <w:pPr>
              <w:spacing w:after="0" w:before="0"/>
            </w:pPr>
            <w:r/>
            <w:r>
              <w:rPr>
                <w:rFonts w:ascii="Calibri" w:hAnsi="Calibri"/>
                <w:b w:val="0"/>
                <w:sz w:val="16"/>
              </w:rPr>
              <w:t>10.1145/3476984</w:t>
            </w:r>
          </w:p>
        </w:tc>
        <w:tc>
          <w:tcPr>
            <w:tcW w:type="dxa" w:w="1843"/>
          </w:tcPr>
          <w:p>
            <w:pPr>
              <w:spacing w:after="0" w:before="0"/>
            </w:pPr>
            <w:r/>
            <w:r>
              <w:rPr>
                <w:rFonts w:ascii="Calibri" w:hAnsi="Calibri"/>
                <w:b w:val="0"/>
                <w:sz w:val="16"/>
              </w:rPr>
              <w:t>Presents RiSA, a systolic-array DNN accelerator with a mechanism that raises PE utilization for depthwise convolutions and performs tensor reshaping inside the PE array instead of in a separate module.</w:t>
            </w:r>
            <w:r>
              <w:rPr>
                <w:rFonts w:ascii="Calibri" w:hAnsi="Calibri"/>
                <w:i/>
                <w:sz w:val="14"/>
              </w:rPr>
              <w:t xml:space="preserve"> [Basis: abstract]</w:t>
            </w:r>
          </w:p>
        </w:tc>
        <w:tc>
          <w:tcPr>
            <w:tcW w:type="dxa" w:w="1644"/>
          </w:tcPr>
          <w:p>
            <w:pPr>
              <w:spacing w:after="0" w:before="0"/>
            </w:pPr>
            <w:r/>
            <w:r>
              <w:rPr>
                <w:rFonts w:ascii="Calibri" w:hAnsi="Calibri"/>
                <w:b w:val="0"/>
                <w:sz w:val="16"/>
              </w:rPr>
              <w:t>Minimal-overhead depthwise support on a systolic array; supports CNNs and NLP models; 1.91x area and 1.31x energy efficiency over Eyeriss v2 on MobileNet-V1.</w:t>
            </w:r>
          </w:p>
        </w:tc>
        <w:tc>
          <w:tcPr>
            <w:tcW w:type="dxa" w:w="1644"/>
          </w:tcPr>
          <w:p>
            <w:pPr>
              <w:spacing w:after="0" w:before="0"/>
            </w:pPr>
            <w:r/>
            <w:r>
              <w:rPr>
                <w:rFonts w:ascii="Calibri" w:hAnsi="Calibri"/>
                <w:b w:val="0"/>
                <w:sz w:val="16"/>
              </w:rPr>
              <w:t>Comparison is against Eyeriss v2 for MobileNet-V1; abstract gives no FPGA implementation or latency-bound details.</w:t>
            </w:r>
          </w:p>
        </w:tc>
        <w:tc>
          <w:tcPr>
            <w:tcW w:type="dxa" w:w="1587"/>
          </w:tcPr>
          <w:p>
            <w:pPr>
              <w:spacing w:after="0" w:before="0"/>
            </w:pPr>
            <w:r/>
            <w:r>
              <w:rPr>
                <w:rFonts w:ascii="Calibri" w:hAnsi="Calibri"/>
                <w:b w:val="0"/>
                <w:sz w:val="16"/>
              </w:rPr>
              <w:t>Closest prior work for V3's depthwise mode on an output-stationary systolic array.</w:t>
            </w:r>
          </w:p>
        </w:tc>
      </w:tr>
      <w:tr>
        <w:tc>
          <w:tcPr>
            <w:tcW w:type="dxa" w:w="709"/>
          </w:tcPr>
          <w:p>
            <w:pPr>
              <w:spacing w:after="0" w:before="0"/>
              <w:jc w:val="center"/>
            </w:pPr>
            <w:r/>
            <w:r>
              <w:rPr>
                <w:rFonts w:ascii="Calibri" w:hAnsi="Calibri"/>
                <w:b w:val="0"/>
                <w:sz w:val="16"/>
              </w:rPr>
              <w:t>43</w:t>
            </w:r>
          </w:p>
        </w:tc>
        <w:tc>
          <w:tcPr>
            <w:tcW w:type="dxa" w:w="1871"/>
          </w:tcPr>
          <w:p>
            <w:pPr>
              <w:spacing w:after="0" w:before="0"/>
            </w:pPr>
            <w:r/>
            <w:r>
              <w:rPr>
                <w:rFonts w:ascii="Calibri" w:hAnsi="Calibri"/>
                <w:b w:val="0"/>
                <w:sz w:val="16"/>
              </w:rPr>
              <w:t>ShortcutFusion: From Tensorflow to FPGA-Based Accelerator With a Reuse-Aware Memory Allocation for Shortcut Data</w:t>
            </w:r>
          </w:p>
        </w:tc>
        <w:tc>
          <w:tcPr>
            <w:tcW w:type="dxa" w:w="1701"/>
          </w:tcPr>
          <w:p>
            <w:pPr>
              <w:spacing w:after="0" w:before="0"/>
            </w:pPr>
            <w:r/>
            <w:r>
              <w:rPr>
                <w:rFonts w:ascii="Calibri" w:hAnsi="Calibri"/>
                <w:b w:val="0"/>
                <w:sz w:val="16"/>
              </w:rPr>
              <w:t>Duy Thanh Nguyen, Hyeonseung Je, Tuan Nghia Nguyen, Soojung Ryu, Kyujoong Lee, Hyuk-Jae Lee</w:t>
            </w:r>
          </w:p>
        </w:tc>
        <w:tc>
          <w:tcPr>
            <w:tcW w:type="dxa" w:w="1531"/>
          </w:tcPr>
          <w:p>
            <w:pPr>
              <w:spacing w:after="0" w:before="0"/>
            </w:pPr>
            <w:r/>
            <w:r>
              <w:rPr>
                <w:rFonts w:ascii="Calibri" w:hAnsi="Calibri"/>
                <w:b w:val="0"/>
                <w:sz w:val="16"/>
              </w:rPr>
              <w:t>IEEE Transactions on Circuits and Systems I: Regular Papers</w:t>
            </w:r>
          </w:p>
        </w:tc>
        <w:tc>
          <w:tcPr>
            <w:tcW w:type="dxa" w:w="1191"/>
          </w:tcPr>
          <w:p>
            <w:pPr>
              <w:spacing w:after="0" w:before="0"/>
            </w:pPr>
            <w:r/>
            <w:r>
              <w:rPr>
                <w:rFonts w:ascii="Calibri" w:hAnsi="Calibri"/>
                <w:b w:val="0"/>
                <w:sz w:val="16"/>
              </w:rPr>
              <w:t>Vol. 69, No. 6, pp. 2477–2489, 2022</w:t>
            </w:r>
          </w:p>
        </w:tc>
        <w:tc>
          <w:tcPr>
            <w:tcW w:type="dxa" w:w="1417"/>
          </w:tcPr>
          <w:p>
            <w:pPr>
              <w:spacing w:after="0" w:before="0"/>
            </w:pPr>
            <w:r/>
            <w:r>
              <w:rPr>
                <w:rFonts w:ascii="Calibri" w:hAnsi="Calibri"/>
                <w:b w:val="0"/>
                <w:sz w:val="16"/>
              </w:rPr>
              <w:t>10.1109/tcsi.2022.3153288</w:t>
            </w:r>
          </w:p>
        </w:tc>
        <w:tc>
          <w:tcPr>
            <w:tcW w:type="dxa" w:w="1843"/>
          </w:tcPr>
          <w:p>
            <w:pPr>
              <w:spacing w:after="0" w:before="0"/>
            </w:pPr>
            <w:r/>
            <w:r>
              <w:rPr>
                <w:rFonts w:ascii="Calibri" w:hAnsi="Calibri"/>
                <w:b w:val="0"/>
                <w:sz w:val="16"/>
              </w:rPr>
              <w:t>Compiler plus FPGA accelerator that statically allocates on-chip buffers for residual shortcut data and fuses the element-wise addition with the convolution, choosing row- or frame-based weight reuse per block; INT8 on a KCU1500 at 200 MHz.</w:t>
            </w:r>
            <w:r>
              <w:rPr>
                <w:rFonts w:ascii="Calibri" w:hAnsi="Calibri"/>
                <w:i/>
                <w:sz w:val="14"/>
              </w:rPr>
              <w:t xml:space="preserve"> [Basis: full text]</w:t>
            </w:r>
          </w:p>
        </w:tc>
        <w:tc>
          <w:tcPr>
            <w:tcW w:type="dxa" w:w="1644"/>
          </w:tcPr>
          <w:p>
            <w:pPr>
              <w:spacing w:after="0" w:before="0"/>
            </w:pPr>
            <w:r/>
            <w:r>
              <w:rPr>
                <w:rFonts w:ascii="Calibri" w:hAnsi="Calibri"/>
                <w:b w:val="0"/>
                <w:sz w:val="16"/>
              </w:rPr>
              <w:t>Fused CONV+shortcut needs one write and two reads instead of two writes and three reads off-chip, no extra element-wise latency; DRAM access reduced 47.8-84.8% for RetinaNet, YOLOv3, ResNet152, EfficientNet.</w:t>
            </w:r>
          </w:p>
        </w:tc>
        <w:tc>
          <w:tcPr>
            <w:tcW w:type="dxa" w:w="1644"/>
          </w:tcPr>
          <w:p>
            <w:pPr>
              <w:spacing w:after="0" w:before="0"/>
            </w:pPr>
            <w:r/>
            <w:r>
              <w:rPr>
                <w:rFonts w:ascii="Calibri" w:hAnsi="Calibri"/>
                <w:b w:val="0"/>
                <w:sz w:val="16"/>
              </w:rPr>
              <w:t>Targets large networks and a data-center card (KCU1500), not an embedded Zynq; evaluation focuses on throughput and DRAM traffic, not latency predictability.</w:t>
            </w:r>
          </w:p>
        </w:tc>
        <w:tc>
          <w:tcPr>
            <w:tcW w:type="dxa" w:w="1587"/>
          </w:tcPr>
          <w:p>
            <w:pPr>
              <w:spacing w:after="0" w:before="0"/>
            </w:pPr>
            <w:r/>
            <w:r>
              <w:rPr>
                <w:rFonts w:ascii="Calibri" w:hAnsi="Calibri"/>
                <w:b w:val="0"/>
                <w:sz w:val="16"/>
              </w:rPr>
              <w:t>Residual-add hardware: fused element-wise add and on-chip shortcut buffering, compared with V3's residual handling for ResNet-20.</w:t>
            </w:r>
          </w:p>
        </w:tc>
      </w:tr>
      <w:tr>
        <w:tc>
          <w:tcPr>
            <w:tcW w:type="dxa" w:w="709"/>
          </w:tcPr>
          <w:p>
            <w:pPr>
              <w:spacing w:after="0" w:before="0"/>
              <w:jc w:val="center"/>
            </w:pPr>
            <w:r/>
            <w:r>
              <w:rPr>
                <w:rFonts w:ascii="Calibri" w:hAnsi="Calibri"/>
                <w:b w:val="0"/>
                <w:sz w:val="16"/>
              </w:rPr>
              <w:t>44</w:t>
            </w:r>
          </w:p>
        </w:tc>
        <w:tc>
          <w:tcPr>
            <w:tcW w:type="dxa" w:w="1871"/>
          </w:tcPr>
          <w:p>
            <w:pPr>
              <w:spacing w:after="0" w:before="0"/>
            </w:pPr>
            <w:r/>
            <w:r>
              <w:rPr>
                <w:rFonts w:ascii="Calibri" w:hAnsi="Calibri"/>
                <w:b w:val="0"/>
                <w:sz w:val="16"/>
              </w:rPr>
              <w:t>Double MAC on a DSP: Boosting the Performance of Convolutional Neural Networks on FPGAs</w:t>
            </w:r>
          </w:p>
        </w:tc>
        <w:tc>
          <w:tcPr>
            <w:tcW w:type="dxa" w:w="1701"/>
          </w:tcPr>
          <w:p>
            <w:pPr>
              <w:spacing w:after="0" w:before="0"/>
            </w:pPr>
            <w:r/>
            <w:r>
              <w:rPr>
                <w:rFonts w:ascii="Calibri" w:hAnsi="Calibri"/>
                <w:b w:val="0"/>
                <w:sz w:val="16"/>
              </w:rPr>
              <w:t>Sugil Lee, Daewoo Kim, Dong Nguyen, Jongeun Lee</w:t>
            </w:r>
          </w:p>
        </w:tc>
        <w:tc>
          <w:tcPr>
            <w:tcW w:type="dxa" w:w="1531"/>
          </w:tcPr>
          <w:p>
            <w:pPr>
              <w:spacing w:after="0" w:before="0"/>
            </w:pPr>
            <w:r/>
            <w:r>
              <w:rPr>
                <w:rFonts w:ascii="Calibri" w:hAnsi="Calibri"/>
                <w:b w:val="0"/>
                <w:sz w:val="16"/>
              </w:rPr>
              <w:t>IEEE Transactions on Computer-Aided Design of Integrated Circuits and Systems</w:t>
            </w:r>
          </w:p>
        </w:tc>
        <w:tc>
          <w:tcPr>
            <w:tcW w:type="dxa" w:w="1191"/>
          </w:tcPr>
          <w:p>
            <w:pPr>
              <w:spacing w:after="0" w:before="0"/>
            </w:pPr>
            <w:r/>
            <w:r>
              <w:rPr>
                <w:rFonts w:ascii="Calibri" w:hAnsi="Calibri"/>
                <w:b w:val="0"/>
                <w:sz w:val="16"/>
              </w:rPr>
              <w:t>Vol. 38, No. 5, pp. 888–897, 2019</w:t>
            </w:r>
          </w:p>
        </w:tc>
        <w:tc>
          <w:tcPr>
            <w:tcW w:type="dxa" w:w="1417"/>
          </w:tcPr>
          <w:p>
            <w:pPr>
              <w:spacing w:after="0" w:before="0"/>
            </w:pPr>
            <w:r/>
            <w:r>
              <w:rPr>
                <w:rFonts w:ascii="Calibri" w:hAnsi="Calibri"/>
                <w:b w:val="0"/>
                <w:sz w:val="16"/>
              </w:rPr>
              <w:t>10.1109/tcad.2018.2824280</w:t>
            </w:r>
          </w:p>
        </w:tc>
        <w:tc>
          <w:tcPr>
            <w:tcW w:type="dxa" w:w="1843"/>
          </w:tcPr>
          <w:p>
            <w:pPr>
              <w:spacing w:after="0" w:before="0"/>
            </w:pPr>
            <w:r/>
            <w:r>
              <w:rPr>
                <w:rFonts w:ascii="Calibri" w:hAnsi="Calibri"/>
                <w:b w:val="0"/>
                <w:sz w:val="16"/>
              </w:rPr>
              <w:t>Proposes double MAC, packing two multiply-and-accumulate operations into one FPGA DSP block, exploiting the CNN accelerator's mode of operation; validated by synthesis and Verilog simulation in a state-of-the-art CNN accelerator.</w:t>
            </w:r>
            <w:r>
              <w:rPr>
                <w:rFonts w:ascii="Calibri" w:hAnsi="Calibri"/>
                <w:i/>
                <w:sz w:val="14"/>
              </w:rPr>
              <w:t xml:space="preserve"> [Basis: abstract]</w:t>
            </w:r>
          </w:p>
        </w:tc>
        <w:tc>
          <w:tcPr>
            <w:tcW w:type="dxa" w:w="1644"/>
          </w:tcPr>
          <w:p>
            <w:pPr>
              <w:spacing w:after="0" w:before="0"/>
            </w:pPr>
            <w:r/>
            <w:r>
              <w:rPr>
                <w:rFonts w:ascii="Calibri" w:hAnsi="Calibri"/>
                <w:b w:val="0"/>
                <w:sz w:val="16"/>
              </w:rPr>
              <w:t>Can double the computation throughput of a CNN layer; network-level gain of 14% to more than 80% depending on network and FPGA size.</w:t>
            </w:r>
          </w:p>
        </w:tc>
        <w:tc>
          <w:tcPr>
            <w:tcW w:type="dxa" w:w="1644"/>
          </w:tcPr>
          <w:p>
            <w:pPr>
              <w:spacing w:after="0" w:before="0"/>
            </w:pPr>
            <w:r/>
            <w:r>
              <w:rPr>
                <w:rFonts w:ascii="Calibri" w:hAnsi="Calibri"/>
                <w:b w:val="0"/>
                <w:sz w:val="16"/>
              </w:rPr>
              <w:t>Relies on tolerance to small numerical errors ('without sacrificing the output quality significantly'), so not presented as bit-exact; validated by synthesis and simulation, not board measurement.</w:t>
            </w:r>
          </w:p>
        </w:tc>
        <w:tc>
          <w:tcPr>
            <w:tcW w:type="dxa" w:w="1587"/>
          </w:tcPr>
          <w:p>
            <w:pPr>
              <w:spacing w:after="0" w:before="0"/>
            </w:pPr>
            <w:r/>
            <w:r>
              <w:rPr>
                <w:rFonts w:ascii="Calibri" w:hAnsi="Calibri"/>
                <w:b w:val="0"/>
                <w:sz w:val="16"/>
              </w:rPr>
              <w:t>DSP-packing prior work; contrast with V3's exact packing requirement.</w:t>
            </w:r>
          </w:p>
        </w:tc>
      </w:tr>
      <w:tr>
        <w:tc>
          <w:tcPr>
            <w:tcW w:type="dxa" w:w="709"/>
          </w:tcPr>
          <w:p>
            <w:pPr>
              <w:spacing w:after="0" w:before="0"/>
              <w:jc w:val="center"/>
            </w:pPr>
            <w:r/>
            <w:r>
              <w:rPr>
                <w:rFonts w:ascii="Calibri" w:hAnsi="Calibri"/>
                <w:b w:val="0"/>
                <w:sz w:val="16"/>
              </w:rPr>
              <w:t>45</w:t>
            </w:r>
          </w:p>
        </w:tc>
        <w:tc>
          <w:tcPr>
            <w:tcW w:type="dxa" w:w="1871"/>
          </w:tcPr>
          <w:p>
            <w:pPr>
              <w:spacing w:after="0" w:before="0"/>
            </w:pPr>
            <w:r/>
            <w:r>
              <w:rPr>
                <w:rFonts w:ascii="Calibri" w:hAnsi="Calibri"/>
                <w:b w:val="0"/>
                <w:sz w:val="16"/>
              </w:rPr>
              <w:t>Revealing Untapped DSP Optimization Potentials for FPGA-Based Systolic Matrix Engines</w:t>
            </w:r>
          </w:p>
        </w:tc>
        <w:tc>
          <w:tcPr>
            <w:tcW w:type="dxa" w:w="1701"/>
          </w:tcPr>
          <w:p>
            <w:pPr>
              <w:spacing w:after="0" w:before="0"/>
            </w:pPr>
            <w:r/>
            <w:r>
              <w:rPr>
                <w:rFonts w:ascii="Calibri" w:hAnsi="Calibri"/>
                <w:b w:val="0"/>
                <w:sz w:val="16"/>
              </w:rPr>
              <w:t>Jindong Li, Tenglong Li, Guobin Shen, Dongcheng Zhao, Qian Zhang, Yi Zeng</w:t>
            </w:r>
          </w:p>
        </w:tc>
        <w:tc>
          <w:tcPr>
            <w:tcW w:type="dxa" w:w="1531"/>
          </w:tcPr>
          <w:p>
            <w:pPr>
              <w:spacing w:after="0" w:before="0"/>
            </w:pPr>
            <w:r/>
            <w:r>
              <w:rPr>
                <w:rFonts w:ascii="Calibri" w:hAnsi="Calibri"/>
                <w:b w:val="0"/>
                <w:sz w:val="16"/>
              </w:rPr>
              <w:t>2024 34th International Conference on Field-Programmable Logic and Applications (FPL)</w:t>
            </w:r>
          </w:p>
        </w:tc>
        <w:tc>
          <w:tcPr>
            <w:tcW w:type="dxa" w:w="1191"/>
          </w:tcPr>
          <w:p>
            <w:pPr>
              <w:spacing w:after="0" w:before="0"/>
            </w:pPr>
            <w:r/>
            <w:r>
              <w:rPr>
                <w:rFonts w:ascii="Calibri" w:hAnsi="Calibri"/>
                <w:b w:val="0"/>
                <w:sz w:val="16"/>
              </w:rPr>
              <w:t>Vol. n/a, No. n/a, pp. 197–203, 2024</w:t>
            </w:r>
          </w:p>
        </w:tc>
        <w:tc>
          <w:tcPr>
            <w:tcW w:type="dxa" w:w="1417"/>
          </w:tcPr>
          <w:p>
            <w:pPr>
              <w:spacing w:after="0" w:before="0"/>
            </w:pPr>
            <w:r/>
            <w:r>
              <w:rPr>
                <w:rFonts w:ascii="Calibri" w:hAnsi="Calibri"/>
                <w:b w:val="0"/>
                <w:sz w:val="16"/>
              </w:rPr>
              <w:t>10.1109/fpl64840.2024.00035</w:t>
            </w:r>
          </w:p>
        </w:tc>
        <w:tc>
          <w:tcPr>
            <w:tcW w:type="dxa" w:w="1843"/>
          </w:tcPr>
          <w:p>
            <w:pPr>
              <w:spacing w:after="0" w:before="0"/>
            </w:pPr>
            <w:r/>
            <w:r>
              <w:rPr>
                <w:rFonts w:ascii="Calibri" w:hAnsi="Calibri"/>
                <w:b w:val="0"/>
                <w:sz w:val="16"/>
              </w:rPr>
              <w:t>Analyses DSP48E2 features for systolic engines: in-DSP operand prefetching for weight-stationary arrays (TPUv1-like) and, for the output-stationary Vitis AI DPUCZDX8G engine (INT8 packing plus DSP double-pumping), in-DSP multiplexing and a ring accumulator.</w:t>
            </w:r>
            <w:r>
              <w:rPr>
                <w:rFonts w:ascii="Calibri" w:hAnsi="Calibri"/>
                <w:i/>
                <w:sz w:val="14"/>
              </w:rPr>
              <w:t xml:space="preserve"> [Basis: full text]</w:t>
            </w:r>
          </w:p>
        </w:tc>
        <w:tc>
          <w:tcPr>
            <w:tcW w:type="dxa" w:w="1644"/>
          </w:tcPr>
          <w:p>
            <w:pPr>
              <w:spacing w:after="0" w:before="0"/>
            </w:pPr>
            <w:r/>
            <w:r>
              <w:rPr>
                <w:rFonts w:ascii="Calibri" w:hAnsi="Calibri"/>
                <w:b w:val="0"/>
                <w:sz w:val="16"/>
              </w:rPr>
              <w:t>Against a replica of the DPU B1024 array: 85% fewer LUTs, 20% fewer FFs, half the DSP accumulators and 20% less power at the same clock.</w:t>
            </w:r>
          </w:p>
        </w:tc>
        <w:tc>
          <w:tcPr>
            <w:tcW w:type="dxa" w:w="1644"/>
          </w:tcPr>
          <w:p>
            <w:pPr>
              <w:spacing w:after="0" w:before="0"/>
            </w:pPr>
            <w:r/>
            <w:r>
              <w:rPr>
                <w:rFonts w:ascii="Calibri" w:hAnsi="Calibri"/>
                <w:b w:val="0"/>
                <w:sz w:val="16"/>
              </w:rPr>
              <w:t>Reduces bias and accumulator precision to INT24 (stated minor precision loss); results are out-of-context Vivado implementations of the array only, not full accelerators on a board.</w:t>
            </w:r>
          </w:p>
        </w:tc>
        <w:tc>
          <w:tcPr>
            <w:tcW w:type="dxa" w:w="1587"/>
          </w:tcPr>
          <w:p>
            <w:pPr>
              <w:spacing w:after="0" w:before="0"/>
            </w:pPr>
            <w:r/>
            <w:r>
              <w:rPr>
                <w:rFonts w:ascii="Calibri" w:hAnsi="Calibri"/>
                <w:b w:val="0"/>
                <w:sz w:val="16"/>
              </w:rPr>
              <w:t>Explains the DPU baseline's INT8 packing and double-pumping; DSP techniques applicable to V3's OS array.</w:t>
            </w:r>
          </w:p>
        </w:tc>
      </w:tr>
      <w:tr>
        <w:tc>
          <w:tcPr>
            <w:tcW w:type="dxa" w:w="15137"/>
            <w:gridSpan w:val="10"/>
            <w:shd w:val="clear" w:color="auto" w:fill="DCE3EF"/>
          </w:tcPr>
          <w:p>
            <w:pPr>
              <w:spacing w:after="0" w:before="0"/>
            </w:pPr>
            <w:r/>
            <w:r>
              <w:rPr>
                <w:rFonts w:ascii="Calibri" w:hAnsi="Calibri"/>
                <w:b/>
                <w:sz w:val="19"/>
              </w:rPr>
              <w:t>Category 7: Surveys and foundational works (5 papers)</w:t>
            </w:r>
          </w:p>
        </w:tc>
      </w:tr>
      <w:tr>
        <w:tc>
          <w:tcPr>
            <w:tcW w:type="dxa" w:w="709"/>
          </w:tcPr>
          <w:p>
            <w:pPr>
              <w:spacing w:after="0" w:before="0"/>
              <w:jc w:val="center"/>
            </w:pPr>
            <w:r/>
            <w:r>
              <w:rPr>
                <w:rFonts w:ascii="Calibri" w:hAnsi="Calibri"/>
                <w:b w:val="0"/>
                <w:sz w:val="16"/>
              </w:rPr>
              <w:t>46</w:t>
            </w:r>
          </w:p>
        </w:tc>
        <w:tc>
          <w:tcPr>
            <w:tcW w:type="dxa" w:w="1871"/>
          </w:tcPr>
          <w:p>
            <w:pPr>
              <w:spacing w:after="0" w:before="0"/>
            </w:pPr>
            <w:r/>
            <w:r>
              <w:rPr>
                <w:rFonts w:ascii="Calibri" w:hAnsi="Calibri"/>
                <w:b w:val="0"/>
                <w:sz w:val="16"/>
              </w:rPr>
              <w:t>Efficient Processing of Deep Neural Networks: A Tutorial and Survey</w:t>
            </w:r>
          </w:p>
        </w:tc>
        <w:tc>
          <w:tcPr>
            <w:tcW w:type="dxa" w:w="1701"/>
          </w:tcPr>
          <w:p>
            <w:pPr>
              <w:spacing w:after="0" w:before="0"/>
            </w:pPr>
            <w:r/>
            <w:r>
              <w:rPr>
                <w:rFonts w:ascii="Calibri" w:hAnsi="Calibri"/>
                <w:b w:val="0"/>
                <w:sz w:val="16"/>
              </w:rPr>
              <w:t>Vivienne Sze, Yu-Hsin Chen, Tien-Ju Yang, Joel S. Emer</w:t>
            </w:r>
          </w:p>
        </w:tc>
        <w:tc>
          <w:tcPr>
            <w:tcW w:type="dxa" w:w="1531"/>
          </w:tcPr>
          <w:p>
            <w:pPr>
              <w:spacing w:after="0" w:before="0"/>
            </w:pPr>
            <w:r/>
            <w:r>
              <w:rPr>
                <w:rFonts w:ascii="Calibri" w:hAnsi="Calibri"/>
                <w:b w:val="0"/>
                <w:sz w:val="16"/>
              </w:rPr>
              <w:t>Proceedings of the IEEE</w:t>
            </w:r>
          </w:p>
        </w:tc>
        <w:tc>
          <w:tcPr>
            <w:tcW w:type="dxa" w:w="1191"/>
          </w:tcPr>
          <w:p>
            <w:pPr>
              <w:spacing w:after="0" w:before="0"/>
            </w:pPr>
            <w:r/>
            <w:r>
              <w:rPr>
                <w:rFonts w:ascii="Calibri" w:hAnsi="Calibri"/>
                <w:b w:val="0"/>
                <w:sz w:val="16"/>
              </w:rPr>
              <w:t>Vol. 105, No. 12, pp. 2295–2329, 2017</w:t>
            </w:r>
          </w:p>
        </w:tc>
        <w:tc>
          <w:tcPr>
            <w:tcW w:type="dxa" w:w="1417"/>
          </w:tcPr>
          <w:p>
            <w:pPr>
              <w:spacing w:after="0" w:before="0"/>
            </w:pPr>
            <w:r/>
            <w:r>
              <w:rPr>
                <w:rFonts w:ascii="Calibri" w:hAnsi="Calibri"/>
                <w:b w:val="0"/>
                <w:sz w:val="16"/>
              </w:rPr>
              <w:t>10.1109/JPROC.2017.2761740</w:t>
            </w:r>
          </w:p>
        </w:tc>
        <w:tc>
          <w:tcPr>
            <w:tcW w:type="dxa" w:w="1843"/>
          </w:tcPr>
          <w:p>
            <w:pPr>
              <w:spacing w:after="0" w:before="0"/>
            </w:pPr>
            <w:r/>
            <w:r>
              <w:rPr>
                <w:rFonts w:ascii="Calibri" w:hAnsi="Calibri"/>
                <w:b w:val="0"/>
                <w:sz w:val="16"/>
              </w:rPr>
              <w:t>Tutorial and survey of DNN processing: DNN basics, hardware platforms, dataflow taxonomy for spatial arrays (weight stationary, output stationary, no local reuse, row stationary), joint HW/algorithm techniques, benchmarking metrics.</w:t>
            </w:r>
            <w:r>
              <w:rPr>
                <w:rFonts w:ascii="Calibri" w:hAnsi="Calibri"/>
                <w:i/>
                <w:sz w:val="14"/>
              </w:rPr>
              <w:t xml:space="preserve"> [Basis: full text]</w:t>
            </w:r>
          </w:p>
        </w:tc>
        <w:tc>
          <w:tcPr>
            <w:tcW w:type="dxa" w:w="1644"/>
          </w:tcPr>
          <w:p>
            <w:pPr>
              <w:spacing w:after="0" w:before="0"/>
            </w:pPr>
            <w:r/>
            <w:r>
              <w:rPr>
                <w:rFonts w:ascii="Calibri" w:hAnsi="Calibri"/>
                <w:b w:val="0"/>
                <w:sz w:val="16"/>
              </w:rPr>
              <w:t>Gives a common vocabulary for dataflows (WS/OS/NLR/RS) with examples such as ShiDianNao for OS, and lists metrics and design considerations for comparing DNN hardware.</w:t>
            </w:r>
          </w:p>
        </w:tc>
        <w:tc>
          <w:tcPr>
            <w:tcW w:type="dxa" w:w="1644"/>
          </w:tcPr>
          <w:p>
            <w:pPr>
              <w:spacing w:after="0" w:before="0"/>
            </w:pPr>
            <w:r/>
            <w:r>
              <w:rPr>
                <w:rFonts w:ascii="Calibri" w:hAnsi="Calibri"/>
                <w:b w:val="0"/>
                <w:sz w:val="16"/>
              </w:rPr>
              <w:t>Tutorial/survey only, no new hardware evaluated; covers literature up to 2017 and focuses mainly on ASIC/spatial architectures rather than FPGA-specific design.</w:t>
            </w:r>
          </w:p>
        </w:tc>
        <w:tc>
          <w:tcPr>
            <w:tcW w:type="dxa" w:w="1587"/>
          </w:tcPr>
          <w:p>
            <w:pPr>
              <w:spacing w:after="0" w:before="0"/>
            </w:pPr>
            <w:r/>
            <w:r>
              <w:rPr>
                <w:rFonts w:ascii="Calibri" w:hAnsi="Calibri"/>
                <w:b w:val="0"/>
                <w:sz w:val="16"/>
              </w:rPr>
              <w:t>Standard reference for the output-stationary dataflow term and the metrics V3 reports; used to frame the OS array choice.</w:t>
            </w:r>
          </w:p>
        </w:tc>
      </w:tr>
      <w:tr>
        <w:tc>
          <w:tcPr>
            <w:tcW w:type="dxa" w:w="709"/>
          </w:tcPr>
          <w:p>
            <w:pPr>
              <w:spacing w:after="0" w:before="0"/>
              <w:jc w:val="center"/>
            </w:pPr>
            <w:r/>
            <w:r>
              <w:rPr>
                <w:rFonts w:ascii="Calibri" w:hAnsi="Calibri"/>
                <w:b w:val="0"/>
                <w:sz w:val="16"/>
              </w:rPr>
              <w:t>47</w:t>
            </w:r>
          </w:p>
        </w:tc>
        <w:tc>
          <w:tcPr>
            <w:tcW w:type="dxa" w:w="1871"/>
          </w:tcPr>
          <w:p>
            <w:pPr>
              <w:spacing w:after="0" w:before="0"/>
            </w:pPr>
            <w:r/>
            <w:r>
              <w:rPr>
                <w:rFonts w:ascii="Calibri" w:hAnsi="Calibri"/>
                <w:b w:val="0"/>
                <w:sz w:val="16"/>
              </w:rPr>
              <w:t>Why systolic architectures?</w:t>
            </w:r>
          </w:p>
        </w:tc>
        <w:tc>
          <w:tcPr>
            <w:tcW w:type="dxa" w:w="1701"/>
          </w:tcPr>
          <w:p>
            <w:pPr>
              <w:spacing w:after="0" w:before="0"/>
            </w:pPr>
            <w:r/>
            <w:r>
              <w:rPr>
                <w:rFonts w:ascii="Calibri" w:hAnsi="Calibri"/>
                <w:b w:val="0"/>
                <w:sz w:val="16"/>
              </w:rPr>
              <w:t>Kung</w:t>
            </w:r>
          </w:p>
        </w:tc>
        <w:tc>
          <w:tcPr>
            <w:tcW w:type="dxa" w:w="1531"/>
          </w:tcPr>
          <w:p>
            <w:pPr>
              <w:spacing w:after="0" w:before="0"/>
            </w:pPr>
            <w:r/>
            <w:r>
              <w:rPr>
                <w:rFonts w:ascii="Calibri" w:hAnsi="Calibri"/>
                <w:b w:val="0"/>
                <w:sz w:val="16"/>
              </w:rPr>
              <w:t>Computer</w:t>
            </w:r>
          </w:p>
        </w:tc>
        <w:tc>
          <w:tcPr>
            <w:tcW w:type="dxa" w:w="1191"/>
          </w:tcPr>
          <w:p>
            <w:pPr>
              <w:spacing w:after="0" w:before="0"/>
            </w:pPr>
            <w:r/>
            <w:r>
              <w:rPr>
                <w:rFonts w:ascii="Calibri" w:hAnsi="Calibri"/>
                <w:b w:val="0"/>
                <w:sz w:val="16"/>
              </w:rPr>
              <w:t>Vol. 15, No. 1, pp. 37–46, 1982</w:t>
            </w:r>
          </w:p>
        </w:tc>
        <w:tc>
          <w:tcPr>
            <w:tcW w:type="dxa" w:w="1417"/>
          </w:tcPr>
          <w:p>
            <w:pPr>
              <w:spacing w:after="0" w:before="0"/>
            </w:pPr>
            <w:r/>
            <w:r>
              <w:rPr>
                <w:rFonts w:ascii="Calibri" w:hAnsi="Calibri"/>
                <w:b w:val="0"/>
                <w:sz w:val="16"/>
              </w:rPr>
              <w:t>10.1109/MC.1982.1653825</w:t>
            </w:r>
          </w:p>
        </w:tc>
        <w:tc>
          <w:tcPr>
            <w:tcW w:type="dxa" w:w="1843"/>
          </w:tcPr>
          <w:p>
            <w:pPr>
              <w:spacing w:after="0" w:before="0"/>
            </w:pPr>
            <w:r/>
            <w:r>
              <w:rPr>
                <w:rFonts w:ascii="Calibri" w:hAnsi="Calibri"/>
                <w:b w:val="0"/>
                <w:sz w:val="16"/>
              </w:rPr>
              <w:t>Introduces the systolic architecture concept: data pulse rhythmically through a regular array of simple PEs so each memory access feeds many operations; discusses balancing computation with I/O and gives a family of systolic designs for convolution.</w:t>
            </w:r>
            <w:r>
              <w:rPr>
                <w:rFonts w:ascii="Calibri" w:hAnsi="Calibri"/>
                <w:i/>
                <w:sz w:val="14"/>
              </w:rPr>
              <w:t xml:space="preserve"> [Basis: full text]</w:t>
            </w:r>
          </w:p>
        </w:tc>
        <w:tc>
          <w:tcPr>
            <w:tcW w:type="dxa" w:w="1644"/>
          </w:tcPr>
          <w:p>
            <w:pPr>
              <w:spacing w:after="0" w:before="0"/>
            </w:pPr>
            <w:r/>
            <w:r>
              <w:rPr>
                <w:rFonts w:ascii="Calibri" w:hAnsi="Calibri"/>
                <w:b w:val="0"/>
                <w:sz w:val="16"/>
              </w:rPr>
              <w:t>Shows how a systolic array raises throughput of compute-bound problems without raising memory bandwidth, using simple, regular, modular cells and local communication.</w:t>
            </w:r>
          </w:p>
        </w:tc>
        <w:tc>
          <w:tcPr>
            <w:tcW w:type="dxa" w:w="1644"/>
          </w:tcPr>
          <w:p>
            <w:pPr>
              <w:spacing w:after="0" w:before="0"/>
            </w:pPr>
            <w:r/>
            <w:r>
              <w:rPr>
                <w:rFonts w:ascii="Calibri" w:hAnsi="Calibri"/>
                <w:b w:val="0"/>
                <w:sz w:val="16"/>
              </w:rPr>
              <w:t>1982 VLSI-era design-principle paper predating DNNs; the examples in the pages read are generic (convolution, FFT, matrix multiplication) rather than CNN layers.</w:t>
            </w:r>
          </w:p>
        </w:tc>
        <w:tc>
          <w:tcPr>
            <w:tcW w:type="dxa" w:w="1587"/>
          </w:tcPr>
          <w:p>
            <w:pPr>
              <w:spacing w:after="0" w:before="0"/>
            </w:pPr>
            <w:r/>
            <w:r>
              <w:rPr>
                <w:rFonts w:ascii="Calibri" w:hAnsi="Calibri"/>
                <w:b w:val="0"/>
                <w:sz w:val="16"/>
              </w:rPr>
              <w:t>Foundational origin of the systolic array that V3's R x C output-stationary array builds on.</w:t>
            </w:r>
          </w:p>
        </w:tc>
      </w:tr>
      <w:tr>
        <w:tc>
          <w:tcPr>
            <w:tcW w:type="dxa" w:w="709"/>
          </w:tcPr>
          <w:p>
            <w:pPr>
              <w:spacing w:after="0" w:before="0"/>
              <w:jc w:val="center"/>
            </w:pPr>
            <w:r/>
            <w:r>
              <w:rPr>
                <w:rFonts w:ascii="Calibri" w:hAnsi="Calibri"/>
                <w:b w:val="0"/>
                <w:sz w:val="16"/>
              </w:rPr>
              <w:t>48</w:t>
            </w:r>
          </w:p>
        </w:tc>
        <w:tc>
          <w:tcPr>
            <w:tcW w:type="dxa" w:w="1871"/>
          </w:tcPr>
          <w:p>
            <w:pPr>
              <w:spacing w:after="0" w:before="0"/>
            </w:pPr>
            <w:r/>
            <w:r>
              <w:rPr>
                <w:rFonts w:ascii="Calibri" w:hAnsi="Calibri"/>
                <w:b w:val="0"/>
                <w:sz w:val="16"/>
              </w:rPr>
              <w:t>Eyeriss: A Spatial Architecture for Energy-Efficient Dataflow for Convolutional Neural Networks</w:t>
            </w:r>
          </w:p>
        </w:tc>
        <w:tc>
          <w:tcPr>
            <w:tcW w:type="dxa" w:w="1701"/>
          </w:tcPr>
          <w:p>
            <w:pPr>
              <w:spacing w:after="0" w:before="0"/>
            </w:pPr>
            <w:r/>
            <w:r>
              <w:rPr>
                <w:rFonts w:ascii="Calibri" w:hAnsi="Calibri"/>
                <w:b w:val="0"/>
                <w:sz w:val="16"/>
              </w:rPr>
              <w:t>Yu-Hsin Chen, Joel Emer, Vivienne Sze</w:t>
            </w:r>
          </w:p>
        </w:tc>
        <w:tc>
          <w:tcPr>
            <w:tcW w:type="dxa" w:w="1531"/>
          </w:tcPr>
          <w:p>
            <w:pPr>
              <w:spacing w:after="0" w:before="0"/>
            </w:pPr>
            <w:r/>
            <w:r>
              <w:rPr>
                <w:rFonts w:ascii="Calibri" w:hAnsi="Calibri"/>
                <w:b w:val="0"/>
                <w:sz w:val="16"/>
              </w:rPr>
              <w:t>2016 ACM/IEEE 43rd Annual International Symposium on Computer Architecture (ISCA)</w:t>
            </w:r>
          </w:p>
        </w:tc>
        <w:tc>
          <w:tcPr>
            <w:tcW w:type="dxa" w:w="1191"/>
          </w:tcPr>
          <w:p>
            <w:pPr>
              <w:spacing w:after="0" w:before="0"/>
            </w:pPr>
            <w:r/>
            <w:r>
              <w:rPr>
                <w:rFonts w:ascii="Calibri" w:hAnsi="Calibri"/>
                <w:b w:val="0"/>
                <w:sz w:val="16"/>
              </w:rPr>
              <w:t>Vol. n/a, No. n/a, pp. 367–379, 2016</w:t>
            </w:r>
          </w:p>
        </w:tc>
        <w:tc>
          <w:tcPr>
            <w:tcW w:type="dxa" w:w="1417"/>
          </w:tcPr>
          <w:p>
            <w:pPr>
              <w:spacing w:after="0" w:before="0"/>
            </w:pPr>
            <w:r/>
            <w:r>
              <w:rPr>
                <w:rFonts w:ascii="Calibri" w:hAnsi="Calibri"/>
                <w:b w:val="0"/>
                <w:sz w:val="16"/>
              </w:rPr>
              <w:t>10.1109/ISCA.2016.40</w:t>
            </w:r>
          </w:p>
        </w:tc>
        <w:tc>
          <w:tcPr>
            <w:tcW w:type="dxa" w:w="1843"/>
          </w:tcPr>
          <w:p>
            <w:pPr>
              <w:spacing w:after="0" w:before="0"/>
            </w:pPr>
            <w:r/>
            <w:r>
              <w:rPr>
                <w:rFonts w:ascii="Calibri" w:hAnsi="Calibri"/>
                <w:b w:val="0"/>
                <w:sz w:val="16"/>
              </w:rPr>
              <w:t>Proposes the row-stationary (RS) dataflow for spatial CNN accelerators and an analysis framework comparing it with existing dataflows under the same hardware area and processing parallelism; validated on a fabricated chip.</w:t>
            </w:r>
            <w:r>
              <w:rPr>
                <w:rFonts w:ascii="Calibri" w:hAnsi="Calibri"/>
                <w:i/>
                <w:sz w:val="14"/>
              </w:rPr>
              <w:t xml:space="preserve"> [Basis: abstract]</w:t>
            </w:r>
          </w:p>
        </w:tc>
        <w:tc>
          <w:tcPr>
            <w:tcW w:type="dxa" w:w="1644"/>
          </w:tcPr>
          <w:p>
            <w:pPr>
              <w:spacing w:after="0" w:before="0"/>
            </w:pPr>
            <w:r/>
            <w:r>
              <w:rPr>
                <w:rFonts w:ascii="Calibri" w:hAnsi="Calibri"/>
                <w:b w:val="0"/>
                <w:sz w:val="16"/>
              </w:rPr>
              <w:t>Reports RS as 1.4x to 2.5x more energy efficient than existing dataflows in CONV layers and at least 1.3x for FC layers at batch size above 16 (AlexNet).</w:t>
            </w:r>
          </w:p>
        </w:tc>
        <w:tc>
          <w:tcPr>
            <w:tcW w:type="dxa" w:w="1644"/>
          </w:tcPr>
          <w:p>
            <w:pPr>
              <w:spacing w:after="0" w:before="0"/>
            </w:pPr>
            <w:r/>
            <w:r>
              <w:rPr>
                <w:rFonts w:ascii="Calibri" w:hAnsi="Calibri"/>
                <w:b w:val="0"/>
                <w:sz w:val="16"/>
              </w:rPr>
              <w:t>Comparison is energy-focused and uses AlexNet configurations; targets an ASIC spatial architecture, not FPGAs; fully connected gains require batching.</w:t>
            </w:r>
          </w:p>
        </w:tc>
        <w:tc>
          <w:tcPr>
            <w:tcW w:type="dxa" w:w="1587"/>
          </w:tcPr>
          <w:p>
            <w:pPr>
              <w:spacing w:after="0" w:before="0"/>
            </w:pPr>
            <w:r/>
            <w:r>
              <w:rPr>
                <w:rFonts w:ascii="Calibri" w:hAnsi="Calibri"/>
                <w:b w:val="0"/>
                <w:sz w:val="16"/>
              </w:rPr>
              <w:t>Defines the dataflow comparison (incl. output stationary) against which V3's OS choice is positioned; contrast (RS vs OS).</w:t>
            </w:r>
          </w:p>
        </w:tc>
      </w:tr>
      <w:tr>
        <w:tc>
          <w:tcPr>
            <w:tcW w:type="dxa" w:w="709"/>
          </w:tcPr>
          <w:p>
            <w:pPr>
              <w:spacing w:after="0" w:before="0"/>
              <w:jc w:val="center"/>
            </w:pPr>
            <w:r/>
            <w:r>
              <w:rPr>
                <w:rFonts w:ascii="Calibri" w:hAnsi="Calibri"/>
                <w:b w:val="0"/>
                <w:sz w:val="16"/>
              </w:rPr>
              <w:t>49</w:t>
            </w:r>
          </w:p>
        </w:tc>
        <w:tc>
          <w:tcPr>
            <w:tcW w:type="dxa" w:w="1871"/>
          </w:tcPr>
          <w:p>
            <w:pPr>
              <w:spacing w:after="0" w:before="0"/>
            </w:pPr>
            <w:r/>
            <w:r>
              <w:rPr>
                <w:rFonts w:ascii="Calibri" w:hAnsi="Calibri"/>
                <w:b w:val="0"/>
                <w:sz w:val="16"/>
              </w:rPr>
              <w:t>In-Datacenter Performance Analysis of a Tensor Processing Unit</w:t>
            </w:r>
          </w:p>
        </w:tc>
        <w:tc>
          <w:tcPr>
            <w:tcW w:type="dxa" w:w="1701"/>
          </w:tcPr>
          <w:p>
            <w:pPr>
              <w:spacing w:after="0" w:before="0"/>
            </w:pPr>
            <w:r/>
            <w:r>
              <w:rPr>
                <w:rFonts w:ascii="Calibri" w:hAnsi="Calibri"/>
                <w:b w:val="0"/>
                <w:sz w:val="16"/>
              </w:rPr>
              <w:t>Norman P. Jouppi, Cliff Young, Nishant Patil, David Patterson, Gaurav Agrawal, Raminder Bajwa, Sarah Bates, Suresh Bhatia, Nan Boden, Al Borchers, Rick Boyle, Pierre-luc Cantin, Clifford Chao, Chris Clark, Jeremy Coriell, Mike Daley, Matt Dau, Jeffrey Dean, Ben Gelb, Tara Vazir Ghaemmaghami, Rajendra Gottipati, William Gulland, Robert Hagmann, C. Richard Ho, Doug Hogberg, John Hu, Robert Hundt, Dan Hurt, Julian Ibarz, Aaron Jaffey, Alek Jaworski, Alexander Kaplan, Harshit Khaitan, Daniel Killebrew, Andy Koch, Naveen Kumar, Steve Lacy, James Laudon, James Law, Diemthu Le, Chris Leary, Zhuyuan Liu, Kyle Lucke, Alan Lundin, Gordon MacKean, Adriana Maggiore, Maire Mahony, Kieran Miller, Rahul Nagarajan, Ravi Narayanaswami, Ray Ni, Kathy Nix, Thomas Norrie, Mark Omernick, Narayana Penukonda, Andy Phelps, Jonathan Ross, Matt Ross, Amir Salek, Emad Samadiani, Chris Severn, Gregory Sizikov, Matthew Snelham, Jed Souter, Dan Steinberg, Andy Swing, Mercedes Tan, Gregory Thorson, Bo Tian, Horia Toma, Erick Tuttle, Vijay Vasudevan, Richard Walter, Walter Wang, Eric Wilcox, Doe Hyun Yoon</w:t>
            </w:r>
          </w:p>
        </w:tc>
        <w:tc>
          <w:tcPr>
            <w:tcW w:type="dxa" w:w="1531"/>
          </w:tcPr>
          <w:p>
            <w:pPr>
              <w:spacing w:after="0" w:before="0"/>
            </w:pPr>
            <w:r/>
            <w:r>
              <w:rPr>
                <w:rFonts w:ascii="Calibri" w:hAnsi="Calibri"/>
                <w:b w:val="0"/>
                <w:sz w:val="16"/>
              </w:rPr>
              <w:t>Proceedings of the 44th Annual International Symposium on Computer Architecture</w:t>
            </w:r>
          </w:p>
        </w:tc>
        <w:tc>
          <w:tcPr>
            <w:tcW w:type="dxa" w:w="1191"/>
          </w:tcPr>
          <w:p>
            <w:pPr>
              <w:spacing w:after="0" w:before="0"/>
            </w:pPr>
            <w:r/>
            <w:r>
              <w:rPr>
                <w:rFonts w:ascii="Calibri" w:hAnsi="Calibri"/>
                <w:b w:val="0"/>
                <w:sz w:val="16"/>
              </w:rPr>
              <w:t>Vol. n/a, No. n/a, pp. 1–12, 2017</w:t>
            </w:r>
          </w:p>
        </w:tc>
        <w:tc>
          <w:tcPr>
            <w:tcW w:type="dxa" w:w="1417"/>
          </w:tcPr>
          <w:p>
            <w:pPr>
              <w:spacing w:after="0" w:before="0"/>
            </w:pPr>
            <w:r/>
            <w:r>
              <w:rPr>
                <w:rFonts w:ascii="Calibri" w:hAnsi="Calibri"/>
                <w:b w:val="0"/>
                <w:sz w:val="16"/>
              </w:rPr>
              <w:t>10.1145/3079856.3080246</w:t>
            </w:r>
          </w:p>
        </w:tc>
        <w:tc>
          <w:tcPr>
            <w:tcW w:type="dxa" w:w="1843"/>
          </w:tcPr>
          <w:p>
            <w:pPr>
              <w:spacing w:after="0" w:before="0"/>
            </w:pPr>
            <w:r/>
            <w:r>
              <w:rPr>
                <w:rFonts w:ascii="Calibri" w:hAnsi="Calibri"/>
                <w:b w:val="0"/>
                <w:sz w:val="16"/>
              </w:rPr>
              <w:t>Evaluates Google's TPU, an inference ASIC with a 65,536 8-bit MAC systolic matrix multiply unit and 28 MiB software-managed on-chip memory, against Haswell CPU and K80 GPU on production MLP, CNN and LSTM workloads.</w:t>
            </w:r>
            <w:r>
              <w:rPr>
                <w:rFonts w:ascii="Calibri" w:hAnsi="Calibri"/>
                <w:i/>
                <w:sz w:val="14"/>
              </w:rPr>
              <w:t xml:space="preserve"> [Basis: full text]</w:t>
            </w:r>
          </w:p>
        </w:tc>
        <w:tc>
          <w:tcPr>
            <w:tcW w:type="dxa" w:w="1644"/>
          </w:tcPr>
          <w:p>
            <w:pPr>
              <w:spacing w:after="0" w:before="0"/>
            </w:pPr>
            <w:r/>
            <w:r>
              <w:rPr>
                <w:rFonts w:ascii="Calibri" w:hAnsi="Calibri"/>
                <w:b w:val="0"/>
                <w:sz w:val="16"/>
              </w:rPr>
              <w:t>Deterministic execution suits 99th-percentile response-time limits (7 ms for MLP0); reports on average about 15X-30X speed and 30X-80X TOPS/Watt over the contemporary GPU/CPU.</w:t>
            </w:r>
          </w:p>
        </w:tc>
        <w:tc>
          <w:tcPr>
            <w:tcW w:type="dxa" w:w="1644"/>
          </w:tcPr>
          <w:p>
            <w:pPr>
              <w:spacing w:after="0" w:before="0"/>
            </w:pPr>
            <w:r/>
            <w:r>
              <w:rPr>
                <w:rFonts w:ascii="Calibri" w:hAnsi="Calibri"/>
                <w:b w:val="0"/>
                <w:sz w:val="16"/>
              </w:rPr>
              <w:t>Datacenter ASIC; utilization is low for some applications, several workloads are memory-bandwidth bound; results are for Google's production workloads only.</w:t>
            </w:r>
          </w:p>
        </w:tc>
        <w:tc>
          <w:tcPr>
            <w:tcW w:type="dxa" w:w="1587"/>
          </w:tcPr>
          <w:p>
            <w:pPr>
              <w:spacing w:after="0" w:before="0"/>
            </w:pPr>
            <w:r/>
            <w:r>
              <w:rPr>
                <w:rFonts w:ascii="Calibri" w:hAnsi="Calibri"/>
                <w:b w:val="0"/>
                <w:sz w:val="16"/>
              </w:rPr>
              <w:t>Closest large-scale precedent for an INT8 systolic array with a deterministic execution model; motivates V3's predictable-latency argument.</w:t>
            </w:r>
          </w:p>
        </w:tc>
      </w:tr>
      <w:tr>
        <w:tc>
          <w:tcPr>
            <w:tcW w:type="dxa" w:w="709"/>
          </w:tcPr>
          <w:p>
            <w:pPr>
              <w:spacing w:after="0" w:before="0"/>
              <w:jc w:val="center"/>
            </w:pPr>
            <w:r/>
            <w:r>
              <w:rPr>
                <w:rFonts w:ascii="Calibri" w:hAnsi="Calibri"/>
                <w:b w:val="0"/>
                <w:sz w:val="16"/>
              </w:rPr>
              <w:t>50</w:t>
            </w:r>
          </w:p>
        </w:tc>
        <w:tc>
          <w:tcPr>
            <w:tcW w:type="dxa" w:w="1871"/>
          </w:tcPr>
          <w:p>
            <w:pPr>
              <w:spacing w:after="0" w:before="0"/>
            </w:pPr>
            <w:r/>
            <w:r>
              <w:rPr>
                <w:rFonts w:ascii="Calibri" w:hAnsi="Calibri"/>
                <w:b w:val="0"/>
                <w:sz w:val="16"/>
              </w:rPr>
              <w:t>[DL] A Survey of FPGA-based Neural Network Inference Accelerators</w:t>
            </w:r>
          </w:p>
        </w:tc>
        <w:tc>
          <w:tcPr>
            <w:tcW w:type="dxa" w:w="1701"/>
          </w:tcPr>
          <w:p>
            <w:pPr>
              <w:spacing w:after="0" w:before="0"/>
            </w:pPr>
            <w:r/>
            <w:r>
              <w:rPr>
                <w:rFonts w:ascii="Calibri" w:hAnsi="Calibri"/>
                <w:b w:val="0"/>
                <w:sz w:val="16"/>
              </w:rPr>
              <w:t>Kaiyuan Guo, Shulin Zeng, Jincheng Yu, Yu Wang, Huazhong Yang</w:t>
            </w:r>
          </w:p>
        </w:tc>
        <w:tc>
          <w:tcPr>
            <w:tcW w:type="dxa" w:w="1531"/>
          </w:tcPr>
          <w:p>
            <w:pPr>
              <w:spacing w:after="0" w:before="0"/>
            </w:pPr>
            <w:r/>
            <w:r>
              <w:rPr>
                <w:rFonts w:ascii="Calibri" w:hAnsi="Calibri"/>
                <w:b w:val="0"/>
                <w:sz w:val="16"/>
              </w:rPr>
              <w:t>ACM Transactions on Reconfigurable Technology and Systems</w:t>
            </w:r>
          </w:p>
        </w:tc>
        <w:tc>
          <w:tcPr>
            <w:tcW w:type="dxa" w:w="1191"/>
          </w:tcPr>
          <w:p>
            <w:pPr>
              <w:spacing w:after="0" w:before="0"/>
            </w:pPr>
            <w:r/>
            <w:r>
              <w:rPr>
                <w:rFonts w:ascii="Calibri" w:hAnsi="Calibri"/>
                <w:b w:val="0"/>
                <w:sz w:val="16"/>
              </w:rPr>
              <w:t>Vol. 12, No. 1, pp. 1–26, 2019</w:t>
            </w:r>
          </w:p>
        </w:tc>
        <w:tc>
          <w:tcPr>
            <w:tcW w:type="dxa" w:w="1417"/>
          </w:tcPr>
          <w:p>
            <w:pPr>
              <w:spacing w:after="0" w:before="0"/>
            </w:pPr>
            <w:r/>
            <w:r>
              <w:rPr>
                <w:rFonts w:ascii="Calibri" w:hAnsi="Calibri"/>
                <w:b w:val="0"/>
                <w:sz w:val="16"/>
              </w:rPr>
              <w:t>10.1145/3289185</w:t>
            </w:r>
          </w:p>
        </w:tc>
        <w:tc>
          <w:tcPr>
            <w:tcW w:type="dxa" w:w="1843"/>
          </w:tcPr>
          <w:p>
            <w:pPr>
              <w:spacing w:after="0" w:before="0"/>
            </w:pPr>
            <w:r/>
            <w:r>
              <w:rPr>
                <w:rFonts w:ascii="Calibri" w:hAnsi="Calibri"/>
                <w:b w:val="0"/>
                <w:sz w:val="16"/>
              </w:rPr>
              <w:t>Surveys FPGA-based neural network inference accelerators from software to hardware and circuit to system level: design methodology and criteria, hardware-oriented model compression (quantization, pruning, low rank), hardware design and design automation.</w:t>
            </w:r>
            <w:r>
              <w:rPr>
                <w:rFonts w:ascii="Calibri" w:hAnsi="Calibri"/>
                <w:i/>
                <w:sz w:val="14"/>
              </w:rPr>
              <w:t xml:space="preserve"> [Basis: full text]</w:t>
            </w:r>
          </w:p>
        </w:tc>
        <w:tc>
          <w:tcPr>
            <w:tcW w:type="dxa" w:w="1644"/>
          </w:tcPr>
          <w:p>
            <w:pPr>
              <w:spacing w:after="0" w:before="0"/>
            </w:pPr>
            <w:r/>
            <w:r>
              <w:rPr>
                <w:rFonts w:ascii="Calibri" w:hAnsi="Calibri"/>
                <w:b w:val="0"/>
                <w:sz w:val="16"/>
              </w:rPr>
              <w:t>Summarises main techniques and compares published designs; concludes that with software-hardware co-design FPGAs can reach more than 10x better speed and energy efficiency than a state-of-the-art GPU.</w:t>
            </w:r>
          </w:p>
        </w:tc>
        <w:tc>
          <w:tcPr>
            <w:tcW w:type="dxa" w:w="1644"/>
          </w:tcPr>
          <w:p>
            <w:pPr>
              <w:spacing w:after="0" w:before="0"/>
            </w:pPr>
            <w:r/>
            <w:r>
              <w:rPr>
                <w:rFonts w:ascii="Calibri" w:hAnsi="Calibri"/>
                <w:b w:val="0"/>
                <w:sz w:val="16"/>
              </w:rPr>
              <w:t>Survey of designs up to 2018; authors note a gap between designs and estimates, accuracy limits of very narrow bit-widths, and difficulty of scaling up designs.</w:t>
            </w:r>
          </w:p>
        </w:tc>
        <w:tc>
          <w:tcPr>
            <w:tcW w:type="dxa" w:w="1587"/>
          </w:tcPr>
          <w:p>
            <w:pPr>
              <w:spacing w:after="0" w:before="0"/>
            </w:pPr>
            <w:r/>
            <w:r>
              <w:rPr>
                <w:rFonts w:ascii="Calibri" w:hAnsi="Calibri"/>
                <w:b w:val="0"/>
                <w:sz w:val="16"/>
              </w:rPr>
              <w:t>Main FPGA-specific survey to place V3 among FPGA CNN accelerators (quantization, on-chip memory, automation).</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cs="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