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Segoe UI" w:hAnsi="Segoe UI"/>
          <w:b/>
          <w:color w:val="1E3A8A"/>
          <w:sz w:val="64"/>
        </w:rPr>
        <w:t>SPENDSAGE</w:t>
      </w:r>
    </w:p>
    <w:p>
      <w:pPr>
        <w:spacing w:before="0" w:after="160"/>
        <w:jc w:val="center"/>
      </w:pPr>
      <w:r>
        <w:rPr>
          <w:rFonts w:ascii="Segoe UI" w:hAnsi="Segoe UI"/>
          <w:color w:val="4F46E5"/>
          <w:sz w:val="28"/>
        </w:rPr>
        <w:t>Enterprise Personal Finance &amp; Wealth Intelligence Platform</w:t>
      </w:r>
    </w:p>
    <w:p>
      <w:pPr>
        <w:spacing w:before="0" w:after="400"/>
        <w:jc w:val="center"/>
      </w:pPr>
      <w:r>
        <w:rPr>
          <w:rFonts w:ascii="Calibri" w:hAnsi="Calibri"/>
          <w:i/>
          <w:color w:val="64748B"/>
          <w:sz w:val="20"/>
        </w:rPr>
        <w:t>Full-Stack MERN Architecture | TypeScript | Cloud MongoDB Atlas | Rupee (₹) Localized</w:t>
      </w:r>
    </w:p>
    <w:tbl>
      <w:tblPr>
        <w:tblW w:type="auto" w:w="0"/>
        <w:jc w:val="center"/>
        <w:tblLayout w:type="fixed"/>
        <w:tblLook w:firstColumn="1" w:firstRow="1" w:lastColumn="0" w:lastRow="0" w:noHBand="0" w:noVBand="1" w:val="04A0"/>
      </w:tblPr>
      <w:tblGrid>
        <w:gridCol w:w="3168"/>
        <w:gridCol w:w="6192"/>
      </w:tblGrid>
      <w:tr>
        <w:tc>
          <w:tcPr>
            <w:tcW w:type="dxa" w:w="4680"/>
            <w:vAlign w:val="center"/>
            <w:tcMar>
              <w:top w:w="100" w:type="dxa"/>
              <w:bottom w:w="100" w:type="dxa"/>
              <w:left w:w="140" w:type="dxa"/>
              <w:right w:w="140" w:type="dxa"/>
            </w:tcMar>
            <w:shd w:val="clear" w:color="auto" w:fill="1E3A8A"/>
          </w:tcPr>
          <w:p>
            <w:pPr>
              <w:jc w:val="left"/>
            </w:pPr>
            <w:r>
              <w:rPr>
                <w:rFonts w:ascii="Calibri" w:hAnsi="Calibri"/>
                <w:b/>
                <w:color w:val="FFFFFF"/>
                <w:sz w:val="20"/>
              </w:rPr>
              <w:t>Project Name</w:t>
            </w:r>
          </w:p>
        </w:tc>
        <w:tc>
          <w:tcPr>
            <w:tcW w:type="dxa" w:w="4680"/>
            <w:vAlign w:val="center"/>
            <w:tcMar>
              <w:top w:w="100" w:type="dxa"/>
              <w:bottom w:w="100" w:type="dxa"/>
              <w:left w:w="140" w:type="dxa"/>
              <w:right w:w="140" w:type="dxa"/>
            </w:tcMar>
            <w:shd w:val="clear" w:color="auto" w:fill="1E3A8A"/>
          </w:tcPr>
          <w:p>
            <w:pPr>
              <w:jc w:val="left"/>
            </w:pPr>
            <w:r>
              <w:rPr>
                <w:rFonts w:ascii="Calibri" w:hAnsi="Calibri"/>
                <w:b/>
                <w:color w:val="FFFFFF"/>
                <w:sz w:val="20"/>
              </w:rPr>
              <w:t>SpendSage Personal Finance Management</w:t>
            </w:r>
          </w:p>
        </w:tc>
      </w:tr>
      <w:tr>
        <w:tc>
          <w:tcPr>
            <w:tcW w:type="dxa" w:w="4680"/>
            <w:vAlign w:val="center"/>
            <w:tcMar>
              <w:top w:w="100" w:type="dxa"/>
              <w:bottom w:w="100" w:type="dxa"/>
              <w:left w:w="140" w:type="dxa"/>
              <w:right w:w="140" w:type="dxa"/>
            </w:tcMar>
            <w:shd w:val="clear" w:color="auto" w:fill="FFFFFF"/>
          </w:tcPr>
          <w:p>
            <w:r>
              <w:rPr>
                <w:rFonts w:ascii="Calibri" w:hAnsi="Calibri"/>
                <w:color w:val="334155"/>
                <w:sz w:val="19"/>
              </w:rPr>
              <w:t>Developer / Repository</w:t>
            </w:r>
          </w:p>
        </w:tc>
        <w:tc>
          <w:tcPr>
            <w:tcW w:type="dxa" w:w="4680"/>
            <w:vAlign w:val="center"/>
            <w:tcMar>
              <w:top w:w="100" w:type="dxa"/>
              <w:bottom w:w="100" w:type="dxa"/>
              <w:left w:w="140" w:type="dxa"/>
              <w:right w:w="140" w:type="dxa"/>
            </w:tcMar>
            <w:shd w:val="clear" w:color="auto" w:fill="FFFFFF"/>
          </w:tcPr>
          <w:p>
            <w:r>
              <w:rPr>
                <w:rFonts w:ascii="Calibri" w:hAnsi="Calibri"/>
                <w:color w:val="334155"/>
                <w:sz w:val="19"/>
              </w:rPr>
              <w:t>Shashank Upadhyay (ShashankUpadhyay45/ExpenseTrackerApp)</w:t>
            </w:r>
          </w:p>
        </w:tc>
      </w:tr>
      <w:tr>
        <w:tc>
          <w:tcPr>
            <w:tcW w:type="dxa" w:w="4680"/>
            <w:vAlign w:val="center"/>
            <w:tcMar>
              <w:top w:w="100" w:type="dxa"/>
              <w:bottom w:w="100" w:type="dxa"/>
              <w:left w:w="140" w:type="dxa"/>
              <w:right w:w="140" w:type="dxa"/>
            </w:tcMar>
            <w:shd w:val="clear" w:color="auto" w:fill="F1F5F9"/>
          </w:tcPr>
          <w:p>
            <w:r>
              <w:rPr>
                <w:rFonts w:ascii="Calibri" w:hAnsi="Calibri"/>
                <w:color w:val="334155"/>
                <w:sz w:val="19"/>
              </w:rPr>
              <w:t>Stack &amp; Technology</w:t>
            </w:r>
          </w:p>
        </w:tc>
        <w:tc>
          <w:tcPr>
            <w:tcW w:type="dxa" w:w="4680"/>
            <w:vAlign w:val="center"/>
            <w:tcMar>
              <w:top w:w="100" w:type="dxa"/>
              <w:bottom w:w="100" w:type="dxa"/>
              <w:left w:w="140" w:type="dxa"/>
              <w:right w:w="140" w:type="dxa"/>
            </w:tcMar>
            <w:shd w:val="clear" w:color="auto" w:fill="F1F5F9"/>
          </w:tcPr>
          <w:p>
            <w:r>
              <w:rPr>
                <w:rFonts w:ascii="Calibri" w:hAnsi="Calibri"/>
                <w:color w:val="334155"/>
                <w:sz w:val="19"/>
              </w:rPr>
              <w:t>React 18, Vite, TypeScript, Tailwind CSS, Node.js, Express, MongoDB Atlas</w:t>
            </w:r>
          </w:p>
        </w:tc>
      </w:tr>
      <w:tr>
        <w:tc>
          <w:tcPr>
            <w:tcW w:type="dxa" w:w="4680"/>
            <w:vAlign w:val="center"/>
            <w:tcMar>
              <w:top w:w="100" w:type="dxa"/>
              <w:bottom w:w="100" w:type="dxa"/>
              <w:left w:w="140" w:type="dxa"/>
              <w:right w:w="140" w:type="dxa"/>
            </w:tcMar>
            <w:shd w:val="clear" w:color="auto" w:fill="FFFFFF"/>
          </w:tcPr>
          <w:p>
            <w:r>
              <w:rPr>
                <w:rFonts w:ascii="Calibri" w:hAnsi="Calibri"/>
                <w:color w:val="334155"/>
                <w:sz w:val="19"/>
              </w:rPr>
              <w:t>Document Version &amp; Date</w:t>
            </w:r>
          </w:p>
        </w:tc>
        <w:tc>
          <w:tcPr>
            <w:tcW w:type="dxa" w:w="4680"/>
            <w:vAlign w:val="center"/>
            <w:tcMar>
              <w:top w:w="100" w:type="dxa"/>
              <w:bottom w:w="100" w:type="dxa"/>
              <w:left w:w="140" w:type="dxa"/>
              <w:right w:w="140" w:type="dxa"/>
            </w:tcMar>
            <w:shd w:val="clear" w:color="auto" w:fill="FFFFFF"/>
          </w:tcPr>
          <w:p>
            <w:r>
              <w:rPr>
                <w:rFonts w:ascii="Calibri" w:hAnsi="Calibri"/>
                <w:color w:val="334155"/>
                <w:sz w:val="19"/>
              </w:rPr>
              <w:t>Version 1.0.0 Production Release | September 2026</w:t>
            </w:r>
          </w:p>
        </w:tc>
      </w:tr>
    </w:tbl>
    <w:p/>
    <w:p>
      <w:pPr>
        <w:pStyle w:val="Heading1"/>
      </w:pPr>
      <w:r>
        <w:rPr>
          <w:rFonts w:ascii="Segoe UI" w:hAnsi="Segoe UI"/>
          <w:color w:val="1E3A8A"/>
        </w:rPr>
        <w:t>1. Executive Summary &amp; Vision</w:t>
      </w:r>
    </w:p>
    <w:p>
      <w:r>
        <w:t>SpendSage is an enterprise-grade, intelligent personal financial operating system engineered to deliver end-to-end financial visibility, budget discipline, recurring expense tracking, and predictive wealth advisory. Transformed from a static legacy prototype into a high-performance MERN (MongoDB Atlas, Express.js, React 18, Node.js) single-page platform built end-to-end in TypeScript, SpendSage bridges the gap between everyday expense logging and automated wealth intelligence.</w:t>
      </w:r>
    </w:p>
    <w:tbl>
      <w:tblPr>
        <w:tblW w:type="auto" w:w="0"/>
        <w:jc w:val="center"/>
        <w:tblLayout w:type="fixed"/>
        <w:tblLook w:firstColumn="1" w:firstRow="1" w:lastColumn="0" w:lastRow="0" w:noHBand="0" w:noVBand="1" w:val="04A0"/>
      </w:tblPr>
      <w:tblGrid>
        <w:gridCol w:w="9360"/>
      </w:tblGrid>
      <w:tr>
        <w:tc>
          <w:tcPr>
            <w:tcW w:type="dxa" w:w="9360"/>
            <w:shd w:val="clear" w:color="auto" w:fill="EEF2FF"/>
            <w:tcMar>
              <w:top w:w="140" w:type="dxa"/>
              <w:bottom w:w="140" w:type="dxa"/>
              <w:left w:w="200" w:type="dxa"/>
              <w:right w:w="200" w:type="dxa"/>
            </w:tcMar>
            <w:tcBorders>
              <w:left w:val="single" w:sz="24" w:space="0" w:color="4F46E5"/>
              <w:top w:val="none"/>
              <w:bottom w:val="none"/>
              <w:right w:val="none"/>
            </w:tcBorders>
          </w:tcPr>
          <w:p>
            <w:pPr>
              <w:spacing w:before="40" w:after="80"/>
            </w:pPr>
            <w:r>
              <w:rPr>
                <w:rFonts w:ascii="Calibri" w:hAnsi="Calibri"/>
                <w:b/>
                <w:color w:val="4338CA"/>
                <w:sz w:val="21"/>
              </w:rPr>
              <w:t xml:space="preserve">📌 CORE VALUE PROPOSITION: </w:t>
            </w:r>
            <w:r>
              <w:rPr>
                <w:rFonts w:ascii="Calibri" w:hAnsi="Calibri"/>
                <w:color w:val="1E1B4B"/>
                <w:sz w:val="21"/>
              </w:rPr>
              <w:t>SpendSage defaults out-of-the-box to Indian Rupees (₹) with native Lakh/Crore grouping (en-IN), a complete Indian banking and UPI demo dataset for Aarav Sharma, and an interactive Ask Sage AI financial advisor.</w:t>
            </w:r>
          </w:p>
        </w:tc>
      </w:tr>
    </w:tbl>
    <w:p>
      <w:pPr>
        <w:spacing w:before="0" w:after="80"/>
      </w:pPr>
    </w:p>
    <w:p>
      <w:pPr>
        <w:pStyle w:val="Heading1"/>
      </w:pPr>
      <w:r>
        <w:rPr>
          <w:rFonts w:ascii="Segoe UI" w:hAnsi="Segoe UI"/>
          <w:color w:val="1E3A8A"/>
        </w:rPr>
        <w:t>2. System Architecture &amp; Engineering Stack</w:t>
      </w:r>
    </w:p>
    <w:p>
      <w:r>
        <w:t>The SpendSage ecosystem is structured with a decoupled client-server architecture, prioritizing strict type safety, zero runtime schema discrepancies, robust token-based authentication, and modular micro-services.</w:t>
      </w:r>
    </w:p>
    <w:tbl>
      <w:tblPr>
        <w:tblW w:type="auto" w:w="0"/>
        <w:jc w:val="center"/>
        <w:tblLayout w:type="fixed"/>
        <w:tblLook w:firstColumn="1" w:firstRow="1" w:lastColumn="0" w:lastRow="0" w:noHBand="0" w:noVBand="1" w:val="04A0"/>
      </w:tblPr>
      <w:tblGrid>
        <w:gridCol w:w="2592"/>
        <w:gridCol w:w="3168"/>
        <w:gridCol w:w="3600"/>
      </w:tblGrid>
      <w:tr>
        <w:tc>
          <w:tcPr>
            <w:tcW w:type="dxa" w:w="3120"/>
            <w:vAlign w:val="center"/>
            <w:tcMar>
              <w:top w:w="100" w:type="dxa"/>
              <w:bottom w:w="100" w:type="dxa"/>
              <w:left w:w="140" w:type="dxa"/>
              <w:right w:w="140" w:type="dxa"/>
            </w:tcMar>
            <w:shd w:val="clear" w:color="auto" w:fill="312E81"/>
          </w:tcPr>
          <w:p>
            <w:pPr>
              <w:jc w:val="left"/>
            </w:pPr>
            <w:r>
              <w:rPr>
                <w:rFonts w:ascii="Calibri" w:hAnsi="Calibri"/>
                <w:b/>
                <w:color w:val="FFFFFF"/>
                <w:sz w:val="20"/>
              </w:rPr>
              <w:t>Layer</w:t>
            </w:r>
          </w:p>
        </w:tc>
        <w:tc>
          <w:tcPr>
            <w:tcW w:type="dxa" w:w="3120"/>
            <w:vAlign w:val="center"/>
            <w:tcMar>
              <w:top w:w="100" w:type="dxa"/>
              <w:bottom w:w="100" w:type="dxa"/>
              <w:left w:w="140" w:type="dxa"/>
              <w:right w:w="140" w:type="dxa"/>
            </w:tcMar>
            <w:shd w:val="clear" w:color="auto" w:fill="312E81"/>
          </w:tcPr>
          <w:p>
            <w:pPr>
              <w:jc w:val="left"/>
            </w:pPr>
            <w:r>
              <w:rPr>
                <w:rFonts w:ascii="Calibri" w:hAnsi="Calibri"/>
                <w:b/>
                <w:color w:val="FFFFFF"/>
                <w:sz w:val="20"/>
              </w:rPr>
              <w:t>Technology</w:t>
            </w:r>
          </w:p>
        </w:tc>
        <w:tc>
          <w:tcPr>
            <w:tcW w:type="dxa" w:w="3120"/>
            <w:vAlign w:val="center"/>
            <w:tcMar>
              <w:top w:w="100" w:type="dxa"/>
              <w:bottom w:w="100" w:type="dxa"/>
              <w:left w:w="140" w:type="dxa"/>
              <w:right w:w="140" w:type="dxa"/>
            </w:tcMar>
            <w:shd w:val="clear" w:color="auto" w:fill="312E81"/>
          </w:tcPr>
          <w:p>
            <w:pPr>
              <w:jc w:val="left"/>
            </w:pPr>
            <w:r>
              <w:rPr>
                <w:rFonts w:ascii="Calibri" w:hAnsi="Calibri"/>
                <w:b/>
                <w:color w:val="FFFFFF"/>
                <w:sz w:val="20"/>
              </w:rPr>
              <w:t>Key Responsibilities</w:t>
            </w:r>
          </w:p>
        </w:tc>
      </w:tr>
      <w:tr>
        <w:tc>
          <w:tcPr>
            <w:tcW w:type="dxa" w:w="3120"/>
            <w:vAlign w:val="center"/>
            <w:tcMar>
              <w:top w:w="100" w:type="dxa"/>
              <w:bottom w:w="100" w:type="dxa"/>
              <w:left w:w="140" w:type="dxa"/>
              <w:right w:w="140" w:type="dxa"/>
            </w:tcMar>
            <w:shd w:val="clear" w:color="auto" w:fill="FFFFFF"/>
          </w:tcPr>
          <w:p>
            <w:r>
              <w:rPr>
                <w:rFonts w:ascii="Calibri" w:hAnsi="Calibri"/>
                <w:color w:val="334155"/>
                <w:sz w:val="19"/>
              </w:rPr>
              <w:t>Frontend Client</w:t>
            </w:r>
          </w:p>
        </w:tc>
        <w:tc>
          <w:tcPr>
            <w:tcW w:type="dxa" w:w="3120"/>
            <w:vAlign w:val="center"/>
            <w:tcMar>
              <w:top w:w="100" w:type="dxa"/>
              <w:bottom w:w="100" w:type="dxa"/>
              <w:left w:w="140" w:type="dxa"/>
              <w:right w:w="140" w:type="dxa"/>
            </w:tcMar>
            <w:shd w:val="clear" w:color="auto" w:fill="FFFFFF"/>
          </w:tcPr>
          <w:p>
            <w:r>
              <w:rPr>
                <w:rFonts w:ascii="Calibri" w:hAnsi="Calibri"/>
                <w:color w:val="334155"/>
                <w:sz w:val="19"/>
              </w:rPr>
              <w:t>React 18 + Vite + TypeScript</w:t>
            </w:r>
          </w:p>
        </w:tc>
        <w:tc>
          <w:tcPr>
            <w:tcW w:type="dxa" w:w="3120"/>
            <w:vAlign w:val="center"/>
            <w:tcMar>
              <w:top w:w="100" w:type="dxa"/>
              <w:bottom w:w="100" w:type="dxa"/>
              <w:left w:w="140" w:type="dxa"/>
              <w:right w:w="140" w:type="dxa"/>
            </w:tcMar>
            <w:shd w:val="clear" w:color="auto" w:fill="FFFFFF"/>
          </w:tcPr>
          <w:p>
            <w:r>
              <w:rPr>
                <w:rFonts w:ascii="Calibri" w:hAnsi="Calibri"/>
                <w:color w:val="334155"/>
                <w:sz w:val="19"/>
              </w:rPr>
              <w:t>High-performance SPA with fast HMR, dynamic client routing, and responsive layouts.</w:t>
            </w:r>
          </w:p>
        </w:tc>
      </w:tr>
      <w:tr>
        <w:tc>
          <w:tcPr>
            <w:tcW w:type="dxa" w:w="3120"/>
            <w:vAlign w:val="center"/>
            <w:tcMar>
              <w:top w:w="100" w:type="dxa"/>
              <w:bottom w:w="100" w:type="dxa"/>
              <w:left w:w="140" w:type="dxa"/>
              <w:right w:w="140" w:type="dxa"/>
            </w:tcMar>
            <w:shd w:val="clear" w:color="auto" w:fill="F8FAFC"/>
          </w:tcPr>
          <w:p>
            <w:r>
              <w:rPr>
                <w:rFonts w:ascii="Calibri" w:hAnsi="Calibri"/>
                <w:color w:val="334155"/>
                <w:sz w:val="19"/>
              </w:rPr>
              <w:t>Design System</w:t>
            </w:r>
          </w:p>
        </w:tc>
        <w:tc>
          <w:tcPr>
            <w:tcW w:type="dxa" w:w="3120"/>
            <w:vAlign w:val="center"/>
            <w:tcMar>
              <w:top w:w="100" w:type="dxa"/>
              <w:bottom w:w="100" w:type="dxa"/>
              <w:left w:w="140" w:type="dxa"/>
              <w:right w:w="140" w:type="dxa"/>
            </w:tcMar>
            <w:shd w:val="clear" w:color="auto" w:fill="F8FAFC"/>
          </w:tcPr>
          <w:p>
            <w:r>
              <w:rPr>
                <w:rFonts w:ascii="Calibri" w:hAnsi="Calibri"/>
                <w:color w:val="334155"/>
                <w:sz w:val="19"/>
              </w:rPr>
              <w:t>Tailwind CSS + Lucide Icons</w:t>
            </w:r>
          </w:p>
        </w:tc>
        <w:tc>
          <w:tcPr>
            <w:tcW w:type="dxa" w:w="3120"/>
            <w:vAlign w:val="center"/>
            <w:tcMar>
              <w:top w:w="100" w:type="dxa"/>
              <w:bottom w:w="100" w:type="dxa"/>
              <w:left w:w="140" w:type="dxa"/>
              <w:right w:w="140" w:type="dxa"/>
            </w:tcMar>
            <w:shd w:val="clear" w:color="auto" w:fill="F8FAFC"/>
          </w:tcPr>
          <w:p>
            <w:r>
              <w:rPr>
                <w:rFonts w:ascii="Calibri" w:hAnsi="Calibri"/>
                <w:color w:val="334155"/>
                <w:sz w:val="19"/>
              </w:rPr>
              <w:t>Custom accessible design system, dark/light theme tokens, and animated state transitions.</w:t>
            </w:r>
          </w:p>
        </w:tc>
      </w:tr>
      <w:tr>
        <w:tc>
          <w:tcPr>
            <w:tcW w:type="dxa" w:w="3120"/>
            <w:vAlign w:val="center"/>
            <w:tcMar>
              <w:top w:w="100" w:type="dxa"/>
              <w:bottom w:w="100" w:type="dxa"/>
              <w:left w:w="140" w:type="dxa"/>
              <w:right w:w="140" w:type="dxa"/>
            </w:tcMar>
            <w:shd w:val="clear" w:color="auto" w:fill="FFFFFF"/>
          </w:tcPr>
          <w:p>
            <w:r>
              <w:rPr>
                <w:rFonts w:ascii="Calibri" w:hAnsi="Calibri"/>
                <w:color w:val="334155"/>
                <w:sz w:val="19"/>
              </w:rPr>
              <w:t>Data Visualizations</w:t>
            </w:r>
          </w:p>
        </w:tc>
        <w:tc>
          <w:tcPr>
            <w:tcW w:type="dxa" w:w="3120"/>
            <w:vAlign w:val="center"/>
            <w:tcMar>
              <w:top w:w="100" w:type="dxa"/>
              <w:bottom w:w="100" w:type="dxa"/>
              <w:left w:w="140" w:type="dxa"/>
              <w:right w:w="140" w:type="dxa"/>
            </w:tcMar>
            <w:shd w:val="clear" w:color="auto" w:fill="FFFFFF"/>
          </w:tcPr>
          <w:p>
            <w:r>
              <w:rPr>
                <w:rFonts w:ascii="Calibri" w:hAnsi="Calibri"/>
                <w:color w:val="334155"/>
                <w:sz w:val="19"/>
              </w:rPr>
              <w:t>Recharts (SVG Engine)</w:t>
            </w:r>
          </w:p>
        </w:tc>
        <w:tc>
          <w:tcPr>
            <w:tcW w:type="dxa" w:w="3120"/>
            <w:vAlign w:val="center"/>
            <w:tcMar>
              <w:top w:w="100" w:type="dxa"/>
              <w:bottom w:w="100" w:type="dxa"/>
              <w:left w:w="140" w:type="dxa"/>
              <w:right w:w="140" w:type="dxa"/>
            </w:tcMar>
            <w:shd w:val="clear" w:color="auto" w:fill="FFFFFF"/>
          </w:tcPr>
          <w:p>
            <w:r>
              <w:rPr>
                <w:rFonts w:ascii="Calibri" w:hAnsi="Calibri"/>
                <w:color w:val="334155"/>
                <w:sz w:val="19"/>
              </w:rPr>
              <w:t>Interactive Income vs. Expense Area Charts, Category Donut Breakdown, Cash Flow trends.</w:t>
            </w:r>
          </w:p>
        </w:tc>
      </w:tr>
      <w:tr>
        <w:tc>
          <w:tcPr>
            <w:tcW w:type="dxa" w:w="3120"/>
            <w:vAlign w:val="center"/>
            <w:tcMar>
              <w:top w:w="100" w:type="dxa"/>
              <w:bottom w:w="100" w:type="dxa"/>
              <w:left w:w="140" w:type="dxa"/>
              <w:right w:w="140" w:type="dxa"/>
            </w:tcMar>
            <w:shd w:val="clear" w:color="auto" w:fill="F8FAFC"/>
          </w:tcPr>
          <w:p>
            <w:r>
              <w:rPr>
                <w:rFonts w:ascii="Calibri" w:hAnsi="Calibri"/>
                <w:color w:val="334155"/>
                <w:sz w:val="19"/>
              </w:rPr>
              <w:t>Backend Server</w:t>
            </w:r>
          </w:p>
        </w:tc>
        <w:tc>
          <w:tcPr>
            <w:tcW w:type="dxa" w:w="3120"/>
            <w:vAlign w:val="center"/>
            <w:tcMar>
              <w:top w:w="100" w:type="dxa"/>
              <w:bottom w:w="100" w:type="dxa"/>
              <w:left w:w="140" w:type="dxa"/>
              <w:right w:w="140" w:type="dxa"/>
            </w:tcMar>
            <w:shd w:val="clear" w:color="auto" w:fill="F8FAFC"/>
          </w:tcPr>
          <w:p>
            <w:r>
              <w:rPr>
                <w:rFonts w:ascii="Calibri" w:hAnsi="Calibri"/>
                <w:color w:val="334155"/>
                <w:sz w:val="19"/>
              </w:rPr>
              <w:t>Node.js + Express + TypeScript</w:t>
            </w:r>
          </w:p>
        </w:tc>
        <w:tc>
          <w:tcPr>
            <w:tcW w:type="dxa" w:w="3120"/>
            <w:vAlign w:val="center"/>
            <w:tcMar>
              <w:top w:w="100" w:type="dxa"/>
              <w:bottom w:w="100" w:type="dxa"/>
              <w:left w:w="140" w:type="dxa"/>
              <w:right w:w="140" w:type="dxa"/>
            </w:tcMar>
            <w:shd w:val="clear" w:color="auto" w:fill="F8FAFC"/>
          </w:tcPr>
          <w:p>
            <w:r>
              <w:rPr>
                <w:rFonts w:ascii="Calibri" w:hAnsi="Calibri"/>
                <w:color w:val="334155"/>
                <w:sz w:val="19"/>
              </w:rPr>
              <w:t>RESTful API services, rate-limited routers, JWT auth middleware, and PDF/CSV generator.</w:t>
            </w:r>
          </w:p>
        </w:tc>
      </w:tr>
      <w:tr>
        <w:tc>
          <w:tcPr>
            <w:tcW w:type="dxa" w:w="3120"/>
            <w:vAlign w:val="center"/>
            <w:tcMar>
              <w:top w:w="100" w:type="dxa"/>
              <w:bottom w:w="100" w:type="dxa"/>
              <w:left w:w="140" w:type="dxa"/>
              <w:right w:w="140" w:type="dxa"/>
            </w:tcMar>
            <w:shd w:val="clear" w:color="auto" w:fill="FFFFFF"/>
          </w:tcPr>
          <w:p>
            <w:r>
              <w:rPr>
                <w:rFonts w:ascii="Calibri" w:hAnsi="Calibri"/>
                <w:color w:val="334155"/>
                <w:sz w:val="19"/>
              </w:rPr>
              <w:t>Database Tier</w:t>
            </w:r>
          </w:p>
        </w:tc>
        <w:tc>
          <w:tcPr>
            <w:tcW w:type="dxa" w:w="3120"/>
            <w:vAlign w:val="center"/>
            <w:tcMar>
              <w:top w:w="100" w:type="dxa"/>
              <w:bottom w:w="100" w:type="dxa"/>
              <w:left w:w="140" w:type="dxa"/>
              <w:right w:w="140" w:type="dxa"/>
            </w:tcMar>
            <w:shd w:val="clear" w:color="auto" w:fill="FFFFFF"/>
          </w:tcPr>
          <w:p>
            <w:r>
              <w:rPr>
                <w:rFonts w:ascii="Calibri" w:hAnsi="Calibri"/>
                <w:color w:val="334155"/>
                <w:sz w:val="19"/>
              </w:rPr>
              <w:t>MongoDB Atlas (Cloud Cluster)</w:t>
            </w:r>
          </w:p>
        </w:tc>
        <w:tc>
          <w:tcPr>
            <w:tcW w:type="dxa" w:w="3120"/>
            <w:vAlign w:val="center"/>
            <w:tcMar>
              <w:top w:w="100" w:type="dxa"/>
              <w:bottom w:w="100" w:type="dxa"/>
              <w:left w:w="140" w:type="dxa"/>
              <w:right w:w="140" w:type="dxa"/>
            </w:tcMar>
            <w:shd w:val="clear" w:color="auto" w:fill="FFFFFF"/>
          </w:tcPr>
          <w:p>
            <w:r>
              <w:rPr>
                <w:rFonts w:ascii="Calibri" w:hAnsi="Calibri"/>
                <w:color w:val="334155"/>
                <w:sz w:val="19"/>
              </w:rPr>
              <w:t>Mongoose ODM with 13 strongly-typed schemas, automated indexation, and aggregation pipelines.</w:t>
            </w:r>
          </w:p>
        </w:tc>
      </w:tr>
      <w:tr>
        <w:tc>
          <w:tcPr>
            <w:tcW w:type="dxa" w:w="3120"/>
            <w:vAlign w:val="center"/>
            <w:tcMar>
              <w:top w:w="100" w:type="dxa"/>
              <w:bottom w:w="100" w:type="dxa"/>
              <w:left w:w="140" w:type="dxa"/>
              <w:right w:w="140" w:type="dxa"/>
            </w:tcMar>
            <w:shd w:val="clear" w:color="auto" w:fill="F8FAFC"/>
          </w:tcPr>
          <w:p>
            <w:r>
              <w:rPr>
                <w:rFonts w:ascii="Calibri" w:hAnsi="Calibri"/>
                <w:color w:val="334155"/>
                <w:sz w:val="19"/>
              </w:rPr>
              <w:t>AI Intelligence</w:t>
            </w:r>
          </w:p>
        </w:tc>
        <w:tc>
          <w:tcPr>
            <w:tcW w:type="dxa" w:w="3120"/>
            <w:vAlign w:val="center"/>
            <w:tcMar>
              <w:top w:w="100" w:type="dxa"/>
              <w:bottom w:w="100" w:type="dxa"/>
              <w:left w:w="140" w:type="dxa"/>
              <w:right w:w="140" w:type="dxa"/>
            </w:tcMar>
            <w:shd w:val="clear" w:color="auto" w:fill="F8FAFC"/>
          </w:tcPr>
          <w:p>
            <w:r>
              <w:rPr>
                <w:rFonts w:ascii="Calibri" w:hAnsi="Calibri"/>
                <w:color w:val="334155"/>
                <w:sz w:val="19"/>
              </w:rPr>
              <w:t>Ask Sage Engine (Gemini / Heuristic)</w:t>
            </w:r>
          </w:p>
        </w:tc>
        <w:tc>
          <w:tcPr>
            <w:tcW w:type="dxa" w:w="3120"/>
            <w:vAlign w:val="center"/>
            <w:tcMar>
              <w:top w:w="100" w:type="dxa"/>
              <w:bottom w:w="100" w:type="dxa"/>
              <w:left w:w="140" w:type="dxa"/>
              <w:right w:w="140" w:type="dxa"/>
            </w:tcMar>
            <w:shd w:val="clear" w:color="auto" w:fill="F8FAFC"/>
          </w:tcPr>
          <w:p>
            <w:r>
              <w:rPr>
                <w:rFonts w:ascii="Calibri" w:hAnsi="Calibri"/>
                <w:color w:val="334155"/>
                <w:sz w:val="19"/>
              </w:rPr>
              <w:t>Natural language Q&amp;A, spending anomaly detection, and predictive budget forecasting.</w:t>
            </w:r>
          </w:p>
        </w:tc>
      </w:tr>
    </w:tbl>
    <w:p/>
    <w:p>
      <w:pPr>
        <w:pStyle w:val="Heading1"/>
      </w:pPr>
      <w:r>
        <w:rPr>
          <w:rFonts w:ascii="Segoe UI" w:hAnsi="Segoe UI"/>
          <w:color w:val="1E3A8A"/>
        </w:rPr>
        <w:t>3. Core Functional Modules</w:t>
      </w:r>
    </w:p>
    <w:p>
      <w:pPr>
        <w:pStyle w:val="Heading2"/>
      </w:pPr>
      <w:r>
        <w:rPr>
          <w:rFonts w:ascii="Segoe UI" w:hAnsi="Segoe UI"/>
          <w:color w:val="3B82F6"/>
        </w:rPr>
        <w:t>3.1 Interactive Executive Dashboard</w:t>
      </w:r>
    </w:p>
    <w:p>
      <w:r>
        <w:t>The financial cockpit of SpendSage. Displays real-time Net Worth, Monthly Inflow, Monthly Outflow, and Net Savings Rate. Features Recharts Area Charts illustrating monthly cash flow trends, an interactive category spending distribution donut chart, quick transaction shortcuts, and contextual alert banners.</w:t>
      </w:r>
    </w:p>
    <w:p>
      <w:pPr>
        <w:pStyle w:val="Heading2"/>
      </w:pPr>
      <w:r>
        <w:rPr>
          <w:rFonts w:ascii="Segoe UI" w:hAnsi="Segoe UI"/>
          <w:color w:val="3B82F6"/>
        </w:rPr>
        <w:t>3.2 Full-Spectrum Transaction Engine</w:t>
      </w:r>
    </w:p>
    <w:p>
      <w:r>
        <w:t>Supports complete CRUD operations for income, expenses, and internal account transfers. Offers full-text search, multi-parameter filters (by date range, account, category, merchant, amount range), instant pagination, bulk deletions, and transaction duplication for recurring expenditures.</w:t>
      </w:r>
    </w:p>
    <w:p>
      <w:pPr>
        <w:pStyle w:val="Heading2"/>
      </w:pPr>
      <w:r>
        <w:rPr>
          <w:rFonts w:ascii="Segoe UI" w:hAnsi="Segoe UI"/>
          <w:color w:val="3B82F6"/>
        </w:rPr>
        <w:t>3.3 Intelligent Budget Management &amp; Pace Forecasting</w:t>
      </w:r>
    </w:p>
    <w:p>
      <w:r>
        <w:t>Enables users to set monthly, weekly, or custom category budget thresholds. Utilizes dynamic visual progress indicators with multi-tier status states (Healthy, Warning at 80%, Overspent at 100%+). Includes daily spending pace tracking and end-of-month projected overspend warnings.</w:t>
      </w:r>
    </w:p>
    <w:p>
      <w:pPr>
        <w:pStyle w:val="Heading2"/>
      </w:pPr>
      <w:r>
        <w:rPr>
          <w:rFonts w:ascii="Segoe UI" w:hAnsi="Segoe UI"/>
          <w:color w:val="3B82F6"/>
        </w:rPr>
        <w:t>3.4 Bill Tracking &amp; Recurring Payment Calendar</w:t>
      </w:r>
    </w:p>
    <w:p>
      <w:r>
        <w:t>Monitors recurring utility bills, subscriptions, credit card dues, and EMIs. Categorizes obligations into Upcoming, Paid, and Overdue tabs. Records one-click payment history and automatically advances next due dates.</w:t>
      </w:r>
    </w:p>
    <w:p>
      <w:pPr>
        <w:pStyle w:val="Heading2"/>
      </w:pPr>
      <w:r>
        <w:rPr>
          <w:rFonts w:ascii="Segoe UI" w:hAnsi="Segoe UI"/>
          <w:color w:val="3B82F6"/>
        </w:rPr>
        <w:t>3.5 Goal Setting &amp; Milestone Tracker</w:t>
      </w:r>
    </w:p>
    <w:p>
      <w:r>
        <w:t>Facilitates short-term and long-term financial milestones (e.g., Emergency Fund, House Down Payment, Vacation). Tracks incremental contributions, progress percentages, target deadlines, and estimated completion forecasting.</w:t>
      </w:r>
    </w:p>
    <w:p>
      <w:pPr>
        <w:pStyle w:val="Heading2"/>
      </w:pPr>
      <w:r>
        <w:rPr>
          <w:rFonts w:ascii="Segoe UI" w:hAnsi="Segoe UI"/>
          <w:color w:val="3B82F6"/>
        </w:rPr>
        <w:t>3.6 Multi-Account Banking &amp; UPI Hub</w:t>
      </w:r>
    </w:p>
    <w:p>
      <w:r>
        <w:t>Centralizes diversified liquid and credit assets including Savings Accounts, Current Accounts, Credit Cards, Digital Wallets (Paytm / UPI), and Physical Cash. Automatically computes credit utilization ratios and overall net liquidity.</w:t>
      </w:r>
    </w:p>
    <w:p>
      <w:pPr>
        <w:pStyle w:val="Heading2"/>
      </w:pPr>
      <w:r>
        <w:rPr>
          <w:rFonts w:ascii="Segoe UI" w:hAnsi="Segoe UI"/>
          <w:color w:val="3B82F6"/>
        </w:rPr>
        <w:t>3.7 Ask Sage: AI-Driven Financial Advisor</w:t>
      </w:r>
    </w:p>
    <w:p>
      <w:r>
        <w:t>An interactive conversational AI assistant powered by Google Gemini with graceful algorithmic fallback. Synthesizes the user's recent transactions and budget status to answer questions such as 'Where can I cut expenses?', 'Am I saving enough this month?', or 'Analyze my top spending categories.'</w:t>
      </w:r>
    </w:p>
    <w:p>
      <w:pPr>
        <w:pStyle w:val="Heading2"/>
      </w:pPr>
      <w:r>
        <w:rPr>
          <w:rFonts w:ascii="Segoe UI" w:hAnsi="Segoe UI"/>
          <w:color w:val="3B82F6"/>
        </w:rPr>
        <w:t>3.8 Comprehensive Export &amp; Compliance Reporting</w:t>
      </w:r>
    </w:p>
    <w:p>
      <w:r>
        <w:t>Generates boardroom-quality PDF financial statements formatted with executive summaries, income-vs-expense tables, and category breakdowns via PDFKit. Also exports raw transactions to CSV and complete account backups to JSON.</w:t>
      </w:r>
    </w:p>
    <w:p>
      <w:pPr>
        <w:pStyle w:val="Heading1"/>
      </w:pPr>
      <w:r>
        <w:rPr>
          <w:rFonts w:ascii="Segoe UI" w:hAnsi="Segoe UI"/>
          <w:color w:val="1E3A8A"/>
        </w:rPr>
        <w:t>4. Presentation Demo Profile: Indian Localization</w:t>
      </w:r>
    </w:p>
    <w:p>
      <w:r>
        <w:t>To provide a compelling, culturally relevant demonstration for evaluation, the platform is seeded with an authentic Indian financial profile configured with standard Indian Rupees (INR / ₹) and en-IN number formatting (Lakhs and Crores).</w:t>
      </w:r>
    </w:p>
    <w:tbl>
      <w:tblPr>
        <w:tblW w:type="auto" w:w="0"/>
        <w:jc w:val="center"/>
        <w:tblLayout w:type="fixed"/>
        <w:tblLook w:firstColumn="1" w:firstRow="1" w:lastColumn="0" w:lastRow="0" w:noHBand="0" w:noVBand="1" w:val="04A0"/>
      </w:tblPr>
      <w:tblGrid>
        <w:gridCol w:w="2880"/>
        <w:gridCol w:w="3168"/>
        <w:gridCol w:w="3312"/>
      </w:tblGrid>
      <w:tr>
        <w:tc>
          <w:tcPr>
            <w:tcW w:type="dxa" w:w="3120"/>
            <w:vAlign w:val="center"/>
            <w:tcMar>
              <w:top w:w="100" w:type="dxa"/>
              <w:bottom w:w="100" w:type="dxa"/>
              <w:left w:w="140" w:type="dxa"/>
              <w:right w:w="140" w:type="dxa"/>
            </w:tcMar>
            <w:shd w:val="clear" w:color="auto" w:fill="047857"/>
          </w:tcPr>
          <w:p>
            <w:pPr>
              <w:jc w:val="left"/>
            </w:pPr>
            <w:r>
              <w:rPr>
                <w:rFonts w:ascii="Calibri" w:hAnsi="Calibri"/>
                <w:b/>
                <w:color w:val="FFFFFF"/>
                <w:sz w:val="20"/>
              </w:rPr>
              <w:t>Account Name</w:t>
            </w:r>
          </w:p>
        </w:tc>
        <w:tc>
          <w:tcPr>
            <w:tcW w:type="dxa" w:w="3120"/>
            <w:vAlign w:val="center"/>
            <w:tcMar>
              <w:top w:w="100" w:type="dxa"/>
              <w:bottom w:w="100" w:type="dxa"/>
              <w:left w:w="140" w:type="dxa"/>
              <w:right w:w="140" w:type="dxa"/>
            </w:tcMar>
            <w:shd w:val="clear" w:color="auto" w:fill="047857"/>
          </w:tcPr>
          <w:p>
            <w:pPr>
              <w:jc w:val="left"/>
            </w:pPr>
            <w:r>
              <w:rPr>
                <w:rFonts w:ascii="Calibri" w:hAnsi="Calibri"/>
                <w:b/>
                <w:color w:val="FFFFFF"/>
                <w:sz w:val="20"/>
              </w:rPr>
              <w:t>Type</w:t>
            </w:r>
          </w:p>
        </w:tc>
        <w:tc>
          <w:tcPr>
            <w:tcW w:type="dxa" w:w="3120"/>
            <w:vAlign w:val="center"/>
            <w:tcMar>
              <w:top w:w="100" w:type="dxa"/>
              <w:bottom w:w="100" w:type="dxa"/>
              <w:left w:w="140" w:type="dxa"/>
              <w:right w:w="140" w:type="dxa"/>
            </w:tcMar>
            <w:shd w:val="clear" w:color="auto" w:fill="047857"/>
          </w:tcPr>
          <w:p>
            <w:pPr>
              <w:jc w:val="left"/>
            </w:pPr>
            <w:r>
              <w:rPr>
                <w:rFonts w:ascii="Calibri" w:hAnsi="Calibri"/>
                <w:b/>
                <w:color w:val="FFFFFF"/>
                <w:sz w:val="20"/>
              </w:rPr>
              <w:t>Current Balance (₹)</w:t>
            </w:r>
          </w:p>
        </w:tc>
      </w:tr>
      <w:tr>
        <w:tc>
          <w:tcPr>
            <w:tcW w:type="dxa" w:w="3120"/>
            <w:vAlign w:val="center"/>
            <w:tcMar>
              <w:top w:w="100" w:type="dxa"/>
              <w:bottom w:w="100" w:type="dxa"/>
              <w:left w:w="140" w:type="dxa"/>
              <w:right w:w="140" w:type="dxa"/>
            </w:tcMar>
            <w:shd w:val="clear" w:color="auto" w:fill="FFFFFF"/>
          </w:tcPr>
          <w:p>
            <w:r>
              <w:rPr>
                <w:rFonts w:ascii="Calibri" w:hAnsi="Calibri"/>
                <w:color w:val="334155"/>
                <w:sz w:val="19"/>
              </w:rPr>
              <w:t>HDFC Bank (Salary)</w:t>
            </w:r>
          </w:p>
        </w:tc>
        <w:tc>
          <w:tcPr>
            <w:tcW w:type="dxa" w:w="3120"/>
            <w:vAlign w:val="center"/>
            <w:tcMar>
              <w:top w:w="100" w:type="dxa"/>
              <w:bottom w:w="100" w:type="dxa"/>
              <w:left w:w="140" w:type="dxa"/>
              <w:right w:w="140" w:type="dxa"/>
            </w:tcMar>
            <w:shd w:val="clear" w:color="auto" w:fill="FFFFFF"/>
          </w:tcPr>
          <w:p>
            <w:r>
              <w:rPr>
                <w:rFonts w:ascii="Calibri" w:hAnsi="Calibri"/>
                <w:color w:val="334155"/>
                <w:sz w:val="19"/>
              </w:rPr>
              <w:t>Bank / Checking</w:t>
            </w:r>
          </w:p>
        </w:tc>
        <w:tc>
          <w:tcPr>
            <w:tcW w:type="dxa" w:w="3120"/>
            <w:vAlign w:val="center"/>
            <w:tcMar>
              <w:top w:w="100" w:type="dxa"/>
              <w:bottom w:w="100" w:type="dxa"/>
              <w:left w:w="140" w:type="dxa"/>
              <w:right w:w="140" w:type="dxa"/>
            </w:tcMar>
            <w:shd w:val="clear" w:color="auto" w:fill="FFFFFF"/>
          </w:tcPr>
          <w:p>
            <w:r>
              <w:rPr>
                <w:rFonts w:ascii="Calibri" w:hAnsi="Calibri"/>
                <w:color w:val="334155"/>
                <w:sz w:val="19"/>
              </w:rPr>
              <w:t>₹2,45,000.00</w:t>
            </w:r>
          </w:p>
        </w:tc>
      </w:tr>
      <w:tr>
        <w:tc>
          <w:tcPr>
            <w:tcW w:type="dxa" w:w="3120"/>
            <w:vAlign w:val="center"/>
            <w:tcMar>
              <w:top w:w="100" w:type="dxa"/>
              <w:bottom w:w="100" w:type="dxa"/>
              <w:left w:w="140" w:type="dxa"/>
              <w:right w:w="140" w:type="dxa"/>
            </w:tcMar>
            <w:shd w:val="clear" w:color="auto" w:fill="F8FAFC"/>
          </w:tcPr>
          <w:p>
            <w:r>
              <w:rPr>
                <w:rFonts w:ascii="Calibri" w:hAnsi="Calibri"/>
                <w:color w:val="334155"/>
                <w:sz w:val="19"/>
              </w:rPr>
              <w:t>ICICI Bank (Emergency Fund)</w:t>
            </w:r>
          </w:p>
        </w:tc>
        <w:tc>
          <w:tcPr>
            <w:tcW w:type="dxa" w:w="3120"/>
            <w:vAlign w:val="center"/>
            <w:tcMar>
              <w:top w:w="100" w:type="dxa"/>
              <w:bottom w:w="100" w:type="dxa"/>
              <w:left w:w="140" w:type="dxa"/>
              <w:right w:w="140" w:type="dxa"/>
            </w:tcMar>
            <w:shd w:val="clear" w:color="auto" w:fill="F8FAFC"/>
          </w:tcPr>
          <w:p>
            <w:r>
              <w:rPr>
                <w:rFonts w:ascii="Calibri" w:hAnsi="Calibri"/>
                <w:color w:val="334155"/>
                <w:sz w:val="19"/>
              </w:rPr>
              <w:t>Savings</w:t>
            </w:r>
          </w:p>
        </w:tc>
        <w:tc>
          <w:tcPr>
            <w:tcW w:type="dxa" w:w="3120"/>
            <w:vAlign w:val="center"/>
            <w:tcMar>
              <w:top w:w="100" w:type="dxa"/>
              <w:bottom w:w="100" w:type="dxa"/>
              <w:left w:w="140" w:type="dxa"/>
              <w:right w:w="140" w:type="dxa"/>
            </w:tcMar>
            <w:shd w:val="clear" w:color="auto" w:fill="F8FAFC"/>
          </w:tcPr>
          <w:p>
            <w:r>
              <w:rPr>
                <w:rFonts w:ascii="Calibri" w:hAnsi="Calibri"/>
                <w:color w:val="334155"/>
                <w:sz w:val="19"/>
              </w:rPr>
              <w:t>₹2,50,000.00</w:t>
            </w:r>
          </w:p>
        </w:tc>
      </w:tr>
      <w:tr>
        <w:tc>
          <w:tcPr>
            <w:tcW w:type="dxa" w:w="3120"/>
            <w:vAlign w:val="center"/>
            <w:tcMar>
              <w:top w:w="100" w:type="dxa"/>
              <w:bottom w:w="100" w:type="dxa"/>
              <w:left w:w="140" w:type="dxa"/>
              <w:right w:w="140" w:type="dxa"/>
            </w:tcMar>
            <w:shd w:val="clear" w:color="auto" w:fill="FFFFFF"/>
          </w:tcPr>
          <w:p>
            <w:r>
              <w:rPr>
                <w:rFonts w:ascii="Calibri" w:hAnsi="Calibri"/>
                <w:color w:val="334155"/>
                <w:sz w:val="19"/>
              </w:rPr>
              <w:t>HDFC Regalia Credit Card</w:t>
            </w:r>
          </w:p>
        </w:tc>
        <w:tc>
          <w:tcPr>
            <w:tcW w:type="dxa" w:w="3120"/>
            <w:vAlign w:val="center"/>
            <w:tcMar>
              <w:top w:w="100" w:type="dxa"/>
              <w:bottom w:w="100" w:type="dxa"/>
              <w:left w:w="140" w:type="dxa"/>
              <w:right w:w="140" w:type="dxa"/>
            </w:tcMar>
            <w:shd w:val="clear" w:color="auto" w:fill="FFFFFF"/>
          </w:tcPr>
          <w:p>
            <w:r>
              <w:rPr>
                <w:rFonts w:ascii="Calibri" w:hAnsi="Calibri"/>
                <w:color w:val="334155"/>
                <w:sz w:val="19"/>
              </w:rPr>
              <w:t>Credit Card (₹3L Limit)</w:t>
            </w:r>
          </w:p>
        </w:tc>
        <w:tc>
          <w:tcPr>
            <w:tcW w:type="dxa" w:w="3120"/>
            <w:vAlign w:val="center"/>
            <w:tcMar>
              <w:top w:w="100" w:type="dxa"/>
              <w:bottom w:w="100" w:type="dxa"/>
              <w:left w:w="140" w:type="dxa"/>
              <w:right w:w="140" w:type="dxa"/>
            </w:tcMar>
            <w:shd w:val="clear" w:color="auto" w:fill="FFFFFF"/>
          </w:tcPr>
          <w:p>
            <w:r>
              <w:rPr>
                <w:rFonts w:ascii="Calibri" w:hAnsi="Calibri"/>
                <w:color w:val="334155"/>
                <w:sz w:val="19"/>
              </w:rPr>
              <w:t>₹-18,500.00 (Outstanding)</w:t>
            </w:r>
          </w:p>
        </w:tc>
      </w:tr>
      <w:tr>
        <w:tc>
          <w:tcPr>
            <w:tcW w:type="dxa" w:w="3120"/>
            <w:vAlign w:val="center"/>
            <w:tcMar>
              <w:top w:w="100" w:type="dxa"/>
              <w:bottom w:w="100" w:type="dxa"/>
              <w:left w:w="140" w:type="dxa"/>
              <w:right w:w="140" w:type="dxa"/>
            </w:tcMar>
            <w:shd w:val="clear" w:color="auto" w:fill="F8FAFC"/>
          </w:tcPr>
          <w:p>
            <w:r>
              <w:rPr>
                <w:rFonts w:ascii="Calibri" w:hAnsi="Calibri"/>
                <w:color w:val="334155"/>
                <w:sz w:val="19"/>
              </w:rPr>
              <w:t>Paytm Wallet / UPI</w:t>
            </w:r>
          </w:p>
        </w:tc>
        <w:tc>
          <w:tcPr>
            <w:tcW w:type="dxa" w:w="3120"/>
            <w:vAlign w:val="center"/>
            <w:tcMar>
              <w:top w:w="100" w:type="dxa"/>
              <w:bottom w:w="100" w:type="dxa"/>
              <w:left w:w="140" w:type="dxa"/>
              <w:right w:w="140" w:type="dxa"/>
            </w:tcMar>
            <w:shd w:val="clear" w:color="auto" w:fill="F8FAFC"/>
          </w:tcPr>
          <w:p>
            <w:r>
              <w:rPr>
                <w:rFonts w:ascii="Calibri" w:hAnsi="Calibri"/>
                <w:color w:val="334155"/>
                <w:sz w:val="19"/>
              </w:rPr>
              <w:t>Digital Wallet</w:t>
            </w:r>
          </w:p>
        </w:tc>
        <w:tc>
          <w:tcPr>
            <w:tcW w:type="dxa" w:w="3120"/>
            <w:vAlign w:val="center"/>
            <w:tcMar>
              <w:top w:w="100" w:type="dxa"/>
              <w:bottom w:w="100" w:type="dxa"/>
              <w:left w:w="140" w:type="dxa"/>
              <w:right w:w="140" w:type="dxa"/>
            </w:tcMar>
            <w:shd w:val="clear" w:color="auto" w:fill="F8FAFC"/>
          </w:tcPr>
          <w:p>
            <w:r>
              <w:rPr>
                <w:rFonts w:ascii="Calibri" w:hAnsi="Calibri"/>
                <w:color w:val="334155"/>
                <w:sz w:val="19"/>
              </w:rPr>
              <w:t>₹4,750.00</w:t>
            </w:r>
          </w:p>
        </w:tc>
      </w:tr>
      <w:tr>
        <w:tc>
          <w:tcPr>
            <w:tcW w:type="dxa" w:w="3120"/>
            <w:vAlign w:val="center"/>
            <w:tcMar>
              <w:top w:w="100" w:type="dxa"/>
              <w:bottom w:w="100" w:type="dxa"/>
              <w:left w:w="140" w:type="dxa"/>
              <w:right w:w="140" w:type="dxa"/>
            </w:tcMar>
            <w:shd w:val="clear" w:color="auto" w:fill="FFFFFF"/>
          </w:tcPr>
          <w:p>
            <w:r>
              <w:rPr>
                <w:rFonts w:ascii="Calibri" w:hAnsi="Calibri"/>
                <w:color w:val="334155"/>
                <w:sz w:val="19"/>
              </w:rPr>
              <w:t>Cash on Hand</w:t>
            </w:r>
          </w:p>
        </w:tc>
        <w:tc>
          <w:tcPr>
            <w:tcW w:type="dxa" w:w="3120"/>
            <w:vAlign w:val="center"/>
            <w:tcMar>
              <w:top w:w="100" w:type="dxa"/>
              <w:bottom w:w="100" w:type="dxa"/>
              <w:left w:w="140" w:type="dxa"/>
              <w:right w:w="140" w:type="dxa"/>
            </w:tcMar>
            <w:shd w:val="clear" w:color="auto" w:fill="FFFFFF"/>
          </w:tcPr>
          <w:p>
            <w:r>
              <w:rPr>
                <w:rFonts w:ascii="Calibri" w:hAnsi="Calibri"/>
                <w:color w:val="334155"/>
                <w:sz w:val="19"/>
              </w:rPr>
              <w:t>Physical Cash</w:t>
            </w:r>
          </w:p>
        </w:tc>
        <w:tc>
          <w:tcPr>
            <w:tcW w:type="dxa" w:w="3120"/>
            <w:vAlign w:val="center"/>
            <w:tcMar>
              <w:top w:w="100" w:type="dxa"/>
              <w:bottom w:w="100" w:type="dxa"/>
              <w:left w:w="140" w:type="dxa"/>
              <w:right w:w="140" w:type="dxa"/>
            </w:tcMar>
            <w:shd w:val="clear" w:color="auto" w:fill="FFFFFF"/>
          </w:tcPr>
          <w:p>
            <w:r>
              <w:rPr>
                <w:rFonts w:ascii="Calibri" w:hAnsi="Calibri"/>
                <w:color w:val="334155"/>
                <w:sz w:val="19"/>
              </w:rPr>
              <w:t>₹5,000.00</w:t>
            </w:r>
          </w:p>
        </w:tc>
      </w:tr>
    </w:tbl>
    <w:p>
      <w:pPr>
        <w:spacing w:before="120"/>
      </w:pPr>
      <w:r>
        <w:rPr>
          <w:b/>
        </w:rPr>
        <w:t xml:space="preserve">Demo Authentication Credentials: </w:t>
      </w:r>
      <w:r>
        <w:t>Email: demo@spendsage.com | Password: Password123! | Name: Aarav Sharma</w:t>
      </w:r>
    </w:p>
    <w:p/>
    <w:p>
      <w:pPr>
        <w:pStyle w:val="Heading1"/>
      </w:pPr>
      <w:r>
        <w:rPr>
          <w:rFonts w:ascii="Segoe UI" w:hAnsi="Segoe UI"/>
          <w:color w:val="1E3A8A"/>
        </w:rPr>
        <w:t>5. Security, Validation &amp; Testing Architecture</w:t>
      </w:r>
    </w:p>
    <w:p>
      <w:pPr>
        <w:pStyle w:val="ListBullet"/>
      </w:pPr>
      <w:r>
        <w:rPr>
          <w:b/>
        </w:rPr>
        <w:t xml:space="preserve">Authentication &amp; Session Security: </w:t>
      </w:r>
      <w:r>
        <w:t>Stateless JWT access tokens with paired refresh tokens stored in HTTP-safe containers. Passwords hashed using bcrypt with salt rounds of 12.</w:t>
      </w:r>
    </w:p>
    <w:p>
      <w:pPr>
        <w:pStyle w:val="ListBullet"/>
      </w:pPr>
      <w:r>
        <w:rPr>
          <w:b/>
        </w:rPr>
        <w:t xml:space="preserve">Object-Level Access Control (IDOR Protection): </w:t>
      </w:r>
      <w:r>
        <w:t>Every single service query and aggregation pipeline strictly scopes queries with the authenticated user's ObjectId.</w:t>
      </w:r>
    </w:p>
    <w:p>
      <w:pPr>
        <w:pStyle w:val="ListBullet"/>
      </w:pPr>
      <w:r>
        <w:rPr>
          <w:b/>
        </w:rPr>
        <w:t xml:space="preserve">Strict Schema Validation: </w:t>
      </w:r>
      <w:r>
        <w:t>Bidirectional request verification using Zod schemas on both client forms and Express route middleware.</w:t>
      </w:r>
    </w:p>
    <w:p>
      <w:pPr>
        <w:pStyle w:val="ListBullet"/>
      </w:pPr>
      <w:r>
        <w:rPr>
          <w:b/>
        </w:rPr>
        <w:t xml:space="preserve">Automated Quality Assurance: </w:t>
      </w:r>
      <w:r>
        <w:t>Unit and integration test suites executed via Vitest, verifying financial calculations, interest balances, and error handling.</w:t>
      </w:r>
    </w:p>
    <w:p>
      <w:pPr>
        <w:pStyle w:val="Heading1"/>
      </w:pPr>
      <w:r>
        <w:rPr>
          <w:rFonts w:ascii="Segoe UI" w:hAnsi="Segoe UI"/>
          <w:color w:val="1E3A8A"/>
        </w:rPr>
        <w:t>6. Execution &amp; Deployment Reference</w:t>
      </w:r>
    </w:p>
    <w:tbl>
      <w:tblPr>
        <w:tblW w:type="auto" w:w="0"/>
        <w:jc w:val="center"/>
        <w:tblLayout w:type="fixed"/>
        <w:tblLook w:firstColumn="1" w:firstRow="1" w:lastColumn="0" w:lastRow="0" w:noHBand="0" w:noVBand="1" w:val="04A0"/>
      </w:tblPr>
      <w:tblGrid>
        <w:gridCol w:w="3168"/>
        <w:gridCol w:w="6192"/>
      </w:tblGrid>
      <w:tr>
        <w:tc>
          <w:tcPr>
            <w:tcW w:type="dxa" w:w="4680"/>
            <w:vAlign w:val="center"/>
            <w:tcMar>
              <w:top w:w="100" w:type="dxa"/>
              <w:bottom w:w="100" w:type="dxa"/>
              <w:left w:w="140" w:type="dxa"/>
              <w:right w:w="140" w:type="dxa"/>
            </w:tcMar>
            <w:shd w:val="clear" w:color="auto" w:fill="1E3A8A"/>
          </w:tcPr>
          <w:p>
            <w:pPr>
              <w:jc w:val="left"/>
            </w:pPr>
            <w:r>
              <w:rPr>
                <w:rFonts w:ascii="Calibri" w:hAnsi="Calibri"/>
                <w:b/>
                <w:color w:val="FFFFFF"/>
                <w:sz w:val="20"/>
              </w:rPr>
              <w:t>Command</w:t>
            </w:r>
          </w:p>
        </w:tc>
        <w:tc>
          <w:tcPr>
            <w:tcW w:type="dxa" w:w="4680"/>
            <w:vAlign w:val="center"/>
            <w:tcMar>
              <w:top w:w="100" w:type="dxa"/>
              <w:bottom w:w="100" w:type="dxa"/>
              <w:left w:w="140" w:type="dxa"/>
              <w:right w:w="140" w:type="dxa"/>
            </w:tcMar>
            <w:shd w:val="clear" w:color="auto" w:fill="1E3A8A"/>
          </w:tcPr>
          <w:p>
            <w:pPr>
              <w:jc w:val="left"/>
            </w:pPr>
            <w:r>
              <w:rPr>
                <w:rFonts w:ascii="Calibri" w:hAnsi="Calibri"/>
                <w:b/>
                <w:color w:val="FFFFFF"/>
                <w:sz w:val="20"/>
              </w:rPr>
              <w:t>Description</w:t>
            </w:r>
          </w:p>
        </w:tc>
      </w:tr>
      <w:tr>
        <w:tc>
          <w:tcPr>
            <w:tcW w:type="dxa" w:w="4680"/>
            <w:vAlign w:val="center"/>
            <w:tcMar>
              <w:top w:w="100" w:type="dxa"/>
              <w:bottom w:w="100" w:type="dxa"/>
              <w:left w:w="140" w:type="dxa"/>
              <w:right w:w="140" w:type="dxa"/>
            </w:tcMar>
            <w:shd w:val="clear" w:color="auto" w:fill="FFFFFF"/>
          </w:tcPr>
          <w:p>
            <w:r>
              <w:rPr>
                <w:rFonts w:ascii="Calibri" w:hAnsi="Calibri"/>
                <w:color w:val="334155"/>
                <w:sz w:val="19"/>
              </w:rPr>
              <w:t>npm run dev</w:t>
            </w:r>
          </w:p>
        </w:tc>
        <w:tc>
          <w:tcPr>
            <w:tcW w:type="dxa" w:w="4680"/>
            <w:vAlign w:val="center"/>
            <w:tcMar>
              <w:top w:w="100" w:type="dxa"/>
              <w:bottom w:w="100" w:type="dxa"/>
              <w:left w:w="140" w:type="dxa"/>
              <w:right w:w="140" w:type="dxa"/>
            </w:tcMar>
            <w:shd w:val="clear" w:color="auto" w:fill="FFFFFF"/>
          </w:tcPr>
          <w:p>
            <w:r>
              <w:rPr>
                <w:rFonts w:ascii="Calibri" w:hAnsi="Calibri"/>
                <w:color w:val="334155"/>
                <w:sz w:val="19"/>
              </w:rPr>
              <w:t>Concurrently boots Express API (Port 5000) and Vite Client (Port 5173).</w:t>
            </w:r>
          </w:p>
        </w:tc>
      </w:tr>
      <w:tr>
        <w:tc>
          <w:tcPr>
            <w:tcW w:type="dxa" w:w="4680"/>
            <w:vAlign w:val="center"/>
            <w:tcMar>
              <w:top w:w="100" w:type="dxa"/>
              <w:bottom w:w="100" w:type="dxa"/>
              <w:left w:w="140" w:type="dxa"/>
              <w:right w:w="140" w:type="dxa"/>
            </w:tcMar>
            <w:shd w:val="clear" w:color="auto" w:fill="F8FAFC"/>
          </w:tcPr>
          <w:p>
            <w:r>
              <w:rPr>
                <w:rFonts w:ascii="Calibri" w:hAnsi="Calibri"/>
                <w:color w:val="334155"/>
                <w:sz w:val="19"/>
              </w:rPr>
              <w:t>npm run build</w:t>
            </w:r>
          </w:p>
        </w:tc>
        <w:tc>
          <w:tcPr>
            <w:tcW w:type="dxa" w:w="4680"/>
            <w:vAlign w:val="center"/>
            <w:tcMar>
              <w:top w:w="100" w:type="dxa"/>
              <w:bottom w:w="100" w:type="dxa"/>
              <w:left w:w="140" w:type="dxa"/>
              <w:right w:w="140" w:type="dxa"/>
            </w:tcMar>
            <w:shd w:val="clear" w:color="auto" w:fill="F8FAFC"/>
          </w:tcPr>
          <w:p>
            <w:r>
              <w:rPr>
                <w:rFonts w:ascii="Calibri" w:hAnsi="Calibri"/>
                <w:color w:val="334155"/>
                <w:sz w:val="19"/>
              </w:rPr>
              <w:t>Compiles production distributions for both client (dist/) and server (dist/).</w:t>
            </w:r>
          </w:p>
        </w:tc>
      </w:tr>
      <w:tr>
        <w:tc>
          <w:tcPr>
            <w:tcW w:type="dxa" w:w="4680"/>
            <w:vAlign w:val="center"/>
            <w:tcMar>
              <w:top w:w="100" w:type="dxa"/>
              <w:bottom w:w="100" w:type="dxa"/>
              <w:left w:w="140" w:type="dxa"/>
              <w:right w:w="140" w:type="dxa"/>
            </w:tcMar>
            <w:shd w:val="clear" w:color="auto" w:fill="FFFFFF"/>
          </w:tcPr>
          <w:p>
            <w:r>
              <w:rPr>
                <w:rFonts w:ascii="Calibri" w:hAnsi="Calibri"/>
                <w:color w:val="334155"/>
                <w:sz w:val="19"/>
              </w:rPr>
              <w:t>npm run seed</w:t>
            </w:r>
          </w:p>
        </w:tc>
        <w:tc>
          <w:tcPr>
            <w:tcW w:type="dxa" w:w="4680"/>
            <w:vAlign w:val="center"/>
            <w:tcMar>
              <w:top w:w="100" w:type="dxa"/>
              <w:bottom w:w="100" w:type="dxa"/>
              <w:left w:w="140" w:type="dxa"/>
              <w:right w:w="140" w:type="dxa"/>
            </w:tcMar>
            <w:shd w:val="clear" w:color="auto" w:fill="FFFFFF"/>
          </w:tcPr>
          <w:p>
            <w:r>
              <w:rPr>
                <w:rFonts w:ascii="Calibri" w:hAnsi="Calibri"/>
                <w:color w:val="334155"/>
                <w:sz w:val="19"/>
              </w:rPr>
              <w:t>Initializes MongoDB Atlas with the Aarav Sharma demo dataset in INR.</w:t>
            </w:r>
          </w:p>
        </w:tc>
      </w:tr>
      <w:tr>
        <w:tc>
          <w:tcPr>
            <w:tcW w:type="dxa" w:w="4680"/>
            <w:vAlign w:val="center"/>
            <w:tcMar>
              <w:top w:w="100" w:type="dxa"/>
              <w:bottom w:w="100" w:type="dxa"/>
              <w:left w:w="140" w:type="dxa"/>
              <w:right w:w="140" w:type="dxa"/>
            </w:tcMar>
            <w:shd w:val="clear" w:color="auto" w:fill="F8FAFC"/>
          </w:tcPr>
          <w:p>
            <w:r>
              <w:rPr>
                <w:rFonts w:ascii="Calibri" w:hAnsi="Calibri"/>
                <w:color w:val="334155"/>
                <w:sz w:val="19"/>
              </w:rPr>
              <w:t>npm run test</w:t>
            </w:r>
          </w:p>
        </w:tc>
        <w:tc>
          <w:tcPr>
            <w:tcW w:type="dxa" w:w="4680"/>
            <w:vAlign w:val="center"/>
            <w:tcMar>
              <w:top w:w="100" w:type="dxa"/>
              <w:bottom w:w="100" w:type="dxa"/>
              <w:left w:w="140" w:type="dxa"/>
              <w:right w:w="140" w:type="dxa"/>
            </w:tcMar>
            <w:shd w:val="clear" w:color="auto" w:fill="F8FAFC"/>
          </w:tcPr>
          <w:p>
            <w:r>
              <w:rPr>
                <w:rFonts w:ascii="Calibri" w:hAnsi="Calibri"/>
                <w:color w:val="334155"/>
                <w:sz w:val="19"/>
              </w:rPr>
              <w:t>Executes the Vitest automated test suite.</w:t>
            </w:r>
          </w:p>
        </w:tc>
      </w:tr>
      <w:tr>
        <w:tc>
          <w:tcPr>
            <w:tcW w:type="dxa" w:w="4680"/>
            <w:vAlign w:val="center"/>
            <w:tcMar>
              <w:top w:w="100" w:type="dxa"/>
              <w:bottom w:w="100" w:type="dxa"/>
              <w:left w:w="140" w:type="dxa"/>
              <w:right w:w="140" w:type="dxa"/>
            </w:tcMar>
            <w:shd w:val="clear" w:color="auto" w:fill="FFFFFF"/>
          </w:tcPr>
          <w:p>
            <w:r>
              <w:rPr>
                <w:rFonts w:ascii="Calibri" w:hAnsi="Calibri"/>
                <w:color w:val="334155"/>
                <w:sz w:val="19"/>
              </w:rPr>
              <w:t>npm run install:all</w:t>
            </w:r>
          </w:p>
        </w:tc>
        <w:tc>
          <w:tcPr>
            <w:tcW w:type="dxa" w:w="4680"/>
            <w:vAlign w:val="center"/>
            <w:tcMar>
              <w:top w:w="100" w:type="dxa"/>
              <w:bottom w:w="100" w:type="dxa"/>
              <w:left w:w="140" w:type="dxa"/>
              <w:right w:w="140" w:type="dxa"/>
            </w:tcMar>
            <w:shd w:val="clear" w:color="auto" w:fill="FFFFFF"/>
          </w:tcPr>
          <w:p>
            <w:r>
              <w:rPr>
                <w:rFonts w:ascii="Calibri" w:hAnsi="Calibri"/>
                <w:color w:val="334155"/>
                <w:sz w:val="19"/>
              </w:rPr>
              <w:t>Installs root, server, and client npm dependencies in a single step.</w:t>
            </w:r>
          </w:p>
        </w:tc>
      </w:tr>
    </w:tbl>
    <w:p>
      <w:pPr>
        <w:spacing w:before="400"/>
        <w:jc w:val="center"/>
      </w:pPr>
      <w:r>
        <w:rPr>
          <w:i/>
          <w:color w:val="94A3B8"/>
        </w:rPr>
        <w:t>— End of Project Documentation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