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Calibri" w:hAnsi="Calibri"/>
          <w:b/>
          <w:color w:val="1A365D"/>
          <w:sz w:val="48"/>
        </w:rPr>
        <w:t>COMPETITOR RESEARCH &amp; BUSINESS ANALYSIS</w:t>
      </w:r>
    </w:p>
    <w:p>
      <w:pPr>
        <w:spacing w:after="360"/>
      </w:pPr>
      <w:r>
        <w:rPr>
          <w:rFonts w:ascii="Calibri" w:hAnsi="Calibri"/>
          <w:i/>
          <w:color w:val="718096"/>
          <w:sz w:val="26"/>
        </w:rPr>
        <w:t>Strategic Benchmarking, Unit Economics, Operational Bottlenecks, and Differentiation for GourmetFleet</w:t>
      </w:r>
    </w:p>
    <w:p>
      <w:pPr>
        <w:spacing w:after="480"/>
      </w:pPr>
      <w:r>
        <w:rPr>
          <w:rFonts w:ascii="Calibri" w:hAnsi="Calibri"/>
          <w:color w:val="A0AEC0"/>
          <w:sz w:val="19"/>
        </w:rPr>
        <w:t>Author: Principal Product Architect &amp; E-Commerce Lead  |  Platform: GourmetFleet Marketplace  |  Date: September 2026</w:t>
      </w:r>
    </w:p>
    <w:p>
      <w:pPr>
        <w:pStyle w:val="Heading1"/>
        <w:keepNext/>
        <w:spacing w:before="360" w:after="120"/>
      </w:pPr>
      <w:r>
        <w:rPr>
          <w:rFonts w:ascii="Calibri" w:hAnsi="Calibri"/>
          <w:b/>
          <w:color w:val="1A365D"/>
          <w:sz w:val="36"/>
        </w:rPr>
        <w:t>1. Executive Summary &amp; Market Landscape</w:t>
      </w:r>
    </w:p>
    <w:p>
      <w:r>
        <w:t>The online food delivery and restaurant reservation ecosystem has undergone massive consolidation, transitioning from pure hyper-growth customer acquisition to strict margin defense and monetisation. Incumbent market leaders such as Zomato and Swiggy in India, alongside global platforms like DoorDash, Uber Eats, and OpenTable, dominate customer attention. However, independent restaurateurs face unprecedented economic strain due to high take rates (18% - 32%), non-transparent platform fees, arbitrary ad bidding algorithms, and complete disintermediation from their own customer relationships.</w:t>
      </w:r>
    </w:p>
    <w:p>
      <w:r>
        <w:t>Simultaneously, consumers suffer from 'fee fatigue'—confronting unannounced platform fees, packaging surcharges, surge delivery charges, and inflated menu pricing (up to 30% higher than in-restaurant rates). GourmetFleet is conceptualized as a hybrid marketplace that unifies online food delivery, takeout, and real-time dining table reservations under an ethical, transparent commission framework coupled with an autonomous Owner AI operational copilot.</w:t>
      </w:r>
    </w:p>
    <w:tbl>
      <w:tblPr>
        <w:tblW w:type="auto" w:w="0"/>
        <w:jc w:val="center"/>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Borders>
              <w:left w:val="single" w:sz="36" w:space="0" w:color="2B6CB0"/>
              <w:top w:val="none"/>
              <w:right w:val="none"/>
              <w:bottom w:val="none"/>
            </w:tcBorders>
          </w:tcPr>
          <w:p>
            <w:pPr>
              <w:spacing w:before="0" w:after="80"/>
            </w:pPr>
            <w:r>
              <w:rPr>
                <w:rFonts w:ascii="Calibri" w:hAnsi="Calibri"/>
                <w:b/>
                <w:color w:val="2B6CB0"/>
                <w:sz w:val="20"/>
              </w:rPr>
              <w:t>[INDUSTRY ECONOMIC REALITY]</w:t>
              <w:br/>
            </w:r>
            <w:r>
              <w:rPr>
                <w:rFonts w:ascii="Calibri" w:hAnsi="Calibri"/>
                <w:color w:val="2D3748"/>
                <w:sz w:val="20"/>
              </w:rPr>
              <w:t>Key Market Fact: According to the National Restaurant Association and recent market filings (2024-2026), restaurant net profit margins consistently hover between 6% and 12%. When third-party platforms extract 22% to 28% in commissions, the restaurant loses money on every delivered order unless menu prices are inflated or portion sizes reduced.</w:t>
            </w:r>
          </w:p>
        </w:tc>
      </w:tr>
    </w:tbl>
    <w:p>
      <w:pPr>
        <w:spacing w:after="120"/>
      </w:pPr>
    </w:p>
    <w:p>
      <w:pPr>
        <w:pStyle w:val="Heading1"/>
        <w:keepNext/>
        <w:spacing w:before="360" w:after="120"/>
      </w:pPr>
      <w:r>
        <w:rPr>
          <w:rFonts w:ascii="Calibri" w:hAnsi="Calibri"/>
          <w:b/>
          <w:color w:val="1A365D"/>
          <w:sz w:val="36"/>
        </w:rPr>
        <w:t>2. Comprehensive Competitor Analysis</w:t>
      </w:r>
    </w:p>
    <w:p>
      <w:r>
        <w:t>To design an enterprise-grade platform, we analyzed four primary market archetypes: Duopoly Delivery Giants (Zomato &amp; Swiggy), Reservation Pioneers (OpenTable &amp; Resy), Direct Restaurant Tech (Toast &amp; SevenRooms), and Hybrid Delivery Platforms (DoorDash).</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1A365D"/>
            <w:tcMar>
              <w:top w:w="120" w:type="dxa"/>
              <w:bottom w:w="120" w:type="dxa"/>
              <w:left w:w="100" w:type="dxa"/>
              <w:right w:w="100" w:type="dxa"/>
            </w:tcMar>
          </w:tcPr>
          <w:p>
            <w:r>
              <w:rPr>
                <w:rFonts w:ascii="Calibri" w:hAnsi="Calibri"/>
                <w:b/>
                <w:color w:val="FFFFFF"/>
                <w:sz w:val="18"/>
              </w:rPr>
              <w:t>Platform</w:t>
            </w:r>
          </w:p>
        </w:tc>
        <w:tc>
          <w:tcPr>
            <w:tcW w:type="dxa" w:w="1560"/>
            <w:shd w:fill="1A365D"/>
            <w:tcMar>
              <w:top w:w="120" w:type="dxa"/>
              <w:bottom w:w="120" w:type="dxa"/>
              <w:left w:w="100" w:type="dxa"/>
              <w:right w:w="100" w:type="dxa"/>
            </w:tcMar>
          </w:tcPr>
          <w:p>
            <w:r>
              <w:rPr>
                <w:rFonts w:ascii="Calibri" w:hAnsi="Calibri"/>
                <w:b/>
                <w:color w:val="FFFFFF"/>
                <w:sz w:val="18"/>
              </w:rPr>
              <w:t>Core Focus</w:t>
            </w:r>
          </w:p>
        </w:tc>
        <w:tc>
          <w:tcPr>
            <w:tcW w:type="dxa" w:w="1560"/>
            <w:shd w:fill="1A365D"/>
            <w:tcMar>
              <w:top w:w="120" w:type="dxa"/>
              <w:bottom w:w="120" w:type="dxa"/>
              <w:left w:w="100" w:type="dxa"/>
              <w:right w:w="100" w:type="dxa"/>
            </w:tcMar>
          </w:tcPr>
          <w:p>
            <w:r>
              <w:rPr>
                <w:rFonts w:ascii="Calibri" w:hAnsi="Calibri"/>
                <w:b/>
                <w:color w:val="FFFFFF"/>
                <w:sz w:val="18"/>
              </w:rPr>
              <w:t>Take Rate / Fee Model</w:t>
            </w:r>
          </w:p>
        </w:tc>
        <w:tc>
          <w:tcPr>
            <w:tcW w:type="dxa" w:w="1560"/>
            <w:shd w:fill="1A365D"/>
            <w:tcMar>
              <w:top w:w="120" w:type="dxa"/>
              <w:bottom w:w="120" w:type="dxa"/>
              <w:left w:w="100" w:type="dxa"/>
              <w:right w:w="100" w:type="dxa"/>
            </w:tcMar>
          </w:tcPr>
          <w:p>
            <w:r>
              <w:rPr>
                <w:rFonts w:ascii="Calibri" w:hAnsi="Calibri"/>
                <w:b/>
                <w:color w:val="FFFFFF"/>
                <w:sz w:val="18"/>
              </w:rPr>
              <w:t>Customer Discovery</w:t>
            </w:r>
          </w:p>
        </w:tc>
        <w:tc>
          <w:tcPr>
            <w:tcW w:type="dxa" w:w="1560"/>
            <w:shd w:fill="1A365D"/>
            <w:tcMar>
              <w:top w:w="120" w:type="dxa"/>
              <w:bottom w:w="120" w:type="dxa"/>
              <w:left w:w="100" w:type="dxa"/>
              <w:right w:w="100" w:type="dxa"/>
            </w:tcMar>
          </w:tcPr>
          <w:p>
            <w:r>
              <w:rPr>
                <w:rFonts w:ascii="Calibri" w:hAnsi="Calibri"/>
                <w:b/>
                <w:color w:val="FFFFFF"/>
                <w:sz w:val="18"/>
              </w:rPr>
              <w:t>Reservation Tech</w:t>
            </w:r>
          </w:p>
        </w:tc>
        <w:tc>
          <w:tcPr>
            <w:tcW w:type="dxa" w:w="1560"/>
            <w:shd w:fill="1A365D"/>
            <w:tcMar>
              <w:top w:w="120" w:type="dxa"/>
              <w:bottom w:w="120" w:type="dxa"/>
              <w:left w:w="100" w:type="dxa"/>
              <w:right w:w="100" w:type="dxa"/>
            </w:tcMar>
          </w:tcPr>
          <w:p>
            <w:r>
              <w:rPr>
                <w:rFonts w:ascii="Calibri" w:hAnsi="Calibri"/>
                <w:b/>
                <w:color w:val="FFFFFF"/>
                <w:sz w:val="18"/>
              </w:rPr>
              <w:t>Pain Points / Flaws</w:t>
            </w:r>
          </w:p>
        </w:tc>
      </w:tr>
      <w:tr>
        <w:tc>
          <w:tcPr>
            <w:tcW w:type="dxa" w:w="1560"/>
            <w:shd w:fill="F7FAFC"/>
            <w:tcMar>
              <w:top w:w="80" w:type="dxa"/>
              <w:bottom w:w="80" w:type="dxa"/>
              <w:left w:w="80" w:type="dxa"/>
              <w:right w:w="80" w:type="dxa"/>
            </w:tcMar>
          </w:tcPr>
          <w:p>
            <w:r>
              <w:rPr>
                <w:rFonts w:ascii="Calibri" w:hAnsi="Calibri"/>
                <w:color w:val="2D3748"/>
                <w:sz w:val="17"/>
              </w:rPr>
              <w:t>Zomato</w:t>
            </w:r>
          </w:p>
        </w:tc>
        <w:tc>
          <w:tcPr>
            <w:tcW w:type="dxa" w:w="1560"/>
            <w:shd w:fill="F7FAFC"/>
            <w:tcMar>
              <w:top w:w="80" w:type="dxa"/>
              <w:bottom w:w="80" w:type="dxa"/>
              <w:left w:w="80" w:type="dxa"/>
              <w:right w:w="80" w:type="dxa"/>
            </w:tcMar>
          </w:tcPr>
          <w:p>
            <w:r>
              <w:rPr>
                <w:rFonts w:ascii="Calibri" w:hAnsi="Calibri"/>
                <w:color w:val="2D3748"/>
                <w:sz w:val="17"/>
              </w:rPr>
              <w:t>Hyperlocal Delivery, Gold Dining, Hyperpure</w:t>
            </w:r>
          </w:p>
        </w:tc>
        <w:tc>
          <w:tcPr>
            <w:tcW w:type="dxa" w:w="1560"/>
            <w:shd w:fill="F7FAFC"/>
            <w:tcMar>
              <w:top w:w="80" w:type="dxa"/>
              <w:bottom w:w="80" w:type="dxa"/>
              <w:left w:w="80" w:type="dxa"/>
              <w:right w:w="80" w:type="dxa"/>
            </w:tcMar>
          </w:tcPr>
          <w:p>
            <w:r>
              <w:rPr>
                <w:rFonts w:ascii="Calibri" w:hAnsi="Calibri"/>
                <w:color w:val="2D3748"/>
                <w:sz w:val="17"/>
              </w:rPr>
              <w:t>18% - 28% per order + Ad fees + ₹6-₹10 platform fee</w:t>
            </w:r>
          </w:p>
        </w:tc>
        <w:tc>
          <w:tcPr>
            <w:tcW w:type="dxa" w:w="1560"/>
            <w:shd w:fill="F7FAFC"/>
            <w:tcMar>
              <w:top w:w="80" w:type="dxa"/>
              <w:bottom w:w="80" w:type="dxa"/>
              <w:left w:w="80" w:type="dxa"/>
              <w:right w:w="80" w:type="dxa"/>
            </w:tcMar>
          </w:tcPr>
          <w:p>
            <w:r>
              <w:rPr>
                <w:rFonts w:ascii="Calibri" w:hAnsi="Calibri"/>
                <w:color w:val="2D3748"/>
                <w:sz w:val="17"/>
              </w:rPr>
              <w:t>Algorithmic search heavily biased toward ad-spend</w:t>
            </w:r>
          </w:p>
        </w:tc>
        <w:tc>
          <w:tcPr>
            <w:tcW w:type="dxa" w:w="1560"/>
            <w:shd w:fill="F7FAFC"/>
            <w:tcMar>
              <w:top w:w="80" w:type="dxa"/>
              <w:bottom w:w="80" w:type="dxa"/>
              <w:left w:w="80" w:type="dxa"/>
              <w:right w:w="80" w:type="dxa"/>
            </w:tcMar>
          </w:tcPr>
          <w:p>
            <w:r>
              <w:rPr>
                <w:rFonts w:ascii="Calibri" w:hAnsi="Calibri"/>
                <w:color w:val="2D3748"/>
                <w:sz w:val="17"/>
              </w:rPr>
              <w:t>Zomato Dining / Bookings (Basic slot booking)</w:t>
            </w:r>
          </w:p>
        </w:tc>
        <w:tc>
          <w:tcPr>
            <w:tcW w:type="dxa" w:w="1560"/>
            <w:shd w:fill="F7FAFC"/>
            <w:tcMar>
              <w:top w:w="80" w:type="dxa"/>
              <w:bottom w:w="80" w:type="dxa"/>
              <w:left w:w="80" w:type="dxa"/>
              <w:right w:w="80" w:type="dxa"/>
            </w:tcMar>
          </w:tcPr>
          <w:p>
            <w:r>
              <w:rPr>
                <w:rFonts w:ascii="Calibri" w:hAnsi="Calibri"/>
                <w:color w:val="2D3748"/>
                <w:sz w:val="17"/>
              </w:rPr>
              <w:t>High commission, predatory ad pressure, delivery rider unrest, customer data masking</w:t>
            </w:r>
          </w:p>
        </w:tc>
      </w:tr>
      <w:tr>
        <w:tc>
          <w:tcPr>
            <w:tcW w:type="dxa" w:w="1560"/>
            <w:shd w:fill="FFFFFF"/>
            <w:tcMar>
              <w:top w:w="80" w:type="dxa"/>
              <w:bottom w:w="80" w:type="dxa"/>
              <w:left w:w="80" w:type="dxa"/>
              <w:right w:w="80" w:type="dxa"/>
            </w:tcMar>
          </w:tcPr>
          <w:p>
            <w:r>
              <w:rPr>
                <w:rFonts w:ascii="Calibri" w:hAnsi="Calibri"/>
                <w:color w:val="2D3748"/>
                <w:sz w:val="17"/>
              </w:rPr>
              <w:t>Swiggy</w:t>
            </w:r>
          </w:p>
        </w:tc>
        <w:tc>
          <w:tcPr>
            <w:tcW w:type="dxa" w:w="1560"/>
            <w:shd w:fill="FFFFFF"/>
            <w:tcMar>
              <w:top w:w="80" w:type="dxa"/>
              <w:bottom w:w="80" w:type="dxa"/>
              <w:left w:w="80" w:type="dxa"/>
              <w:right w:w="80" w:type="dxa"/>
            </w:tcMar>
          </w:tcPr>
          <w:p>
            <w:r>
              <w:rPr>
                <w:rFonts w:ascii="Calibri" w:hAnsi="Calibri"/>
                <w:color w:val="2D3748"/>
                <w:sz w:val="17"/>
              </w:rPr>
              <w:t>Food Delivery, Instamart Quick Commerce, Dineout</w:t>
            </w:r>
          </w:p>
        </w:tc>
        <w:tc>
          <w:tcPr>
            <w:tcW w:type="dxa" w:w="1560"/>
            <w:shd w:fill="FFFFFF"/>
            <w:tcMar>
              <w:top w:w="80" w:type="dxa"/>
              <w:bottom w:w="80" w:type="dxa"/>
              <w:left w:w="80" w:type="dxa"/>
              <w:right w:w="80" w:type="dxa"/>
            </w:tcMar>
          </w:tcPr>
          <w:p>
            <w:r>
              <w:rPr>
                <w:rFonts w:ascii="Calibri" w:hAnsi="Calibri"/>
                <w:color w:val="2D3748"/>
                <w:sz w:val="17"/>
              </w:rPr>
              <w:t>18% - 26% per order + ₹5-₹9 platform fee</w:t>
            </w:r>
          </w:p>
        </w:tc>
        <w:tc>
          <w:tcPr>
            <w:tcW w:type="dxa" w:w="1560"/>
            <w:shd w:fill="FFFFFF"/>
            <w:tcMar>
              <w:top w:w="80" w:type="dxa"/>
              <w:bottom w:w="80" w:type="dxa"/>
              <w:left w:w="80" w:type="dxa"/>
              <w:right w:w="80" w:type="dxa"/>
            </w:tcMar>
          </w:tcPr>
          <w:p>
            <w:r>
              <w:rPr>
                <w:rFonts w:ascii="Calibri" w:hAnsi="Calibri"/>
                <w:color w:val="2D3748"/>
                <w:sz w:val="17"/>
              </w:rPr>
              <w:t>Discovery feed optimized for ad slots &amp; high-margin cloud kitchens</w:t>
            </w:r>
          </w:p>
        </w:tc>
        <w:tc>
          <w:tcPr>
            <w:tcW w:type="dxa" w:w="1560"/>
            <w:shd w:fill="FFFFFF"/>
            <w:tcMar>
              <w:top w:w="80" w:type="dxa"/>
              <w:bottom w:w="80" w:type="dxa"/>
              <w:left w:w="80" w:type="dxa"/>
              <w:right w:w="80" w:type="dxa"/>
            </w:tcMar>
          </w:tcPr>
          <w:p>
            <w:r>
              <w:rPr>
                <w:rFonts w:ascii="Calibri" w:hAnsi="Calibri"/>
                <w:color w:val="2D3748"/>
                <w:sz w:val="17"/>
              </w:rPr>
              <w:t>Swiggy Dineout (Discount table offers)</w:t>
            </w:r>
          </w:p>
        </w:tc>
        <w:tc>
          <w:tcPr>
            <w:tcW w:type="dxa" w:w="1560"/>
            <w:shd w:fill="FFFFFF"/>
            <w:tcMar>
              <w:top w:w="80" w:type="dxa"/>
              <w:bottom w:w="80" w:type="dxa"/>
              <w:left w:w="80" w:type="dxa"/>
              <w:right w:w="80" w:type="dxa"/>
            </w:tcMar>
          </w:tcPr>
          <w:p>
            <w:r>
              <w:rPr>
                <w:rFonts w:ascii="Calibri" w:hAnsi="Calibri"/>
                <w:color w:val="2D3748"/>
                <w:sz w:val="17"/>
              </w:rPr>
              <w:t>Discount dilution for fine dining, unannounced customer fees, high churn among mid-tier cafes</w:t>
            </w:r>
          </w:p>
        </w:tc>
      </w:tr>
      <w:tr>
        <w:tc>
          <w:tcPr>
            <w:tcW w:type="dxa" w:w="1560"/>
            <w:shd w:fill="F7FAFC"/>
            <w:tcMar>
              <w:top w:w="80" w:type="dxa"/>
              <w:bottom w:w="80" w:type="dxa"/>
              <w:left w:w="80" w:type="dxa"/>
              <w:right w:w="80" w:type="dxa"/>
            </w:tcMar>
          </w:tcPr>
          <w:p>
            <w:r>
              <w:rPr>
                <w:rFonts w:ascii="Calibri" w:hAnsi="Calibri"/>
                <w:color w:val="2D3748"/>
                <w:sz w:val="17"/>
              </w:rPr>
              <w:t>OpenTable</w:t>
            </w:r>
          </w:p>
        </w:tc>
        <w:tc>
          <w:tcPr>
            <w:tcW w:type="dxa" w:w="1560"/>
            <w:shd w:fill="F7FAFC"/>
            <w:tcMar>
              <w:top w:w="80" w:type="dxa"/>
              <w:bottom w:w="80" w:type="dxa"/>
              <w:left w:w="80" w:type="dxa"/>
              <w:right w:w="80" w:type="dxa"/>
            </w:tcMar>
          </w:tcPr>
          <w:p>
            <w:r>
              <w:rPr>
                <w:rFonts w:ascii="Calibri" w:hAnsi="Calibri"/>
                <w:color w:val="2D3748"/>
                <w:sz w:val="17"/>
              </w:rPr>
              <w:t>Table Reservations, Guest Experience</w:t>
            </w:r>
          </w:p>
        </w:tc>
        <w:tc>
          <w:tcPr>
            <w:tcW w:type="dxa" w:w="1560"/>
            <w:shd w:fill="F7FAFC"/>
            <w:tcMar>
              <w:top w:w="80" w:type="dxa"/>
              <w:bottom w:w="80" w:type="dxa"/>
              <w:left w:w="80" w:type="dxa"/>
              <w:right w:w="80" w:type="dxa"/>
            </w:tcMar>
          </w:tcPr>
          <w:p>
            <w:r>
              <w:rPr>
                <w:rFonts w:ascii="Calibri" w:hAnsi="Calibri"/>
                <w:color w:val="2D3748"/>
                <w:sz w:val="17"/>
              </w:rPr>
              <w:t>$249-$449/mo flat SaaS + $1.00-$2.50 per seated diner via network</w:t>
            </w:r>
          </w:p>
        </w:tc>
        <w:tc>
          <w:tcPr>
            <w:tcW w:type="dxa" w:w="1560"/>
            <w:shd w:fill="F7FAFC"/>
            <w:tcMar>
              <w:top w:w="80" w:type="dxa"/>
              <w:bottom w:w="80" w:type="dxa"/>
              <w:left w:w="80" w:type="dxa"/>
              <w:right w:w="80" w:type="dxa"/>
            </w:tcMar>
          </w:tcPr>
          <w:p>
            <w:r>
              <w:rPr>
                <w:rFonts w:ascii="Calibri" w:hAnsi="Calibri"/>
                <w:color w:val="2D3748"/>
                <w:sz w:val="17"/>
              </w:rPr>
              <w:t>Global reservation portal, international traveler reach</w:t>
            </w:r>
          </w:p>
        </w:tc>
        <w:tc>
          <w:tcPr>
            <w:tcW w:type="dxa" w:w="1560"/>
            <w:shd w:fill="F7FAFC"/>
            <w:tcMar>
              <w:top w:w="80" w:type="dxa"/>
              <w:bottom w:w="80" w:type="dxa"/>
              <w:left w:w="80" w:type="dxa"/>
              <w:right w:w="80" w:type="dxa"/>
            </w:tcMar>
          </w:tcPr>
          <w:p>
            <w:r>
              <w:rPr>
                <w:rFonts w:ascii="Calibri" w:hAnsi="Calibri"/>
                <w:color w:val="2D3748"/>
                <w:sz w:val="17"/>
              </w:rPr>
              <w:t>Industry-leading floor plan &amp; table assignment engine</w:t>
            </w:r>
          </w:p>
        </w:tc>
        <w:tc>
          <w:tcPr>
            <w:tcW w:type="dxa" w:w="1560"/>
            <w:shd w:fill="F7FAFC"/>
            <w:tcMar>
              <w:top w:w="80" w:type="dxa"/>
              <w:bottom w:w="80" w:type="dxa"/>
              <w:left w:w="80" w:type="dxa"/>
              <w:right w:w="80" w:type="dxa"/>
            </w:tcMar>
          </w:tcPr>
          <w:p>
            <w:r>
              <w:rPr>
                <w:rFonts w:ascii="Calibri" w:hAnsi="Calibri"/>
                <w:color w:val="2D3748"/>
                <w:sz w:val="17"/>
              </w:rPr>
              <w:t>Zero delivery/takeaway logistics, high fee per seated guest, vulnerable to no-shows without prepayments</w:t>
            </w:r>
          </w:p>
        </w:tc>
      </w:tr>
      <w:tr>
        <w:tc>
          <w:tcPr>
            <w:tcW w:type="dxa" w:w="1560"/>
            <w:shd w:fill="FFFFFF"/>
            <w:tcMar>
              <w:top w:w="80" w:type="dxa"/>
              <w:bottom w:w="80" w:type="dxa"/>
              <w:left w:w="80" w:type="dxa"/>
              <w:right w:w="80" w:type="dxa"/>
            </w:tcMar>
          </w:tcPr>
          <w:p>
            <w:r>
              <w:rPr>
                <w:rFonts w:ascii="Calibri" w:hAnsi="Calibri"/>
                <w:color w:val="2D3748"/>
                <w:sz w:val="17"/>
              </w:rPr>
              <w:t>Toast</w:t>
            </w:r>
          </w:p>
        </w:tc>
        <w:tc>
          <w:tcPr>
            <w:tcW w:type="dxa" w:w="1560"/>
            <w:shd w:fill="FFFFFF"/>
            <w:tcMar>
              <w:top w:w="80" w:type="dxa"/>
              <w:bottom w:w="80" w:type="dxa"/>
              <w:left w:w="80" w:type="dxa"/>
              <w:right w:w="80" w:type="dxa"/>
            </w:tcMar>
          </w:tcPr>
          <w:p>
            <w:r>
              <w:rPr>
                <w:rFonts w:ascii="Calibri" w:hAnsi="Calibri"/>
                <w:color w:val="2D3748"/>
                <w:sz w:val="17"/>
              </w:rPr>
              <w:t>Integrated POS, Direct Online Ordering, Handhelds</w:t>
            </w:r>
          </w:p>
        </w:tc>
        <w:tc>
          <w:tcPr>
            <w:tcW w:type="dxa" w:w="1560"/>
            <w:shd w:fill="FFFFFF"/>
            <w:tcMar>
              <w:top w:w="80" w:type="dxa"/>
              <w:bottom w:w="80" w:type="dxa"/>
              <w:left w:w="80" w:type="dxa"/>
              <w:right w:w="80" w:type="dxa"/>
            </w:tcMar>
          </w:tcPr>
          <w:p>
            <w:r>
              <w:rPr>
                <w:rFonts w:ascii="Calibri" w:hAnsi="Calibri"/>
                <w:color w:val="2D3748"/>
                <w:sz w:val="17"/>
              </w:rPr>
              <w:t>$69-$165/mo SaaS + 2.49% to 2.99% + 15¢ card processing</w:t>
            </w:r>
          </w:p>
        </w:tc>
        <w:tc>
          <w:tcPr>
            <w:tcW w:type="dxa" w:w="1560"/>
            <w:shd w:fill="FFFFFF"/>
            <w:tcMar>
              <w:top w:w="80" w:type="dxa"/>
              <w:bottom w:w="80" w:type="dxa"/>
              <w:left w:w="80" w:type="dxa"/>
              <w:right w:w="80" w:type="dxa"/>
            </w:tcMar>
          </w:tcPr>
          <w:p>
            <w:r>
              <w:rPr>
                <w:rFonts w:ascii="Calibri" w:hAnsi="Calibri"/>
                <w:color w:val="2D3748"/>
                <w:sz w:val="17"/>
              </w:rPr>
              <w:t>Zero built-in marketplace discovery; restaurant must drive own traffic</w:t>
            </w:r>
          </w:p>
        </w:tc>
        <w:tc>
          <w:tcPr>
            <w:tcW w:type="dxa" w:w="1560"/>
            <w:shd w:fill="FFFFFF"/>
            <w:tcMar>
              <w:top w:w="80" w:type="dxa"/>
              <w:bottom w:w="80" w:type="dxa"/>
              <w:left w:w="80" w:type="dxa"/>
              <w:right w:w="80" w:type="dxa"/>
            </w:tcMar>
          </w:tcPr>
          <w:p>
            <w:r>
              <w:rPr>
                <w:rFonts w:ascii="Calibri" w:hAnsi="Calibri"/>
                <w:color w:val="2D3748"/>
                <w:sz w:val="17"/>
              </w:rPr>
              <w:t>Basic table layout integration via POS hardware</w:t>
            </w:r>
          </w:p>
        </w:tc>
        <w:tc>
          <w:tcPr>
            <w:tcW w:type="dxa" w:w="1560"/>
            <w:shd w:fill="FFFFFF"/>
            <w:tcMar>
              <w:top w:w="80" w:type="dxa"/>
              <w:bottom w:w="80" w:type="dxa"/>
              <w:left w:w="80" w:type="dxa"/>
              <w:right w:w="80" w:type="dxa"/>
            </w:tcMar>
          </w:tcPr>
          <w:p>
            <w:r>
              <w:rPr>
                <w:rFonts w:ascii="Calibri" w:hAnsi="Calibri"/>
                <w:color w:val="2D3748"/>
                <w:sz w:val="17"/>
              </w:rPr>
              <w:t>Hardware lock-in, zero external marketplace demand, complex setup for multi-brand cloud kitchens</w:t>
            </w:r>
          </w:p>
        </w:tc>
      </w:tr>
      <w:tr>
        <w:tc>
          <w:tcPr>
            <w:tcW w:type="dxa" w:w="1560"/>
            <w:shd w:fill="EBF8FF"/>
            <w:tcMar>
              <w:top w:w="80" w:type="dxa"/>
              <w:bottom w:w="80" w:type="dxa"/>
              <w:left w:w="80" w:type="dxa"/>
              <w:right w:w="80" w:type="dxa"/>
            </w:tcMar>
          </w:tcPr>
          <w:p>
            <w:r>
              <w:rPr>
                <w:rFonts w:ascii="Calibri" w:hAnsi="Calibri"/>
                <w:b/>
                <w:color w:val="2B6CB0"/>
                <w:sz w:val="17"/>
              </w:rPr>
              <w:t>GourmetFleet (Proposed)</w:t>
            </w:r>
          </w:p>
        </w:tc>
        <w:tc>
          <w:tcPr>
            <w:tcW w:type="dxa" w:w="1560"/>
            <w:shd w:fill="EBF8FF"/>
            <w:tcMar>
              <w:top w:w="80" w:type="dxa"/>
              <w:bottom w:w="80" w:type="dxa"/>
              <w:left w:w="80" w:type="dxa"/>
              <w:right w:w="80" w:type="dxa"/>
            </w:tcMar>
          </w:tcPr>
          <w:p>
            <w:r>
              <w:rPr>
                <w:rFonts w:ascii="Calibri" w:hAnsi="Calibri"/>
                <w:b/>
                <w:color w:val="2B6CB0"/>
                <w:sz w:val="17"/>
              </w:rPr>
              <w:t>Unified Delivery, Takeaway, Reservations &amp; Owner AI</w:t>
            </w:r>
          </w:p>
        </w:tc>
        <w:tc>
          <w:tcPr>
            <w:tcW w:type="dxa" w:w="1560"/>
            <w:shd w:fill="EBF8FF"/>
            <w:tcMar>
              <w:top w:w="80" w:type="dxa"/>
              <w:bottom w:w="80" w:type="dxa"/>
              <w:left w:w="80" w:type="dxa"/>
              <w:right w:w="80" w:type="dxa"/>
            </w:tcMar>
          </w:tcPr>
          <w:p>
            <w:r>
              <w:rPr>
                <w:rFonts w:ascii="Calibri" w:hAnsi="Calibri"/>
                <w:b/>
                <w:color w:val="2B6CB0"/>
                <w:sz w:val="17"/>
              </w:rPr>
              <w:t>Tiered 8% - 12% capped commission OR $89/mo Flat SaaS + 3%</w:t>
            </w:r>
          </w:p>
        </w:tc>
        <w:tc>
          <w:tcPr>
            <w:tcW w:type="dxa" w:w="1560"/>
            <w:shd w:fill="EBF8FF"/>
            <w:tcMar>
              <w:top w:w="80" w:type="dxa"/>
              <w:bottom w:w="80" w:type="dxa"/>
              <w:left w:w="80" w:type="dxa"/>
              <w:right w:w="80" w:type="dxa"/>
            </w:tcMar>
          </w:tcPr>
          <w:p>
            <w:r>
              <w:rPr>
                <w:rFonts w:ascii="Calibri" w:hAnsi="Calibri"/>
                <w:b/>
                <w:color w:val="2B6CB0"/>
                <w:sz w:val="17"/>
              </w:rPr>
              <w:t>Organic discovery based on verified hygiene, reviews, and proximity</w:t>
            </w:r>
          </w:p>
        </w:tc>
        <w:tc>
          <w:tcPr>
            <w:tcW w:type="dxa" w:w="1560"/>
            <w:shd w:fill="EBF8FF"/>
            <w:tcMar>
              <w:top w:w="80" w:type="dxa"/>
              <w:bottom w:w="80" w:type="dxa"/>
              <w:left w:w="80" w:type="dxa"/>
              <w:right w:w="80" w:type="dxa"/>
            </w:tcMar>
          </w:tcPr>
          <w:p>
            <w:r>
              <w:rPr>
                <w:rFonts w:ascii="Calibri" w:hAnsi="Calibri"/>
                <w:b/>
                <w:color w:val="2B6CB0"/>
                <w:sz w:val="17"/>
              </w:rPr>
              <w:t>Real-time atomic slot lock, deposit support, QR pass, zero no-show hold</w:t>
            </w:r>
          </w:p>
        </w:tc>
        <w:tc>
          <w:tcPr>
            <w:tcW w:type="dxa" w:w="1560"/>
            <w:shd w:fill="EBF8FF"/>
            <w:tcMar>
              <w:top w:w="80" w:type="dxa"/>
              <w:bottom w:w="80" w:type="dxa"/>
              <w:left w:w="80" w:type="dxa"/>
              <w:right w:w="80" w:type="dxa"/>
            </w:tcMar>
          </w:tcPr>
          <w:p>
            <w:r>
              <w:rPr>
                <w:rFonts w:ascii="Calibri" w:hAnsi="Calibri"/>
                <w:b/>
                <w:color w:val="2B6CB0"/>
                <w:sz w:val="17"/>
              </w:rPr>
              <w:t>Requires building brand trust and initial density compared to incumbent gig-fleets</w:t>
            </w:r>
          </w:p>
        </w:tc>
      </w:tr>
    </w:tbl>
    <w:p>
      <w:pPr>
        <w:spacing w:after="160"/>
      </w:pPr>
    </w:p>
    <w:p>
      <w:pPr>
        <w:pStyle w:val="Heading1"/>
        <w:keepNext/>
        <w:spacing w:before="360" w:after="120"/>
      </w:pPr>
      <w:r>
        <w:rPr>
          <w:rFonts w:ascii="Calibri" w:hAnsi="Calibri"/>
          <w:b/>
          <w:color w:val="1A365D"/>
          <w:sz w:val="36"/>
        </w:rPr>
        <w:t>3. Small Restaurant Unit Economics &amp; Fee Breakdown</w:t>
      </w:r>
    </w:p>
    <w:p>
      <w:r>
        <w:t>A critical flaw of incumbent aggregators is the extraction of unsustainable margins from small and medium food enterprises (SMEs). Below is a validated unit economic comparison on an average order value (AOV) of ₹600 ($7.20 USD equivalent):</w:t>
      </w:r>
    </w:p>
    <w:tbl>
      <w:tblPr>
        <w:tblW w:type="auto" w:w="0"/>
        <w:jc w:val="center"/>
        <w:tblLook w:firstColumn="1" w:firstRow="1" w:lastColumn="0" w:lastRow="0" w:noHBand="0" w:noVBand="1" w:val="04A0"/>
      </w:tblPr>
      <w:tblGrid>
        <w:gridCol w:w="2340"/>
        <w:gridCol w:w="2340"/>
        <w:gridCol w:w="2340"/>
        <w:gridCol w:w="2340"/>
      </w:tblGrid>
      <w:tr>
        <w:tc>
          <w:tcPr>
            <w:tcW w:type="dxa" w:w="2340"/>
            <w:shd w:fill="2B6CB0"/>
            <w:tcMar>
              <w:top w:w="100" w:type="dxa"/>
              <w:bottom w:w="100" w:type="dxa"/>
              <w:left w:w="100" w:type="dxa"/>
              <w:right w:w="100" w:type="dxa"/>
            </w:tcMar>
          </w:tcPr>
          <w:p>
            <w:r>
              <w:rPr>
                <w:b/>
                <w:color w:val="FFFFFF"/>
                <w:sz w:val="18"/>
              </w:rPr>
              <w:t>Financial Metric / Line Item</w:t>
            </w:r>
          </w:p>
        </w:tc>
        <w:tc>
          <w:tcPr>
            <w:tcW w:type="dxa" w:w="2340"/>
            <w:shd w:fill="2B6CB0"/>
            <w:tcMar>
              <w:top w:w="100" w:type="dxa"/>
              <w:bottom w:w="100" w:type="dxa"/>
              <w:left w:w="100" w:type="dxa"/>
              <w:right w:w="100" w:type="dxa"/>
            </w:tcMar>
          </w:tcPr>
          <w:p>
            <w:r>
              <w:rPr>
                <w:b/>
                <w:color w:val="FFFFFF"/>
                <w:sz w:val="18"/>
              </w:rPr>
              <w:t>Incumbent Aggregator (24% Comm.)</w:t>
            </w:r>
          </w:p>
        </w:tc>
        <w:tc>
          <w:tcPr>
            <w:tcW w:type="dxa" w:w="2340"/>
            <w:shd w:fill="2B6CB0"/>
            <w:tcMar>
              <w:top w:w="100" w:type="dxa"/>
              <w:bottom w:w="100" w:type="dxa"/>
              <w:left w:w="100" w:type="dxa"/>
              <w:right w:w="100" w:type="dxa"/>
            </w:tcMar>
          </w:tcPr>
          <w:p>
            <w:r>
              <w:rPr>
                <w:b/>
                <w:color w:val="FFFFFF"/>
                <w:sz w:val="18"/>
              </w:rPr>
              <w:t>GourmetFleet Model (9% Comm.)</w:t>
            </w:r>
          </w:p>
        </w:tc>
        <w:tc>
          <w:tcPr>
            <w:tcW w:type="dxa" w:w="2340"/>
            <w:shd w:fill="2B6CB0"/>
            <w:tcMar>
              <w:top w:w="100" w:type="dxa"/>
              <w:bottom w:w="100" w:type="dxa"/>
              <w:left w:w="100" w:type="dxa"/>
              <w:right w:w="100" w:type="dxa"/>
            </w:tcMar>
          </w:tcPr>
          <w:p>
            <w:r>
              <w:rPr>
                <w:b/>
                <w:color w:val="FFFFFF"/>
                <w:sz w:val="18"/>
              </w:rPr>
              <w:t>Variance / Restaurant Benefit</w:t>
            </w:r>
          </w:p>
        </w:tc>
      </w:tr>
      <w:tr>
        <w:tc>
          <w:tcPr>
            <w:tcW w:type="dxa" w:w="2340"/>
            <w:shd w:fill="F7FAFC"/>
            <w:tcMar>
              <w:top w:w="70" w:type="dxa"/>
              <w:bottom w:w="70" w:type="dxa"/>
              <w:left w:w="80" w:type="dxa"/>
              <w:right w:w="80" w:type="dxa"/>
            </w:tcMar>
          </w:tcPr>
          <w:p>
            <w:r>
              <w:rPr>
                <w:rFonts w:ascii="Calibri" w:hAnsi="Calibri"/>
                <w:sz w:val="17"/>
              </w:rPr>
              <w:t>Gross Food Subtotal</w:t>
            </w:r>
          </w:p>
        </w:tc>
        <w:tc>
          <w:tcPr>
            <w:tcW w:type="dxa" w:w="2340"/>
            <w:shd w:fill="F7FAFC"/>
            <w:tcMar>
              <w:top w:w="70" w:type="dxa"/>
              <w:bottom w:w="70" w:type="dxa"/>
              <w:left w:w="80" w:type="dxa"/>
              <w:right w:w="80" w:type="dxa"/>
            </w:tcMar>
          </w:tcPr>
          <w:p>
            <w:r>
              <w:rPr>
                <w:rFonts w:ascii="Calibri" w:hAnsi="Calibri"/>
                <w:sz w:val="17"/>
              </w:rPr>
              <w:t>₹600.00</w:t>
            </w:r>
          </w:p>
        </w:tc>
        <w:tc>
          <w:tcPr>
            <w:tcW w:type="dxa" w:w="2340"/>
            <w:shd w:fill="F7FAFC"/>
            <w:tcMar>
              <w:top w:w="70" w:type="dxa"/>
              <w:bottom w:w="70" w:type="dxa"/>
              <w:left w:w="80" w:type="dxa"/>
              <w:right w:w="80" w:type="dxa"/>
            </w:tcMar>
          </w:tcPr>
          <w:p>
            <w:r>
              <w:rPr>
                <w:rFonts w:ascii="Calibri" w:hAnsi="Calibri"/>
                <w:sz w:val="17"/>
              </w:rPr>
              <w:t>₹600.00</w:t>
            </w:r>
          </w:p>
        </w:tc>
        <w:tc>
          <w:tcPr>
            <w:tcW w:type="dxa" w:w="2340"/>
            <w:shd w:fill="F7FAFC"/>
            <w:tcMar>
              <w:top w:w="70" w:type="dxa"/>
              <w:bottom w:w="70" w:type="dxa"/>
              <w:left w:w="80" w:type="dxa"/>
              <w:right w:w="80" w:type="dxa"/>
            </w:tcMar>
          </w:tcPr>
          <w:p>
            <w:r>
              <w:rPr>
                <w:rFonts w:ascii="Calibri" w:hAnsi="Calibri"/>
                <w:sz w:val="17"/>
              </w:rPr>
              <w:t>Standard AOV baseline</w:t>
            </w:r>
          </w:p>
        </w:tc>
      </w:tr>
      <w:tr>
        <w:tc>
          <w:tcPr>
            <w:tcW w:type="dxa" w:w="2340"/>
            <w:shd w:fill="FFFFFF"/>
            <w:tcMar>
              <w:top w:w="70" w:type="dxa"/>
              <w:bottom w:w="70" w:type="dxa"/>
              <w:left w:w="80" w:type="dxa"/>
              <w:right w:w="80" w:type="dxa"/>
            </w:tcMar>
          </w:tcPr>
          <w:p>
            <w:r>
              <w:rPr>
                <w:rFonts w:ascii="Calibri" w:hAnsi="Calibri"/>
                <w:sz w:val="17"/>
              </w:rPr>
              <w:t>Food Cost (COGS @ 32%)</w:t>
            </w:r>
          </w:p>
        </w:tc>
        <w:tc>
          <w:tcPr>
            <w:tcW w:type="dxa" w:w="2340"/>
            <w:shd w:fill="FFFFFF"/>
            <w:tcMar>
              <w:top w:w="70" w:type="dxa"/>
              <w:bottom w:w="70" w:type="dxa"/>
              <w:left w:w="80" w:type="dxa"/>
              <w:right w:w="80" w:type="dxa"/>
            </w:tcMar>
          </w:tcPr>
          <w:p>
            <w:r>
              <w:rPr>
                <w:rFonts w:ascii="Calibri" w:hAnsi="Calibri"/>
                <w:sz w:val="17"/>
              </w:rPr>
              <w:t>-₹192.00</w:t>
            </w:r>
          </w:p>
        </w:tc>
        <w:tc>
          <w:tcPr>
            <w:tcW w:type="dxa" w:w="2340"/>
            <w:shd w:fill="FFFFFF"/>
            <w:tcMar>
              <w:top w:w="70" w:type="dxa"/>
              <w:bottom w:w="70" w:type="dxa"/>
              <w:left w:w="80" w:type="dxa"/>
              <w:right w:w="80" w:type="dxa"/>
            </w:tcMar>
          </w:tcPr>
          <w:p>
            <w:r>
              <w:rPr>
                <w:rFonts w:ascii="Calibri" w:hAnsi="Calibri"/>
                <w:sz w:val="17"/>
              </w:rPr>
              <w:t>-₹192.00</w:t>
            </w:r>
          </w:p>
        </w:tc>
        <w:tc>
          <w:tcPr>
            <w:tcW w:type="dxa" w:w="2340"/>
            <w:shd w:fill="FFFFFF"/>
            <w:tcMar>
              <w:top w:w="70" w:type="dxa"/>
              <w:bottom w:w="70" w:type="dxa"/>
              <w:left w:w="80" w:type="dxa"/>
              <w:right w:w="80" w:type="dxa"/>
            </w:tcMar>
          </w:tcPr>
          <w:p>
            <w:r>
              <w:rPr>
                <w:rFonts w:ascii="Calibri" w:hAnsi="Calibri"/>
                <w:sz w:val="17"/>
              </w:rPr>
              <w:t>Ingredients &amp; raw materials</w:t>
            </w:r>
          </w:p>
        </w:tc>
      </w:tr>
      <w:tr>
        <w:tc>
          <w:tcPr>
            <w:tcW w:type="dxa" w:w="2340"/>
            <w:shd w:fill="F7FAFC"/>
            <w:tcMar>
              <w:top w:w="70" w:type="dxa"/>
              <w:bottom w:w="70" w:type="dxa"/>
              <w:left w:w="80" w:type="dxa"/>
              <w:right w:w="80" w:type="dxa"/>
            </w:tcMar>
          </w:tcPr>
          <w:p>
            <w:r>
              <w:rPr>
                <w:rFonts w:ascii="Calibri" w:hAnsi="Calibri"/>
                <w:sz w:val="17"/>
              </w:rPr>
              <w:t>Packaging &amp; Eco-Containers</w:t>
            </w:r>
          </w:p>
        </w:tc>
        <w:tc>
          <w:tcPr>
            <w:tcW w:type="dxa" w:w="2340"/>
            <w:shd w:fill="F7FAFC"/>
            <w:tcMar>
              <w:top w:w="70" w:type="dxa"/>
              <w:bottom w:w="70" w:type="dxa"/>
              <w:left w:w="80" w:type="dxa"/>
              <w:right w:w="80" w:type="dxa"/>
            </w:tcMar>
          </w:tcPr>
          <w:p>
            <w:r>
              <w:rPr>
                <w:rFonts w:ascii="Calibri" w:hAnsi="Calibri"/>
                <w:sz w:val="17"/>
              </w:rPr>
              <w:t>-₹30.00</w:t>
            </w:r>
          </w:p>
        </w:tc>
        <w:tc>
          <w:tcPr>
            <w:tcW w:type="dxa" w:w="2340"/>
            <w:shd w:fill="F7FAFC"/>
            <w:tcMar>
              <w:top w:w="70" w:type="dxa"/>
              <w:bottom w:w="70" w:type="dxa"/>
              <w:left w:w="80" w:type="dxa"/>
              <w:right w:w="80" w:type="dxa"/>
            </w:tcMar>
          </w:tcPr>
          <w:p>
            <w:r>
              <w:rPr>
                <w:rFonts w:ascii="Calibri" w:hAnsi="Calibri"/>
                <w:sz w:val="17"/>
              </w:rPr>
              <w:t>-₹30.00</w:t>
            </w:r>
          </w:p>
        </w:tc>
        <w:tc>
          <w:tcPr>
            <w:tcW w:type="dxa" w:w="2340"/>
            <w:shd w:fill="F7FAFC"/>
            <w:tcMar>
              <w:top w:w="70" w:type="dxa"/>
              <w:bottom w:w="70" w:type="dxa"/>
              <w:left w:w="80" w:type="dxa"/>
              <w:right w:w="80" w:type="dxa"/>
            </w:tcMar>
          </w:tcPr>
          <w:p>
            <w:r>
              <w:rPr>
                <w:rFonts w:ascii="Calibri" w:hAnsi="Calibri"/>
                <w:sz w:val="17"/>
              </w:rPr>
              <w:t>Quality tamper-proof boxes</w:t>
            </w:r>
          </w:p>
        </w:tc>
      </w:tr>
      <w:tr>
        <w:tc>
          <w:tcPr>
            <w:tcW w:type="dxa" w:w="2340"/>
            <w:shd w:fill="FFFFFF"/>
            <w:tcMar>
              <w:top w:w="70" w:type="dxa"/>
              <w:bottom w:w="70" w:type="dxa"/>
              <w:left w:w="80" w:type="dxa"/>
              <w:right w:w="80" w:type="dxa"/>
            </w:tcMar>
          </w:tcPr>
          <w:p>
            <w:r>
              <w:rPr>
                <w:rFonts w:ascii="Calibri" w:hAnsi="Calibri"/>
                <w:sz w:val="17"/>
              </w:rPr>
              <w:t>Platform Commission</w:t>
            </w:r>
          </w:p>
        </w:tc>
        <w:tc>
          <w:tcPr>
            <w:tcW w:type="dxa" w:w="2340"/>
            <w:shd w:fill="FFFFFF"/>
            <w:tcMar>
              <w:top w:w="70" w:type="dxa"/>
              <w:bottom w:w="70" w:type="dxa"/>
              <w:left w:w="80" w:type="dxa"/>
              <w:right w:w="80" w:type="dxa"/>
            </w:tcMar>
          </w:tcPr>
          <w:p>
            <w:r>
              <w:rPr>
                <w:rFonts w:ascii="Calibri" w:hAnsi="Calibri"/>
                <w:sz w:val="17"/>
              </w:rPr>
              <w:t>-₹144.00 (24%)</w:t>
            </w:r>
          </w:p>
        </w:tc>
        <w:tc>
          <w:tcPr>
            <w:tcW w:type="dxa" w:w="2340"/>
            <w:shd w:fill="FFFFFF"/>
            <w:tcMar>
              <w:top w:w="70" w:type="dxa"/>
              <w:bottom w:w="70" w:type="dxa"/>
              <w:left w:w="80" w:type="dxa"/>
              <w:right w:w="80" w:type="dxa"/>
            </w:tcMar>
          </w:tcPr>
          <w:p>
            <w:r>
              <w:rPr>
                <w:rFonts w:ascii="Calibri" w:hAnsi="Calibri"/>
                <w:sz w:val="17"/>
              </w:rPr>
              <w:t>-₹54.00 (9%)</w:t>
            </w:r>
          </w:p>
        </w:tc>
        <w:tc>
          <w:tcPr>
            <w:tcW w:type="dxa" w:w="2340"/>
            <w:shd w:fill="FFFFFF"/>
            <w:tcMar>
              <w:top w:w="70" w:type="dxa"/>
              <w:bottom w:w="70" w:type="dxa"/>
              <w:left w:w="80" w:type="dxa"/>
              <w:right w:w="80" w:type="dxa"/>
            </w:tcMar>
          </w:tcPr>
          <w:p>
            <w:r>
              <w:rPr>
                <w:rFonts w:ascii="Calibri" w:hAnsi="Calibri"/>
                <w:sz w:val="17"/>
              </w:rPr>
              <w:t>+₹90.00 retained margin (+15%)</w:t>
            </w:r>
          </w:p>
        </w:tc>
      </w:tr>
      <w:tr>
        <w:tc>
          <w:tcPr>
            <w:tcW w:type="dxa" w:w="2340"/>
            <w:shd w:fill="F7FAFC"/>
            <w:tcMar>
              <w:top w:w="70" w:type="dxa"/>
              <w:bottom w:w="70" w:type="dxa"/>
              <w:left w:w="80" w:type="dxa"/>
              <w:right w:w="80" w:type="dxa"/>
            </w:tcMar>
          </w:tcPr>
          <w:p>
            <w:r>
              <w:rPr>
                <w:rFonts w:ascii="Calibri" w:hAnsi="Calibri"/>
                <w:sz w:val="17"/>
              </w:rPr>
              <w:t>Payment Processing &amp; Gateway</w:t>
            </w:r>
          </w:p>
        </w:tc>
        <w:tc>
          <w:tcPr>
            <w:tcW w:type="dxa" w:w="2340"/>
            <w:shd w:fill="F7FAFC"/>
            <w:tcMar>
              <w:top w:w="70" w:type="dxa"/>
              <w:bottom w:w="70" w:type="dxa"/>
              <w:left w:w="80" w:type="dxa"/>
              <w:right w:w="80" w:type="dxa"/>
            </w:tcMar>
          </w:tcPr>
          <w:p>
            <w:r>
              <w:rPr>
                <w:rFonts w:ascii="Calibri" w:hAnsi="Calibri"/>
                <w:sz w:val="17"/>
              </w:rPr>
              <w:t>-₹12.00 (2%)</w:t>
            </w:r>
          </w:p>
        </w:tc>
        <w:tc>
          <w:tcPr>
            <w:tcW w:type="dxa" w:w="2340"/>
            <w:shd w:fill="F7FAFC"/>
            <w:tcMar>
              <w:top w:w="70" w:type="dxa"/>
              <w:bottom w:w="70" w:type="dxa"/>
              <w:left w:w="80" w:type="dxa"/>
              <w:right w:w="80" w:type="dxa"/>
            </w:tcMar>
          </w:tcPr>
          <w:p>
            <w:r>
              <w:rPr>
                <w:rFonts w:ascii="Calibri" w:hAnsi="Calibri"/>
                <w:sz w:val="17"/>
              </w:rPr>
              <w:t>-₹12.00 (2%)</w:t>
            </w:r>
          </w:p>
        </w:tc>
        <w:tc>
          <w:tcPr>
            <w:tcW w:type="dxa" w:w="2340"/>
            <w:shd w:fill="F7FAFC"/>
            <w:tcMar>
              <w:top w:w="70" w:type="dxa"/>
              <w:bottom w:w="70" w:type="dxa"/>
              <w:left w:w="80" w:type="dxa"/>
              <w:right w:w="80" w:type="dxa"/>
            </w:tcMar>
          </w:tcPr>
          <w:p>
            <w:r>
              <w:rPr>
                <w:rFonts w:ascii="Calibri" w:hAnsi="Calibri"/>
                <w:sz w:val="17"/>
              </w:rPr>
              <w:t>Standard payment gateway fee</w:t>
            </w:r>
          </w:p>
        </w:tc>
      </w:tr>
      <w:tr>
        <w:tc>
          <w:tcPr>
            <w:tcW w:type="dxa" w:w="2340"/>
            <w:shd w:fill="FFFFFF"/>
            <w:tcMar>
              <w:top w:w="70" w:type="dxa"/>
              <w:bottom w:w="70" w:type="dxa"/>
              <w:left w:w="80" w:type="dxa"/>
              <w:right w:w="80" w:type="dxa"/>
            </w:tcMar>
          </w:tcPr>
          <w:p>
            <w:r>
              <w:rPr>
                <w:rFonts w:ascii="Calibri" w:hAnsi="Calibri"/>
                <w:sz w:val="17"/>
              </w:rPr>
              <w:t>Mandatory Ad Surcharge (Est.)</w:t>
            </w:r>
          </w:p>
        </w:tc>
        <w:tc>
          <w:tcPr>
            <w:tcW w:type="dxa" w:w="2340"/>
            <w:shd w:fill="FFFFFF"/>
            <w:tcMar>
              <w:top w:w="70" w:type="dxa"/>
              <w:bottom w:w="70" w:type="dxa"/>
              <w:left w:w="80" w:type="dxa"/>
              <w:right w:w="80" w:type="dxa"/>
            </w:tcMar>
          </w:tcPr>
          <w:p>
            <w:r>
              <w:rPr>
                <w:rFonts w:ascii="Calibri" w:hAnsi="Calibri"/>
                <w:sz w:val="17"/>
              </w:rPr>
              <w:t>-₹36.00 (6%)</w:t>
            </w:r>
          </w:p>
        </w:tc>
        <w:tc>
          <w:tcPr>
            <w:tcW w:type="dxa" w:w="2340"/>
            <w:shd w:fill="FFFFFF"/>
            <w:tcMar>
              <w:top w:w="70" w:type="dxa"/>
              <w:bottom w:w="70" w:type="dxa"/>
              <w:left w:w="80" w:type="dxa"/>
              <w:right w:w="80" w:type="dxa"/>
            </w:tcMar>
          </w:tcPr>
          <w:p>
            <w:r>
              <w:rPr>
                <w:rFonts w:ascii="Calibri" w:hAnsi="Calibri"/>
                <w:sz w:val="17"/>
              </w:rPr>
              <w:t>₹0.00 (Organic Ranking)</w:t>
            </w:r>
          </w:p>
        </w:tc>
        <w:tc>
          <w:tcPr>
            <w:tcW w:type="dxa" w:w="2340"/>
            <w:shd w:fill="FFFFFF"/>
            <w:tcMar>
              <w:top w:w="70" w:type="dxa"/>
              <w:bottom w:w="70" w:type="dxa"/>
              <w:left w:w="80" w:type="dxa"/>
              <w:right w:w="80" w:type="dxa"/>
            </w:tcMar>
          </w:tcPr>
          <w:p>
            <w:r>
              <w:rPr>
                <w:rFonts w:ascii="Calibri" w:hAnsi="Calibri"/>
                <w:sz w:val="17"/>
              </w:rPr>
              <w:t>+₹36.00 retained margin</w:t>
            </w:r>
          </w:p>
        </w:tc>
      </w:tr>
      <w:tr>
        <w:tc>
          <w:tcPr>
            <w:tcW w:type="dxa" w:w="2340"/>
            <w:shd w:fill="F7FAFC"/>
            <w:tcMar>
              <w:top w:w="70" w:type="dxa"/>
              <w:bottom w:w="70" w:type="dxa"/>
              <w:left w:w="80" w:type="dxa"/>
              <w:right w:w="80" w:type="dxa"/>
            </w:tcMar>
          </w:tcPr>
          <w:p>
            <w:r>
              <w:rPr>
                <w:rFonts w:ascii="Calibri" w:hAnsi="Calibri"/>
                <w:sz w:val="17"/>
              </w:rPr>
              <w:t>Staff Prep &amp; Kitchen Overhead (22%)</w:t>
            </w:r>
          </w:p>
        </w:tc>
        <w:tc>
          <w:tcPr>
            <w:tcW w:type="dxa" w:w="2340"/>
            <w:shd w:fill="F7FAFC"/>
            <w:tcMar>
              <w:top w:w="70" w:type="dxa"/>
              <w:bottom w:w="70" w:type="dxa"/>
              <w:left w:w="80" w:type="dxa"/>
              <w:right w:w="80" w:type="dxa"/>
            </w:tcMar>
          </w:tcPr>
          <w:p>
            <w:r>
              <w:rPr>
                <w:rFonts w:ascii="Calibri" w:hAnsi="Calibri"/>
                <w:sz w:val="17"/>
              </w:rPr>
              <w:t>-₹132.00</w:t>
            </w:r>
          </w:p>
        </w:tc>
        <w:tc>
          <w:tcPr>
            <w:tcW w:type="dxa" w:w="2340"/>
            <w:shd w:fill="F7FAFC"/>
            <w:tcMar>
              <w:top w:w="70" w:type="dxa"/>
              <w:bottom w:w="70" w:type="dxa"/>
              <w:left w:w="80" w:type="dxa"/>
              <w:right w:w="80" w:type="dxa"/>
            </w:tcMar>
          </w:tcPr>
          <w:p>
            <w:r>
              <w:rPr>
                <w:rFonts w:ascii="Calibri" w:hAnsi="Calibri"/>
                <w:sz w:val="17"/>
              </w:rPr>
              <w:t>-₹132.00</w:t>
            </w:r>
          </w:p>
        </w:tc>
        <w:tc>
          <w:tcPr>
            <w:tcW w:type="dxa" w:w="2340"/>
            <w:shd w:fill="F7FAFC"/>
            <w:tcMar>
              <w:top w:w="70" w:type="dxa"/>
              <w:bottom w:w="70" w:type="dxa"/>
              <w:left w:w="80" w:type="dxa"/>
              <w:right w:w="80" w:type="dxa"/>
            </w:tcMar>
          </w:tcPr>
          <w:p>
            <w:r>
              <w:rPr>
                <w:rFonts w:ascii="Calibri" w:hAnsi="Calibri"/>
                <w:sz w:val="17"/>
              </w:rPr>
              <w:t>Cook labor and utility cost</w:t>
            </w:r>
          </w:p>
        </w:tc>
      </w:tr>
      <w:tr>
        <w:tc>
          <w:tcPr>
            <w:tcW w:type="dxa" w:w="2340"/>
            <w:shd w:fill="C6F6D5"/>
            <w:tcMar>
              <w:top w:w="70" w:type="dxa"/>
              <w:bottom w:w="70" w:type="dxa"/>
              <w:left w:w="80" w:type="dxa"/>
              <w:right w:w="80" w:type="dxa"/>
            </w:tcMar>
          </w:tcPr>
          <w:p>
            <w:r>
              <w:rPr>
                <w:rFonts w:ascii="Calibri" w:hAnsi="Calibri"/>
                <w:b/>
                <w:color w:val="22543D"/>
                <w:sz w:val="17"/>
              </w:rPr>
              <w:t>Net Restaurant Profit Per Order</w:t>
            </w:r>
          </w:p>
        </w:tc>
        <w:tc>
          <w:tcPr>
            <w:tcW w:type="dxa" w:w="2340"/>
            <w:shd w:fill="C6F6D5"/>
            <w:tcMar>
              <w:top w:w="70" w:type="dxa"/>
              <w:bottom w:w="70" w:type="dxa"/>
              <w:left w:w="80" w:type="dxa"/>
              <w:right w:w="80" w:type="dxa"/>
            </w:tcMar>
          </w:tcPr>
          <w:p>
            <w:r>
              <w:rPr>
                <w:rFonts w:ascii="Calibri" w:hAnsi="Calibri"/>
                <w:b/>
                <w:color w:val="22543D"/>
                <w:sz w:val="17"/>
              </w:rPr>
              <w:t>₹54.00 (9.0% margin)</w:t>
            </w:r>
          </w:p>
        </w:tc>
        <w:tc>
          <w:tcPr>
            <w:tcW w:type="dxa" w:w="2340"/>
            <w:shd w:fill="C6F6D5"/>
            <w:tcMar>
              <w:top w:w="70" w:type="dxa"/>
              <w:bottom w:w="70" w:type="dxa"/>
              <w:left w:w="80" w:type="dxa"/>
              <w:right w:w="80" w:type="dxa"/>
            </w:tcMar>
          </w:tcPr>
          <w:p>
            <w:r>
              <w:rPr>
                <w:rFonts w:ascii="Calibri" w:hAnsi="Calibri"/>
                <w:b/>
                <w:color w:val="22543D"/>
                <w:sz w:val="17"/>
              </w:rPr>
              <w:t>₹180.00 (30.0% margin)</w:t>
            </w:r>
          </w:p>
        </w:tc>
        <w:tc>
          <w:tcPr>
            <w:tcW w:type="dxa" w:w="2340"/>
            <w:shd w:fill="C6F6D5"/>
            <w:tcMar>
              <w:top w:w="70" w:type="dxa"/>
              <w:bottom w:w="70" w:type="dxa"/>
              <w:left w:w="80" w:type="dxa"/>
              <w:right w:w="80" w:type="dxa"/>
            </w:tcMar>
          </w:tcPr>
          <w:p>
            <w:r>
              <w:rPr>
                <w:rFonts w:ascii="Calibri" w:hAnsi="Calibri"/>
                <w:b/>
                <w:color w:val="22543D"/>
                <w:sz w:val="17"/>
              </w:rPr>
              <w:t>+₹126.00 (+233% Net Profit)</w:t>
            </w:r>
          </w:p>
        </w:tc>
      </w:tr>
      <w:tr>
        <w:tc>
          <w:tcPr>
            <w:tcW w:type="dxa" w:w="2340"/>
            <w:shd w:fill="F7FAFC"/>
            <w:tcMar>
              <w:top w:w="70" w:type="dxa"/>
              <w:bottom w:w="70" w:type="dxa"/>
              <w:left w:w="80" w:type="dxa"/>
              <w:right w:w="80" w:type="dxa"/>
            </w:tcMar>
          </w:tcPr>
          <w:p>
            <w:r>
              <w:rPr>
                <w:rFonts w:ascii="Calibri" w:hAnsi="Calibri"/>
                <w:sz w:val="17"/>
              </w:rPr>
              <w:t>Customer Visibility of Fees</w:t>
            </w:r>
          </w:p>
        </w:tc>
        <w:tc>
          <w:tcPr>
            <w:tcW w:type="dxa" w:w="2340"/>
            <w:shd w:fill="F7FAFC"/>
            <w:tcMar>
              <w:top w:w="70" w:type="dxa"/>
              <w:bottom w:w="70" w:type="dxa"/>
              <w:left w:w="80" w:type="dxa"/>
              <w:right w:w="80" w:type="dxa"/>
            </w:tcMar>
          </w:tcPr>
          <w:p>
            <w:r>
              <w:rPr>
                <w:rFonts w:ascii="Calibri" w:hAnsi="Calibri"/>
                <w:sz w:val="17"/>
              </w:rPr>
              <w:t>Hidden in price or surge</w:t>
            </w:r>
          </w:p>
        </w:tc>
        <w:tc>
          <w:tcPr>
            <w:tcW w:type="dxa" w:w="2340"/>
            <w:shd w:fill="F7FAFC"/>
            <w:tcMar>
              <w:top w:w="70" w:type="dxa"/>
              <w:bottom w:w="70" w:type="dxa"/>
              <w:left w:w="80" w:type="dxa"/>
              <w:right w:w="80" w:type="dxa"/>
            </w:tcMar>
          </w:tcPr>
          <w:p>
            <w:r>
              <w:rPr>
                <w:rFonts w:ascii="Calibri" w:hAnsi="Calibri"/>
                <w:sz w:val="17"/>
              </w:rPr>
              <w:t>Itemized breakdown shown upfront</w:t>
            </w:r>
          </w:p>
        </w:tc>
        <w:tc>
          <w:tcPr>
            <w:tcW w:type="dxa" w:w="2340"/>
            <w:shd w:fill="F7FAFC"/>
            <w:tcMar>
              <w:top w:w="70" w:type="dxa"/>
              <w:bottom w:w="70" w:type="dxa"/>
              <w:left w:w="80" w:type="dxa"/>
              <w:right w:w="80" w:type="dxa"/>
            </w:tcMar>
          </w:tcPr>
          <w:p>
            <w:r>
              <w:rPr>
                <w:rFonts w:ascii="Calibri" w:hAnsi="Calibri"/>
                <w:sz w:val="17"/>
              </w:rPr>
              <w:t>Eliminates surprise cart abandonment</w:t>
            </w:r>
          </w:p>
        </w:tc>
      </w:tr>
    </w:tbl>
    <w:p>
      <w:pPr>
        <w:spacing w:after="160"/>
      </w:pPr>
    </w:p>
    <w:p>
      <w:pPr>
        <w:pStyle w:val="Heading1"/>
        <w:keepNext/>
        <w:spacing w:before="360" w:after="120"/>
      </w:pPr>
      <w:r>
        <w:rPr>
          <w:rFonts w:ascii="Calibri" w:hAnsi="Calibri"/>
          <w:b/>
          <w:color w:val="1A365D"/>
          <w:sz w:val="36"/>
        </w:rPr>
        <w:t>4. SWOT Analysis for GourmetFleet Marketplace</w:t>
      </w:r>
    </w:p>
    <w:tbl>
      <w:tblPr>
        <w:tblW w:type="auto" w:w="0"/>
        <w:jc w:val="center"/>
        <w:tblLook w:firstColumn="1" w:firstRow="1" w:lastColumn="0" w:lastRow="0" w:noHBand="0" w:noVBand="1" w:val="04A0"/>
      </w:tblPr>
      <w:tblGrid>
        <w:gridCol w:w="4680"/>
        <w:gridCol w:w="4680"/>
      </w:tblGrid>
      <w:tr>
        <w:tc>
          <w:tcPr>
            <w:tcW w:type="dxa" w:w="4680"/>
            <w:shd w:fill="EDF2F7"/>
            <w:tcMar>
              <w:top w:w="120" w:type="dxa"/>
              <w:bottom w:w="120" w:type="dxa"/>
              <w:left w:w="120" w:type="dxa"/>
              <w:right w:w="120" w:type="dxa"/>
            </w:tcMar>
          </w:tcPr>
          <w:p>
            <w:r>
              <w:rPr>
                <w:b/>
                <w:color w:val="276749"/>
              </w:rPr>
              <w:t>STRENGTHS (Internal)</w:t>
              <w:br/>
            </w:r>
            <w:r>
              <w:t>• Unified Delivery + Reservation database eliminates dual-software costs.</w:t>
              <w:br/>
              <w:t>• Fair, transparent 8-12% commission structure earns restaurant loyalty.</w:t>
              <w:br/>
              <w:t>• Built-in Owner AI Copilot provides proactive yield management without extra data scientists.</w:t>
              <w:br/>
              <w:t>• Atomic table concurrency engine prevents no-shows and double bookings.</w:t>
              <w:br/>
              <w:t>• Zero fabricated ETAs or deceptive phantom tracking: truthful delivery logistics.</w:t>
            </w:r>
          </w:p>
        </w:tc>
        <w:tc>
          <w:tcPr>
            <w:tcW w:type="dxa" w:w="4680"/>
            <w:shd w:fill="FFF5F5"/>
            <w:tcMar>
              <w:top w:w="120" w:type="dxa"/>
              <w:bottom w:w="120" w:type="dxa"/>
              <w:left w:w="120" w:type="dxa"/>
              <w:right w:w="120" w:type="dxa"/>
            </w:tcMar>
          </w:tcPr>
          <w:p>
            <w:r>
              <w:rPr>
                <w:b/>
                <w:color w:val="9B2C2C"/>
              </w:rPr>
              <w:t>WEAKNESSES (Internal)</w:t>
              <w:br/>
            </w:r>
            <w:r>
              <w:t>• Cold-start delivery fleet logistics compared to incumbents' millions of gig riders.</w:t>
              <w:br/>
              <w:t>• Requires localized merchant onboarding density before network effects take off.</w:t>
              <w:br/>
              <w:t>• Higher initial consumer education needed to communicate honest fee breakdowns.</w:t>
            </w:r>
          </w:p>
        </w:tc>
      </w:tr>
      <w:tr>
        <w:tc>
          <w:tcPr>
            <w:tcW w:type="dxa" w:w="4680"/>
            <w:shd w:fill="EBF8FF"/>
            <w:tcMar>
              <w:top w:w="120" w:type="dxa"/>
              <w:bottom w:w="120" w:type="dxa"/>
              <w:left w:w="120" w:type="dxa"/>
              <w:right w:w="120" w:type="dxa"/>
            </w:tcMar>
          </w:tcPr>
          <w:p>
            <w:r>
              <w:rPr>
                <w:b/>
                <w:color w:val="2B6CB0"/>
              </w:rPr>
              <w:t>OPPORTUNITIES (External)</w:t>
              <w:br/>
            </w:r>
            <w:r>
              <w:t>• Anti-monopoly sentiment among restaurateurs seeking independent channels.</w:t>
              <w:br/>
              <w:t>• Growing consumer resistance against inflated menu prices and surprise fees.</w:t>
              <w:br/>
              <w:t>• Unified dining rewards (loyalty points earned dining out can be redeemed on delivery orders).</w:t>
              <w:br/>
              <w:t>• Expansion into B2B catering and curated culinary experiences.</w:t>
            </w:r>
          </w:p>
        </w:tc>
        <w:tc>
          <w:tcPr>
            <w:tcW w:type="dxa" w:w="4680"/>
            <w:shd w:fill="FEFCBF"/>
            <w:tcMar>
              <w:top w:w="120" w:type="dxa"/>
              <w:bottom w:w="120" w:type="dxa"/>
              <w:left w:w="120" w:type="dxa"/>
              <w:right w:w="120" w:type="dxa"/>
            </w:tcMar>
          </w:tcPr>
          <w:p>
            <w:r>
              <w:rPr>
                <w:b/>
                <w:color w:val="744210"/>
              </w:rPr>
              <w:t>THREATS (External)</w:t>
              <w:br/>
            </w:r>
            <w:r>
              <w:t>• Incumbents engaging in predatory discounting or deep-pocket loyalty subsidies.</w:t>
              <w:br/>
              <w:t>• Regulatory changes regarding gig-worker social security and minimum wage.</w:t>
              <w:br/>
              <w:t>• High restaurant employee turnover creating training gaps for tablet interfaces.</w:t>
            </w:r>
          </w:p>
        </w:tc>
      </w:tr>
    </w:tbl>
    <w:p>
      <w:pPr>
        <w:spacing w:after="200"/>
      </w:pPr>
    </w:p>
    <w:p>
      <w:pPr>
        <w:pStyle w:val="Heading1"/>
        <w:keepNext/>
        <w:spacing w:before="360" w:after="120"/>
      </w:pPr>
      <w:r>
        <w:rPr>
          <w:rFonts w:ascii="Calibri" w:hAnsi="Calibri"/>
          <w:b/>
          <w:color w:val="1A365D"/>
          <w:sz w:val="36"/>
        </w:rPr>
        <w:t>5. Enterprise Risk Register &amp; Mitigation Strategy</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A365D"/>
            <w:tcMar>
              <w:top w:w="100" w:type="dxa"/>
              <w:bottom w:w="100" w:type="dxa"/>
              <w:left w:w="100" w:type="dxa"/>
              <w:right w:w="100" w:type="dxa"/>
            </w:tcMar>
          </w:tcPr>
          <w:p>
            <w:r>
              <w:rPr>
                <w:b/>
                <w:color w:val="FFFFFF"/>
                <w:sz w:val="17"/>
              </w:rPr>
              <w:t>Risk ID</w:t>
            </w:r>
          </w:p>
        </w:tc>
        <w:tc>
          <w:tcPr>
            <w:tcW w:type="dxa" w:w="1872"/>
            <w:shd w:fill="1A365D"/>
            <w:tcMar>
              <w:top w:w="100" w:type="dxa"/>
              <w:bottom w:w="100" w:type="dxa"/>
              <w:left w:w="100" w:type="dxa"/>
              <w:right w:w="100" w:type="dxa"/>
            </w:tcMar>
          </w:tcPr>
          <w:p>
            <w:r>
              <w:rPr>
                <w:b/>
                <w:color w:val="FFFFFF"/>
                <w:sz w:val="17"/>
              </w:rPr>
              <w:t>Risk Description</w:t>
            </w:r>
          </w:p>
        </w:tc>
        <w:tc>
          <w:tcPr>
            <w:tcW w:type="dxa" w:w="1872"/>
            <w:shd w:fill="1A365D"/>
            <w:tcMar>
              <w:top w:w="100" w:type="dxa"/>
              <w:bottom w:w="100" w:type="dxa"/>
              <w:left w:w="100" w:type="dxa"/>
              <w:right w:w="100" w:type="dxa"/>
            </w:tcMar>
          </w:tcPr>
          <w:p>
            <w:r>
              <w:rPr>
                <w:b/>
                <w:color w:val="FFFFFF"/>
                <w:sz w:val="17"/>
              </w:rPr>
              <w:t>Likelihood / Impact</w:t>
            </w:r>
          </w:p>
        </w:tc>
        <w:tc>
          <w:tcPr>
            <w:tcW w:type="dxa" w:w="1872"/>
            <w:shd w:fill="1A365D"/>
            <w:tcMar>
              <w:top w:w="100" w:type="dxa"/>
              <w:bottom w:w="100" w:type="dxa"/>
              <w:left w:w="100" w:type="dxa"/>
              <w:right w:w="100" w:type="dxa"/>
            </w:tcMar>
          </w:tcPr>
          <w:p>
            <w:r>
              <w:rPr>
                <w:b/>
                <w:color w:val="FFFFFF"/>
                <w:sz w:val="17"/>
              </w:rPr>
              <w:t>Core Vulnerability</w:t>
            </w:r>
          </w:p>
        </w:tc>
        <w:tc>
          <w:tcPr>
            <w:tcW w:type="dxa" w:w="1872"/>
            <w:shd w:fill="1A365D"/>
            <w:tcMar>
              <w:top w:w="100" w:type="dxa"/>
              <w:bottom w:w="100" w:type="dxa"/>
              <w:left w:w="100" w:type="dxa"/>
              <w:right w:w="100" w:type="dxa"/>
            </w:tcMar>
          </w:tcPr>
          <w:p>
            <w:r>
              <w:rPr>
                <w:b/>
                <w:color w:val="FFFFFF"/>
                <w:sz w:val="17"/>
              </w:rPr>
              <w:t>Engineering &amp; Operational Mitigation</w:t>
            </w:r>
          </w:p>
        </w:tc>
      </w:tr>
      <w:tr>
        <w:tc>
          <w:tcPr>
            <w:tcW w:type="dxa" w:w="1872"/>
            <w:shd w:fill="F7FAFC"/>
            <w:tcMar>
              <w:top w:w="70" w:type="dxa"/>
              <w:bottom w:w="70" w:type="dxa"/>
              <w:left w:w="70" w:type="dxa"/>
              <w:right w:w="70" w:type="dxa"/>
            </w:tcMar>
          </w:tcPr>
          <w:p>
            <w:r>
              <w:rPr>
                <w:rFonts w:ascii="Calibri" w:hAnsi="Calibri"/>
                <w:color w:val="2D3748"/>
                <w:sz w:val="16"/>
              </w:rPr>
              <w:t>RSK-01</w:t>
            </w:r>
          </w:p>
        </w:tc>
        <w:tc>
          <w:tcPr>
            <w:tcW w:type="dxa" w:w="1872"/>
            <w:shd w:fill="F7FAFC"/>
            <w:tcMar>
              <w:top w:w="70" w:type="dxa"/>
              <w:bottom w:w="70" w:type="dxa"/>
              <w:left w:w="70" w:type="dxa"/>
              <w:right w:w="70" w:type="dxa"/>
            </w:tcMar>
          </w:tcPr>
          <w:p>
            <w:r>
              <w:rPr>
                <w:rFonts w:ascii="Calibri" w:hAnsi="Calibri"/>
                <w:color w:val="2D3748"/>
                <w:sz w:val="16"/>
              </w:rPr>
              <w:t>Reservation Double Booking Race Condition</w:t>
            </w:r>
          </w:p>
        </w:tc>
        <w:tc>
          <w:tcPr>
            <w:tcW w:type="dxa" w:w="1872"/>
            <w:shd w:fill="F7FAFC"/>
            <w:tcMar>
              <w:top w:w="70" w:type="dxa"/>
              <w:bottom w:w="70" w:type="dxa"/>
              <w:left w:w="70" w:type="dxa"/>
              <w:right w:w="70" w:type="dxa"/>
            </w:tcMar>
          </w:tcPr>
          <w:p>
            <w:r>
              <w:rPr>
                <w:rFonts w:ascii="Calibri" w:hAnsi="Calibri"/>
                <w:color w:val="2D3748"/>
                <w:sz w:val="16"/>
              </w:rPr>
              <w:t>High / High</w:t>
            </w:r>
          </w:p>
        </w:tc>
        <w:tc>
          <w:tcPr>
            <w:tcW w:type="dxa" w:w="1872"/>
            <w:shd w:fill="F7FAFC"/>
            <w:tcMar>
              <w:top w:w="70" w:type="dxa"/>
              <w:bottom w:w="70" w:type="dxa"/>
              <w:left w:w="70" w:type="dxa"/>
              <w:right w:w="70" w:type="dxa"/>
            </w:tcMar>
          </w:tcPr>
          <w:p>
            <w:r>
              <w:rPr>
                <w:rFonts w:ascii="Calibri" w:hAnsi="Calibri"/>
                <w:color w:val="2D3748"/>
                <w:sz w:val="16"/>
              </w:rPr>
              <w:t>Two users booking Table 4 simultaneously at 8:00 PM</w:t>
            </w:r>
          </w:p>
        </w:tc>
        <w:tc>
          <w:tcPr>
            <w:tcW w:type="dxa" w:w="1872"/>
            <w:shd w:fill="F7FAFC"/>
            <w:tcMar>
              <w:top w:w="70" w:type="dxa"/>
              <w:bottom w:w="70" w:type="dxa"/>
              <w:left w:w="70" w:type="dxa"/>
              <w:right w:w="70" w:type="dxa"/>
            </w:tcMar>
          </w:tcPr>
          <w:p>
            <w:r>
              <w:rPr>
                <w:rFonts w:ascii="Calibri" w:hAnsi="Calibri"/>
                <w:color w:val="2D3748"/>
                <w:sz w:val="16"/>
              </w:rPr>
              <w:t>Server-side atomic MongoDB findOneAndUpdate with status lock and reservation slot index check.</w:t>
            </w:r>
          </w:p>
        </w:tc>
      </w:tr>
      <w:tr>
        <w:tc>
          <w:tcPr>
            <w:tcW w:type="dxa" w:w="1872"/>
            <w:shd w:fill="FFFFFF"/>
            <w:tcMar>
              <w:top w:w="70" w:type="dxa"/>
              <w:bottom w:w="70" w:type="dxa"/>
              <w:left w:w="70" w:type="dxa"/>
              <w:right w:w="70" w:type="dxa"/>
            </w:tcMar>
          </w:tcPr>
          <w:p>
            <w:r>
              <w:rPr>
                <w:rFonts w:ascii="Calibri" w:hAnsi="Calibri"/>
                <w:color w:val="2D3748"/>
                <w:sz w:val="16"/>
              </w:rPr>
              <w:t>RSK-02</w:t>
            </w:r>
          </w:p>
        </w:tc>
        <w:tc>
          <w:tcPr>
            <w:tcW w:type="dxa" w:w="1872"/>
            <w:shd w:fill="FFFFFF"/>
            <w:tcMar>
              <w:top w:w="70" w:type="dxa"/>
              <w:bottom w:w="70" w:type="dxa"/>
              <w:left w:w="70" w:type="dxa"/>
              <w:right w:w="70" w:type="dxa"/>
            </w:tcMar>
          </w:tcPr>
          <w:p>
            <w:r>
              <w:rPr>
                <w:rFonts w:ascii="Calibri" w:hAnsi="Calibri"/>
                <w:color w:val="2D3748"/>
                <w:sz w:val="16"/>
              </w:rPr>
              <w:t>Price Tampering via Client Payload</w:t>
            </w:r>
          </w:p>
        </w:tc>
        <w:tc>
          <w:tcPr>
            <w:tcW w:type="dxa" w:w="1872"/>
            <w:shd w:fill="FFFFFF"/>
            <w:tcMar>
              <w:top w:w="70" w:type="dxa"/>
              <w:bottom w:w="70" w:type="dxa"/>
              <w:left w:w="70" w:type="dxa"/>
              <w:right w:w="70" w:type="dxa"/>
            </w:tcMar>
          </w:tcPr>
          <w:p>
            <w:r>
              <w:rPr>
                <w:rFonts w:ascii="Calibri" w:hAnsi="Calibri"/>
                <w:color w:val="2D3748"/>
                <w:sz w:val="16"/>
              </w:rPr>
              <w:t>Medium / Critical</w:t>
            </w:r>
          </w:p>
        </w:tc>
        <w:tc>
          <w:tcPr>
            <w:tcW w:type="dxa" w:w="1872"/>
            <w:shd w:fill="FFFFFF"/>
            <w:tcMar>
              <w:top w:w="70" w:type="dxa"/>
              <w:bottom w:w="70" w:type="dxa"/>
              <w:left w:w="70" w:type="dxa"/>
              <w:right w:w="70" w:type="dxa"/>
            </w:tcMar>
          </w:tcPr>
          <w:p>
            <w:r>
              <w:rPr>
                <w:rFonts w:ascii="Calibri" w:hAnsi="Calibri"/>
                <w:color w:val="2D3748"/>
                <w:sz w:val="16"/>
              </w:rPr>
              <w:t>Malicious user editing cart total in client POST payload</w:t>
            </w:r>
          </w:p>
        </w:tc>
        <w:tc>
          <w:tcPr>
            <w:tcW w:type="dxa" w:w="1872"/>
            <w:shd w:fill="FFFFFF"/>
            <w:tcMar>
              <w:top w:w="70" w:type="dxa"/>
              <w:bottom w:w="70" w:type="dxa"/>
              <w:left w:w="70" w:type="dxa"/>
              <w:right w:w="70" w:type="dxa"/>
            </w:tcMar>
          </w:tcPr>
          <w:p>
            <w:r>
              <w:rPr>
                <w:rFonts w:ascii="Calibri" w:hAnsi="Calibri"/>
                <w:color w:val="2D3748"/>
                <w:sz w:val="16"/>
              </w:rPr>
              <w:t>Strict server-side price recalculation against database snapshot; client payload totals ignored.</w:t>
            </w:r>
          </w:p>
        </w:tc>
      </w:tr>
      <w:tr>
        <w:tc>
          <w:tcPr>
            <w:tcW w:type="dxa" w:w="1872"/>
            <w:shd w:fill="F7FAFC"/>
            <w:tcMar>
              <w:top w:w="70" w:type="dxa"/>
              <w:bottom w:w="70" w:type="dxa"/>
              <w:left w:w="70" w:type="dxa"/>
              <w:right w:w="70" w:type="dxa"/>
            </w:tcMar>
          </w:tcPr>
          <w:p>
            <w:r>
              <w:rPr>
                <w:rFonts w:ascii="Calibri" w:hAnsi="Calibri"/>
                <w:color w:val="2D3748"/>
                <w:sz w:val="16"/>
              </w:rPr>
              <w:t>RSK-03</w:t>
            </w:r>
          </w:p>
        </w:tc>
        <w:tc>
          <w:tcPr>
            <w:tcW w:type="dxa" w:w="1872"/>
            <w:shd w:fill="F7FAFC"/>
            <w:tcMar>
              <w:top w:w="70" w:type="dxa"/>
              <w:bottom w:w="70" w:type="dxa"/>
              <w:left w:w="70" w:type="dxa"/>
              <w:right w:w="70" w:type="dxa"/>
            </w:tcMar>
          </w:tcPr>
          <w:p>
            <w:r>
              <w:rPr>
                <w:rFonts w:ascii="Calibri" w:hAnsi="Calibri"/>
                <w:color w:val="2D3748"/>
                <w:sz w:val="16"/>
              </w:rPr>
              <w:t>Payment Webhook Replay Attacks</w:t>
            </w:r>
          </w:p>
        </w:tc>
        <w:tc>
          <w:tcPr>
            <w:tcW w:type="dxa" w:w="1872"/>
            <w:shd w:fill="F7FAFC"/>
            <w:tcMar>
              <w:top w:w="70" w:type="dxa"/>
              <w:bottom w:w="70" w:type="dxa"/>
              <w:left w:w="70" w:type="dxa"/>
              <w:right w:w="70" w:type="dxa"/>
            </w:tcMar>
          </w:tcPr>
          <w:p>
            <w:r>
              <w:rPr>
                <w:rFonts w:ascii="Calibri" w:hAnsi="Calibri"/>
                <w:color w:val="2D3748"/>
                <w:sz w:val="16"/>
              </w:rPr>
              <w:t>Medium / High</w:t>
            </w:r>
          </w:p>
        </w:tc>
        <w:tc>
          <w:tcPr>
            <w:tcW w:type="dxa" w:w="1872"/>
            <w:shd w:fill="F7FAFC"/>
            <w:tcMar>
              <w:top w:w="70" w:type="dxa"/>
              <w:bottom w:w="70" w:type="dxa"/>
              <w:left w:w="70" w:type="dxa"/>
              <w:right w:w="70" w:type="dxa"/>
            </w:tcMar>
          </w:tcPr>
          <w:p>
            <w:r>
              <w:rPr>
                <w:rFonts w:ascii="Calibri" w:hAnsi="Calibri"/>
                <w:color w:val="2D3748"/>
                <w:sz w:val="16"/>
              </w:rPr>
              <w:t>Attacker replaying successful payment webhook to get free food</w:t>
            </w:r>
          </w:p>
        </w:tc>
        <w:tc>
          <w:tcPr>
            <w:tcW w:type="dxa" w:w="1872"/>
            <w:shd w:fill="F7FAFC"/>
            <w:tcMar>
              <w:top w:w="70" w:type="dxa"/>
              <w:bottom w:w="70" w:type="dxa"/>
              <w:left w:w="70" w:type="dxa"/>
              <w:right w:w="70" w:type="dxa"/>
            </w:tcMar>
          </w:tcPr>
          <w:p>
            <w:r>
              <w:rPr>
                <w:rFonts w:ascii="Calibri" w:hAnsi="Calibri"/>
                <w:color w:val="2D3748"/>
                <w:sz w:val="16"/>
              </w:rPr>
              <w:t>Idempotency keys stored in Redis/DB with unique transaction signature verification.</w:t>
            </w:r>
          </w:p>
        </w:tc>
      </w:tr>
      <w:tr>
        <w:tc>
          <w:tcPr>
            <w:tcW w:type="dxa" w:w="1872"/>
            <w:shd w:fill="FFFFFF"/>
            <w:tcMar>
              <w:top w:w="70" w:type="dxa"/>
              <w:bottom w:w="70" w:type="dxa"/>
              <w:left w:w="70" w:type="dxa"/>
              <w:right w:w="70" w:type="dxa"/>
            </w:tcMar>
          </w:tcPr>
          <w:p>
            <w:r>
              <w:rPr>
                <w:rFonts w:ascii="Calibri" w:hAnsi="Calibri"/>
                <w:color w:val="2D3748"/>
                <w:sz w:val="16"/>
              </w:rPr>
              <w:t>RSK-04</w:t>
            </w:r>
          </w:p>
        </w:tc>
        <w:tc>
          <w:tcPr>
            <w:tcW w:type="dxa" w:w="1872"/>
            <w:shd w:fill="FFFFFF"/>
            <w:tcMar>
              <w:top w:w="70" w:type="dxa"/>
              <w:bottom w:w="70" w:type="dxa"/>
              <w:left w:w="70" w:type="dxa"/>
              <w:right w:w="70" w:type="dxa"/>
            </w:tcMar>
          </w:tcPr>
          <w:p>
            <w:r>
              <w:rPr>
                <w:rFonts w:ascii="Calibri" w:hAnsi="Calibri"/>
                <w:color w:val="2D3748"/>
                <w:sz w:val="16"/>
              </w:rPr>
              <w:t>No-Shows on Peak Dining Slots</w:t>
            </w:r>
          </w:p>
        </w:tc>
        <w:tc>
          <w:tcPr>
            <w:tcW w:type="dxa" w:w="1872"/>
            <w:shd w:fill="FFFFFF"/>
            <w:tcMar>
              <w:top w:w="70" w:type="dxa"/>
              <w:bottom w:w="70" w:type="dxa"/>
              <w:left w:w="70" w:type="dxa"/>
              <w:right w:w="70" w:type="dxa"/>
            </w:tcMar>
          </w:tcPr>
          <w:p>
            <w:r>
              <w:rPr>
                <w:rFonts w:ascii="Calibri" w:hAnsi="Calibri"/>
                <w:color w:val="2D3748"/>
                <w:sz w:val="16"/>
              </w:rPr>
              <w:t>High / Medium</w:t>
            </w:r>
          </w:p>
        </w:tc>
        <w:tc>
          <w:tcPr>
            <w:tcW w:type="dxa" w:w="1872"/>
            <w:shd w:fill="FFFFFF"/>
            <w:tcMar>
              <w:top w:w="70" w:type="dxa"/>
              <w:bottom w:w="70" w:type="dxa"/>
              <w:left w:w="70" w:type="dxa"/>
              <w:right w:w="70" w:type="dxa"/>
            </w:tcMar>
          </w:tcPr>
          <w:p>
            <w:r>
              <w:rPr>
                <w:rFonts w:ascii="Calibri" w:hAnsi="Calibri"/>
                <w:color w:val="2D3748"/>
                <w:sz w:val="16"/>
              </w:rPr>
              <w:t>Users booking tables and failing to show up, wasting table capacity</w:t>
            </w:r>
          </w:p>
        </w:tc>
        <w:tc>
          <w:tcPr>
            <w:tcW w:type="dxa" w:w="1872"/>
            <w:shd w:fill="FFFFFF"/>
            <w:tcMar>
              <w:top w:w="70" w:type="dxa"/>
              <w:bottom w:w="70" w:type="dxa"/>
              <w:left w:w="70" w:type="dxa"/>
              <w:right w:w="70" w:type="dxa"/>
            </w:tcMar>
          </w:tcPr>
          <w:p>
            <w:r>
              <w:rPr>
                <w:rFonts w:ascii="Calibri" w:hAnsi="Calibri"/>
                <w:color w:val="2D3748"/>
                <w:sz w:val="16"/>
              </w:rPr>
              <w:t>Configurable per-seat reservation deposit, 15-minute grace window, and automated WhatsApp/SMS reminders.</w:t>
            </w:r>
          </w:p>
        </w:tc>
      </w:tr>
      <w:tr>
        <w:tc>
          <w:tcPr>
            <w:tcW w:type="dxa" w:w="1872"/>
            <w:shd w:fill="F7FAFC"/>
            <w:tcMar>
              <w:top w:w="70" w:type="dxa"/>
              <w:bottom w:w="70" w:type="dxa"/>
              <w:left w:w="70" w:type="dxa"/>
              <w:right w:w="70" w:type="dxa"/>
            </w:tcMar>
          </w:tcPr>
          <w:p>
            <w:r>
              <w:rPr>
                <w:rFonts w:ascii="Calibri" w:hAnsi="Calibri"/>
                <w:color w:val="2D3748"/>
                <w:sz w:val="16"/>
              </w:rPr>
              <w:t>RSK-05</w:t>
            </w:r>
          </w:p>
        </w:tc>
        <w:tc>
          <w:tcPr>
            <w:tcW w:type="dxa" w:w="1872"/>
            <w:shd w:fill="F7FAFC"/>
            <w:tcMar>
              <w:top w:w="70" w:type="dxa"/>
              <w:bottom w:w="70" w:type="dxa"/>
              <w:left w:w="70" w:type="dxa"/>
              <w:right w:w="70" w:type="dxa"/>
            </w:tcMar>
          </w:tcPr>
          <w:p>
            <w:r>
              <w:rPr>
                <w:rFonts w:ascii="Calibri" w:hAnsi="Calibri"/>
                <w:color w:val="2D3748"/>
                <w:sz w:val="16"/>
              </w:rPr>
              <w:t>Multi-Tenant Data Leakage in AI Copilot</w:t>
            </w:r>
          </w:p>
        </w:tc>
        <w:tc>
          <w:tcPr>
            <w:tcW w:type="dxa" w:w="1872"/>
            <w:shd w:fill="F7FAFC"/>
            <w:tcMar>
              <w:top w:w="70" w:type="dxa"/>
              <w:bottom w:w="70" w:type="dxa"/>
              <w:left w:w="70" w:type="dxa"/>
              <w:right w:w="70" w:type="dxa"/>
            </w:tcMar>
          </w:tcPr>
          <w:p>
            <w:r>
              <w:rPr>
                <w:rFonts w:ascii="Calibri" w:hAnsi="Calibri"/>
                <w:color w:val="2D3748"/>
                <w:sz w:val="16"/>
              </w:rPr>
              <w:t>Low / Critical</w:t>
            </w:r>
          </w:p>
        </w:tc>
        <w:tc>
          <w:tcPr>
            <w:tcW w:type="dxa" w:w="1872"/>
            <w:shd w:fill="F7FAFC"/>
            <w:tcMar>
              <w:top w:w="70" w:type="dxa"/>
              <w:bottom w:w="70" w:type="dxa"/>
              <w:left w:w="70" w:type="dxa"/>
              <w:right w:w="70" w:type="dxa"/>
            </w:tcMar>
          </w:tcPr>
          <w:p>
            <w:r>
              <w:rPr>
                <w:rFonts w:ascii="Calibri" w:hAnsi="Calibri"/>
                <w:color w:val="2D3748"/>
                <w:sz w:val="16"/>
              </w:rPr>
              <w:t>AI prompt injection prompting bot to reveal competitor restaurant sales</w:t>
            </w:r>
          </w:p>
        </w:tc>
        <w:tc>
          <w:tcPr>
            <w:tcW w:type="dxa" w:w="1872"/>
            <w:shd w:fill="F7FAFC"/>
            <w:tcMar>
              <w:top w:w="70" w:type="dxa"/>
              <w:bottom w:w="70" w:type="dxa"/>
              <w:left w:w="70" w:type="dxa"/>
              <w:right w:w="70" w:type="dxa"/>
            </w:tcMar>
          </w:tcPr>
          <w:p>
            <w:r>
              <w:rPr>
                <w:rFonts w:ascii="Calibri" w:hAnsi="Calibri"/>
                <w:color w:val="2D3748"/>
                <w:sz w:val="16"/>
              </w:rPr>
              <w:t>Strict SQL/NoSQL query scoping parameterized by authenticated restaurantId; role verification before tool call execution.</w:t>
            </w:r>
          </w:p>
        </w:tc>
      </w:tr>
      <w:tr>
        <w:tc>
          <w:tcPr>
            <w:tcW w:type="dxa" w:w="1872"/>
            <w:shd w:fill="FFFFFF"/>
            <w:tcMar>
              <w:top w:w="70" w:type="dxa"/>
              <w:bottom w:w="70" w:type="dxa"/>
              <w:left w:w="70" w:type="dxa"/>
              <w:right w:w="70" w:type="dxa"/>
            </w:tcMar>
          </w:tcPr>
          <w:p>
            <w:r>
              <w:rPr>
                <w:rFonts w:ascii="Calibri" w:hAnsi="Calibri"/>
                <w:color w:val="2D3748"/>
                <w:sz w:val="16"/>
              </w:rPr>
              <w:t>RSK-06</w:t>
            </w:r>
          </w:p>
        </w:tc>
        <w:tc>
          <w:tcPr>
            <w:tcW w:type="dxa" w:w="1872"/>
            <w:shd w:fill="FFFFFF"/>
            <w:tcMar>
              <w:top w:w="70" w:type="dxa"/>
              <w:bottom w:w="70" w:type="dxa"/>
              <w:left w:w="70" w:type="dxa"/>
              <w:right w:w="70" w:type="dxa"/>
            </w:tcMar>
          </w:tcPr>
          <w:p>
            <w:r>
              <w:rPr>
                <w:rFonts w:ascii="Calibri" w:hAnsi="Calibri"/>
                <w:color w:val="2D3748"/>
                <w:sz w:val="16"/>
              </w:rPr>
              <w:t>Food Waste from Stale Menu Items</w:t>
            </w:r>
          </w:p>
        </w:tc>
        <w:tc>
          <w:tcPr>
            <w:tcW w:type="dxa" w:w="1872"/>
            <w:shd w:fill="FFFFFF"/>
            <w:tcMar>
              <w:top w:w="70" w:type="dxa"/>
              <w:bottom w:w="70" w:type="dxa"/>
              <w:left w:w="70" w:type="dxa"/>
              <w:right w:w="70" w:type="dxa"/>
            </w:tcMar>
          </w:tcPr>
          <w:p>
            <w:r>
              <w:rPr>
                <w:rFonts w:ascii="Calibri" w:hAnsi="Calibri"/>
                <w:color w:val="2D3748"/>
                <w:sz w:val="16"/>
              </w:rPr>
              <w:t>High / Medium</w:t>
            </w:r>
          </w:p>
        </w:tc>
        <w:tc>
          <w:tcPr>
            <w:tcW w:type="dxa" w:w="1872"/>
            <w:shd w:fill="FFFFFF"/>
            <w:tcMar>
              <w:top w:w="70" w:type="dxa"/>
              <w:bottom w:w="70" w:type="dxa"/>
              <w:left w:w="70" w:type="dxa"/>
              <w:right w:w="70" w:type="dxa"/>
            </w:tcMar>
          </w:tcPr>
          <w:p>
            <w:r>
              <w:rPr>
                <w:rFonts w:ascii="Calibri" w:hAnsi="Calibri"/>
                <w:color w:val="2D3748"/>
                <w:sz w:val="16"/>
              </w:rPr>
              <w:t>Kitchen running out of fresh seafood leading to delayed cancellations</w:t>
            </w:r>
          </w:p>
        </w:tc>
        <w:tc>
          <w:tcPr>
            <w:tcW w:type="dxa" w:w="1872"/>
            <w:shd w:fill="FFFFFF"/>
            <w:tcMar>
              <w:top w:w="70" w:type="dxa"/>
              <w:bottom w:w="70" w:type="dxa"/>
              <w:left w:w="70" w:type="dxa"/>
              <w:right w:w="70" w:type="dxa"/>
            </w:tcMar>
          </w:tcPr>
          <w:p>
            <w:r>
              <w:rPr>
                <w:rFonts w:ascii="Calibri" w:hAnsi="Calibri"/>
                <w:color w:val="2D3748"/>
                <w:sz w:val="16"/>
              </w:rPr>
              <w:t>Instant 1-click 'Out of Stock' toggle in Owner Dashboard with real-time Socket.IO cart item invalidation.</w:t>
            </w:r>
          </w:p>
        </w:tc>
      </w:tr>
    </w:tbl>
    <w:p>
      <w:pPr>
        <w:spacing w:after="200"/>
      </w:pPr>
    </w:p>
    <w:p>
      <w:pPr>
        <w:pStyle w:val="Heading1"/>
        <w:keepNext/>
        <w:spacing w:before="360" w:after="120"/>
      </w:pPr>
      <w:r>
        <w:rPr>
          <w:rFonts w:ascii="Calibri" w:hAnsi="Calibri"/>
          <w:b/>
          <w:color w:val="1A365D"/>
          <w:sz w:val="36"/>
        </w:rPr>
        <w:t>6. Proposed Differentiation Strategy &amp; Product Pillars</w:t>
      </w:r>
    </w:p>
    <w:p>
      <w:r>
        <w:t>GourmetFleet positions itself not merely as another transactional delivery app, but as the premier Hospitality Operating System and Ethical Marketplace. Our strategy is built upon five foundational pillars:</w:t>
      </w:r>
    </w:p>
    <w:p>
      <w:pPr>
        <w:spacing w:after="80"/>
      </w:pPr>
      <w:r>
        <w:rPr>
          <w:rFonts w:ascii="Calibri" w:hAnsi="Calibri"/>
          <w:b/>
          <w:color w:val="2B6CB0"/>
          <w:sz w:val="20"/>
        </w:rPr>
        <w:t xml:space="preserve">1. The Unified Hospitality Loop: </w:t>
      </w:r>
      <w:r>
        <w:rPr>
          <w:rFonts w:ascii="Calibri" w:hAnsi="Calibri"/>
          <w:color w:val="2D3748"/>
          <w:sz w:val="20"/>
        </w:rPr>
        <w:t>Unlike Zomato or Swiggy where reservations are an afterthought, and unlike OpenTable which has no delivery, GourmetFleet bridges the dining room and the living room. Diners earn unified loyalty points whether they book a romantic anniversary dinner or order takeout on a busy Tuesday.</w:t>
      </w:r>
    </w:p>
    <w:p>
      <w:pPr>
        <w:spacing w:after="80"/>
      </w:pPr>
      <w:r>
        <w:rPr>
          <w:rFonts w:ascii="Calibri" w:hAnsi="Calibri"/>
          <w:b/>
          <w:color w:val="2B6CB0"/>
          <w:sz w:val="20"/>
        </w:rPr>
        <w:t xml:space="preserve">2. Radical Pricing Transparency: </w:t>
      </w:r>
      <w:r>
        <w:rPr>
          <w:rFonts w:ascii="Calibri" w:hAnsi="Calibri"/>
          <w:color w:val="2D3748"/>
          <w:sz w:val="20"/>
        </w:rPr>
        <w:t>Every fee line item is disclosed upfront: Base Food Subtotal, Packaging Fee (explicitly cost-matched), Delivery Fee (distance-calculated), Platform Fee (transparently capped at ₹15), and GST. No stealth markups.</w:t>
      </w:r>
    </w:p>
    <w:p>
      <w:pPr>
        <w:spacing w:after="80"/>
      </w:pPr>
      <w:r>
        <w:rPr>
          <w:rFonts w:ascii="Calibri" w:hAnsi="Calibri"/>
          <w:b/>
          <w:color w:val="2B6CB0"/>
          <w:sz w:val="20"/>
        </w:rPr>
        <w:t xml:space="preserve">3. Modular Restaurant Operational Modes: </w:t>
      </w:r>
      <w:r>
        <w:rPr>
          <w:rFonts w:ascii="Calibri" w:hAnsi="Calibri"/>
          <w:color w:val="2D3748"/>
          <w:sz w:val="20"/>
        </w:rPr>
        <w:t>Full architectural support for: (a) Delivery-Only Cloud Kitchens, (b) Fine Dining / Table Reservation-Only Bistros, and (c) Hybrid Full-Service Restaurants.</w:t>
      </w:r>
    </w:p>
    <w:p>
      <w:pPr>
        <w:spacing w:after="80"/>
      </w:pPr>
      <w:r>
        <w:rPr>
          <w:rFonts w:ascii="Calibri" w:hAnsi="Calibri"/>
          <w:b/>
          <w:color w:val="2B6CB0"/>
          <w:sz w:val="20"/>
        </w:rPr>
        <w:t xml:space="preserve">4. Autonomous Owner AI Copilot: </w:t>
      </w:r>
      <w:r>
        <w:rPr>
          <w:rFonts w:ascii="Calibri" w:hAnsi="Calibri"/>
          <w:color w:val="2D3748"/>
          <w:sz w:val="20"/>
        </w:rPr>
        <w:t>Every restaurant owner receives an executive AI business assistant that analyzes real, localized sales data, predicts peak table demand, flags low-margin recipes, and crafts targeted promotional campaigns with explicit human-in-the-loop confirmation.</w:t>
      </w:r>
    </w:p>
    <w:p>
      <w:pPr>
        <w:spacing w:after="80"/>
      </w:pPr>
      <w:r>
        <w:rPr>
          <w:rFonts w:ascii="Calibri" w:hAnsi="Calibri"/>
          <w:b/>
          <w:color w:val="2B6CB0"/>
          <w:sz w:val="20"/>
        </w:rPr>
        <w:t xml:space="preserve">5. Privacy &amp; Regulatory Rigor: </w:t>
      </w:r>
      <w:r>
        <w:rPr>
          <w:rFonts w:ascii="Calibri" w:hAnsi="Calibri"/>
          <w:color w:val="2D3748"/>
          <w:sz w:val="20"/>
        </w:rPr>
        <w:t>Engineered in strict compliance with the Digital Personal Data Protection Act (DPDP Act 2023), FSSAI food hygiene standards, and Consumer Protection E-Commerce Rules.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