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80"/>
      </w:pPr>
      <w:r>
        <w:rPr>
          <w:rFonts w:ascii="Calibri" w:hAnsi="Calibri"/>
          <w:b/>
          <w:color w:val="1A365D"/>
          <w:sz w:val="44"/>
        </w:rPr>
        <w:t>COMPLETE IMPLEMENTATION PLAN &amp; SPECIFICATIONS</w:t>
      </w:r>
    </w:p>
    <w:p>
      <w:pPr>
        <w:spacing w:after="360"/>
      </w:pPr>
      <w:r>
        <w:rPr>
          <w:rFonts w:ascii="Calibri" w:hAnsi="Calibri"/>
          <w:i/>
          <w:color w:val="718096"/>
          <w:sz w:val="24"/>
        </w:rPr>
        <w:t>End-to-End Roadmap, Feature Requirements, Milestones, File Structure, and Acceptance Criteria</w:t>
      </w:r>
    </w:p>
    <w:p>
      <w:pPr>
        <w:spacing w:after="400"/>
      </w:pPr>
      <w:r>
        <w:rPr>
          <w:rFonts w:ascii="Calibri" w:hAnsi="Calibri"/>
          <w:color w:val="A0AEC0"/>
          <w:sz w:val="19"/>
        </w:rPr>
        <w:t>Target: GourmetFleet Marketplace  |  Stack: MongoDB, Express, React, Node.js, TypeScript  |  Version: 1.0.0</w:t>
      </w:r>
    </w:p>
    <w:p>
      <w:pPr>
        <w:pStyle w:val="Heading1"/>
        <w:keepNext/>
        <w:spacing w:before="320" w:after="120"/>
      </w:pPr>
      <w:r>
        <w:rPr>
          <w:rFonts w:ascii="Calibri" w:hAnsi="Calibri"/>
          <w:b/>
          <w:color w:val="1A365D"/>
          <w:sz w:val="34"/>
        </w:rPr>
        <w:t>1. Project Phases &amp; Milestones Breakdown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1A365D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7"/>
              </w:rPr>
              <w:t>Phase #</w:t>
            </w:r>
          </w:p>
        </w:tc>
        <w:tc>
          <w:tcPr>
            <w:tcW w:type="dxa" w:w="1872"/>
            <w:shd w:fill="1A365D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7"/>
              </w:rPr>
              <w:t>Milestone / Workstream</w:t>
            </w:r>
          </w:p>
        </w:tc>
        <w:tc>
          <w:tcPr>
            <w:tcW w:type="dxa" w:w="1872"/>
            <w:shd w:fill="1A365D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7"/>
              </w:rPr>
              <w:t>Primary Deliverables</w:t>
            </w:r>
          </w:p>
        </w:tc>
        <w:tc>
          <w:tcPr>
            <w:tcW w:type="dxa" w:w="1872"/>
            <w:shd w:fill="1A365D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7"/>
              </w:rPr>
              <w:t>Dependencies</w:t>
            </w:r>
          </w:p>
        </w:tc>
        <w:tc>
          <w:tcPr>
            <w:tcW w:type="dxa" w:w="1872"/>
            <w:shd w:fill="1A365D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7"/>
              </w:rPr>
              <w:t>Acceptance Criteria</w:t>
            </w:r>
          </w:p>
        </w:tc>
      </w:tr>
      <w:tr>
        <w:tc>
          <w:tcPr>
            <w:tcW w:type="dxa" w:w="1872"/>
            <w:shd w:fill="F7FAFC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color w:val="2D3748"/>
                <w:sz w:val="16"/>
              </w:rPr>
              <w:t>Phase 1-3</w:t>
            </w:r>
          </w:p>
        </w:tc>
        <w:tc>
          <w:tcPr>
            <w:tcW w:type="dxa" w:w="1872"/>
            <w:shd w:fill="F7FAFC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color w:val="2D3748"/>
                <w:sz w:val="16"/>
              </w:rPr>
              <w:t>Research, Strategy &amp; Architecture</w:t>
            </w:r>
          </w:p>
        </w:tc>
        <w:tc>
          <w:tcPr>
            <w:tcW w:type="dxa" w:w="1872"/>
            <w:shd w:fill="F7FAFC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color w:val="2D3748"/>
                <w:sz w:val="16"/>
              </w:rPr>
              <w:t>Word Docs, Architecture diagrams, schema blueprints</w:t>
            </w:r>
          </w:p>
        </w:tc>
        <w:tc>
          <w:tcPr>
            <w:tcW w:type="dxa" w:w="1872"/>
            <w:shd w:fill="F7FAFC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color w:val="2D3748"/>
                <w:sz w:val="16"/>
              </w:rPr>
              <w:t>None</w:t>
            </w:r>
          </w:p>
        </w:tc>
        <w:tc>
          <w:tcPr>
            <w:tcW w:type="dxa" w:w="1872"/>
            <w:shd w:fill="F7FAFC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color w:val="2D3748"/>
                <w:sz w:val="16"/>
              </w:rPr>
              <w:t>Complete competitor benchmarking, SWOT, risk register, and data models approved.</w:t>
            </w:r>
          </w:p>
        </w:tc>
      </w:tr>
      <w:tr>
        <w:tc>
          <w:tcPr>
            <w:tcW w:type="dxa" w:w="1872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color w:val="2D3748"/>
                <w:sz w:val="16"/>
              </w:rPr>
              <w:t>Phase 4</w:t>
            </w:r>
          </w:p>
        </w:tc>
        <w:tc>
          <w:tcPr>
            <w:tcW w:type="dxa" w:w="1872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color w:val="2D3748"/>
                <w:sz w:val="16"/>
              </w:rPr>
              <w:t>Premium UI/UX &amp; 3D Web Graphics</w:t>
            </w:r>
          </w:p>
        </w:tc>
        <w:tc>
          <w:tcPr>
            <w:tcW w:type="dxa" w:w="1872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color w:val="2D3748"/>
                <w:sz w:val="16"/>
              </w:rPr>
              <w:t>Three.js Hero, Tailwind theme, responsive layouts</w:t>
            </w:r>
          </w:p>
        </w:tc>
        <w:tc>
          <w:tcPr>
            <w:tcW w:type="dxa" w:w="1872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color w:val="2D3748"/>
                <w:sz w:val="16"/>
              </w:rPr>
              <w:t>Vite, React, Three.js</w:t>
            </w:r>
          </w:p>
        </w:tc>
        <w:tc>
          <w:tcPr>
            <w:tcW w:type="dxa" w:w="1872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color w:val="2D3748"/>
                <w:sz w:val="16"/>
              </w:rPr>
              <w:t>Smooth 60fps canvas, reduced-motion fallbacks, mobile-first responsiveness.</w:t>
            </w:r>
          </w:p>
        </w:tc>
      </w:tr>
      <w:tr>
        <w:tc>
          <w:tcPr>
            <w:tcW w:type="dxa" w:w="1872"/>
            <w:shd w:fill="F7FAFC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color w:val="2D3748"/>
                <w:sz w:val="16"/>
              </w:rPr>
              <w:t>Phase 5</w:t>
            </w:r>
          </w:p>
        </w:tc>
        <w:tc>
          <w:tcPr>
            <w:tcW w:type="dxa" w:w="1872"/>
            <w:shd w:fill="F7FAFC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color w:val="2D3748"/>
                <w:sz w:val="16"/>
              </w:rPr>
              <w:t>Multi-Role Auth &amp; RBAC</w:t>
            </w:r>
          </w:p>
        </w:tc>
        <w:tc>
          <w:tcPr>
            <w:tcW w:type="dxa" w:w="1872"/>
            <w:shd w:fill="F7FAFC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color w:val="2D3748"/>
                <w:sz w:val="16"/>
              </w:rPr>
              <w:t>JWT rotation, bcrypt, Auth pages, role guards</w:t>
            </w:r>
          </w:p>
        </w:tc>
        <w:tc>
          <w:tcPr>
            <w:tcW w:type="dxa" w:w="1872"/>
            <w:shd w:fill="F7FAFC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color w:val="2D3748"/>
                <w:sz w:val="16"/>
              </w:rPr>
              <w:t>Mongoose, Express, Zod</w:t>
            </w:r>
          </w:p>
        </w:tc>
        <w:tc>
          <w:tcPr>
            <w:tcW w:type="dxa" w:w="1872"/>
            <w:shd w:fill="F7FAFC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color w:val="2D3748"/>
                <w:sz w:val="16"/>
              </w:rPr>
              <w:t>Customer, Owner, Admin roles enforced; verification status check on owners.</w:t>
            </w:r>
          </w:p>
        </w:tc>
      </w:tr>
      <w:tr>
        <w:tc>
          <w:tcPr>
            <w:tcW w:type="dxa" w:w="1872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color w:val="2D3748"/>
                <w:sz w:val="16"/>
              </w:rPr>
              <w:t>Phase 6-7</w:t>
            </w:r>
          </w:p>
        </w:tc>
        <w:tc>
          <w:tcPr>
            <w:tcW w:type="dxa" w:w="1872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color w:val="2D3748"/>
                <w:sz w:val="16"/>
              </w:rPr>
              <w:t>Food Discovery &amp; Ordering Engine</w:t>
            </w:r>
          </w:p>
        </w:tc>
        <w:tc>
          <w:tcPr>
            <w:tcW w:type="dxa" w:w="1872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color w:val="2D3748"/>
                <w:sz w:val="16"/>
              </w:rPr>
              <w:t>Fuzzy search, transparent cart, checkout, Socket.IO</w:t>
            </w:r>
          </w:p>
        </w:tc>
        <w:tc>
          <w:tcPr>
            <w:tcW w:type="dxa" w:w="1872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color w:val="2D3748"/>
                <w:sz w:val="16"/>
              </w:rPr>
              <w:t>Auth, Mongo schemas</w:t>
            </w:r>
          </w:p>
        </w:tc>
        <w:tc>
          <w:tcPr>
            <w:tcW w:type="dxa" w:w="1872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color w:val="2D3748"/>
                <w:sz w:val="16"/>
              </w:rPr>
              <w:t>Item subtotal, delivery fee, GST, platform fee explicitly rendered and validated on server.</w:t>
            </w:r>
          </w:p>
        </w:tc>
      </w:tr>
      <w:tr>
        <w:tc>
          <w:tcPr>
            <w:tcW w:type="dxa" w:w="1872"/>
            <w:shd w:fill="F7FAFC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color w:val="2D3748"/>
                <w:sz w:val="16"/>
              </w:rPr>
              <w:t>Phase 8</w:t>
            </w:r>
          </w:p>
        </w:tc>
        <w:tc>
          <w:tcPr>
            <w:tcW w:type="dxa" w:w="1872"/>
            <w:shd w:fill="F7FAFC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color w:val="2D3748"/>
                <w:sz w:val="16"/>
              </w:rPr>
              <w:t>Table Reservation &amp; Concurrency</w:t>
            </w:r>
          </w:p>
        </w:tc>
        <w:tc>
          <w:tcPr>
            <w:tcW w:type="dxa" w:w="1872"/>
            <w:shd w:fill="F7FAFC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color w:val="2D3748"/>
                <w:sz w:val="16"/>
              </w:rPr>
              <w:t>Atomic slot booking, QR ticket pass, floor plans</w:t>
            </w:r>
          </w:p>
        </w:tc>
        <w:tc>
          <w:tcPr>
            <w:tcW w:type="dxa" w:w="1872"/>
            <w:shd w:fill="F7FAFC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color w:val="2D3748"/>
                <w:sz w:val="16"/>
              </w:rPr>
              <w:t>Mongoose transactions</w:t>
            </w:r>
          </w:p>
        </w:tc>
        <w:tc>
          <w:tcPr>
            <w:tcW w:type="dxa" w:w="1872"/>
            <w:shd w:fill="F7FAFC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color w:val="2D3748"/>
                <w:sz w:val="16"/>
              </w:rPr>
              <w:t>Zero double-booking on simultaneous requests; hold countdown timer.</w:t>
            </w:r>
          </w:p>
        </w:tc>
      </w:tr>
      <w:tr>
        <w:tc>
          <w:tcPr>
            <w:tcW w:type="dxa" w:w="1872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color w:val="2D3748"/>
                <w:sz w:val="16"/>
              </w:rPr>
              <w:t>Phase 9</w:t>
            </w:r>
          </w:p>
        </w:tc>
        <w:tc>
          <w:tcPr>
            <w:tcW w:type="dxa" w:w="1872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color w:val="2D3748"/>
                <w:sz w:val="16"/>
              </w:rPr>
              <w:t>Restaurant Owner Portal &amp; Ops</w:t>
            </w:r>
          </w:p>
        </w:tc>
        <w:tc>
          <w:tcPr>
            <w:tcW w:type="dxa" w:w="1872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color w:val="2D3748"/>
                <w:sz w:val="16"/>
              </w:rPr>
              <w:t>Kanban orders, table layout, menu editor, analytics</w:t>
            </w:r>
          </w:p>
        </w:tc>
        <w:tc>
          <w:tcPr>
            <w:tcW w:type="dxa" w:w="1872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color w:val="2D3748"/>
                <w:sz w:val="16"/>
              </w:rPr>
              <w:t>Socket.IO, Express</w:t>
            </w:r>
          </w:p>
        </w:tc>
        <w:tc>
          <w:tcPr>
            <w:tcW w:type="dxa" w:w="1872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color w:val="2D3748"/>
                <w:sz w:val="16"/>
              </w:rPr>
              <w:t>Real-time audio/visual order alert; instant out-of-stock menu toggles.</w:t>
            </w:r>
          </w:p>
        </w:tc>
      </w:tr>
      <w:tr>
        <w:tc>
          <w:tcPr>
            <w:tcW w:type="dxa" w:w="1872"/>
            <w:shd w:fill="F7FAFC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color w:val="2D3748"/>
                <w:sz w:val="16"/>
              </w:rPr>
              <w:t>Phase 10</w:t>
            </w:r>
          </w:p>
        </w:tc>
        <w:tc>
          <w:tcPr>
            <w:tcW w:type="dxa" w:w="1872"/>
            <w:shd w:fill="F7FAFC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color w:val="2D3748"/>
                <w:sz w:val="16"/>
              </w:rPr>
              <w:t>Autonomous Owner AI Assistant</w:t>
            </w:r>
          </w:p>
        </w:tc>
        <w:tc>
          <w:tcPr>
            <w:tcW w:type="dxa" w:w="1872"/>
            <w:shd w:fill="F7FAFC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color w:val="2D3748"/>
                <w:sz w:val="16"/>
              </w:rPr>
              <w:t>Tool-calling engine, sales analysis, prompt defense</w:t>
            </w:r>
          </w:p>
        </w:tc>
        <w:tc>
          <w:tcPr>
            <w:tcW w:type="dxa" w:w="1872"/>
            <w:shd w:fill="F7FAFC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color w:val="2D3748"/>
                <w:sz w:val="16"/>
              </w:rPr>
              <w:t>Owner auth, AI service</w:t>
            </w:r>
          </w:p>
        </w:tc>
        <w:tc>
          <w:tcPr>
            <w:tcW w:type="dxa" w:w="1872"/>
            <w:shd w:fill="F7FAFC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color w:val="2D3748"/>
                <w:sz w:val="16"/>
              </w:rPr>
              <w:t>Only queries authenticated restaurant's data; human approval required for changes.</w:t>
            </w:r>
          </w:p>
        </w:tc>
      </w:tr>
      <w:tr>
        <w:tc>
          <w:tcPr>
            <w:tcW w:type="dxa" w:w="1872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color w:val="2D3748"/>
                <w:sz w:val="16"/>
              </w:rPr>
              <w:t>Phase 11-13</w:t>
            </w:r>
          </w:p>
        </w:tc>
        <w:tc>
          <w:tcPr>
            <w:tcW w:type="dxa" w:w="1872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color w:val="2D3748"/>
                <w:sz w:val="16"/>
              </w:rPr>
              <w:t>Admin Governance, Loyalty &amp; Alerts</w:t>
            </w:r>
          </w:p>
        </w:tc>
        <w:tc>
          <w:tcPr>
            <w:tcW w:type="dxa" w:w="1872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color w:val="2D3748"/>
                <w:sz w:val="16"/>
              </w:rPr>
              <w:t>KYC onboarding, points ledger, email/WhatsApp sim</w:t>
            </w:r>
          </w:p>
        </w:tc>
        <w:tc>
          <w:tcPr>
            <w:tcW w:type="dxa" w:w="1872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color w:val="2D3748"/>
                <w:sz w:val="16"/>
              </w:rPr>
              <w:t>Order/Reservation state</w:t>
            </w:r>
          </w:p>
        </w:tc>
        <w:tc>
          <w:tcPr>
            <w:tcW w:type="dxa" w:w="1872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color w:val="2D3748"/>
                <w:sz w:val="16"/>
              </w:rPr>
              <w:t>Audit logging, points reversal on refund, idempotency in alerts.</w:t>
            </w:r>
          </w:p>
        </w:tc>
      </w:tr>
      <w:tr>
        <w:tc>
          <w:tcPr>
            <w:tcW w:type="dxa" w:w="1872"/>
            <w:shd w:fill="F7FAFC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color w:val="2D3748"/>
                <w:sz w:val="16"/>
              </w:rPr>
              <w:t>Phase 14-17</w:t>
            </w:r>
          </w:p>
        </w:tc>
        <w:tc>
          <w:tcPr>
            <w:tcW w:type="dxa" w:w="1872"/>
            <w:shd w:fill="F7FAFC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color w:val="2D3748"/>
                <w:sz w:val="16"/>
              </w:rPr>
              <w:t>Security, QA, Packaging &amp; State</w:t>
            </w:r>
          </w:p>
        </w:tc>
        <w:tc>
          <w:tcPr>
            <w:tcW w:type="dxa" w:w="1872"/>
            <w:shd w:fill="F7FAFC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color w:val="2D3748"/>
                <w:sz w:val="16"/>
              </w:rPr>
              <w:t>Automated tests, Docker compose, final ZIP archive</w:t>
            </w:r>
          </w:p>
        </w:tc>
        <w:tc>
          <w:tcPr>
            <w:tcW w:type="dxa" w:w="1872"/>
            <w:shd w:fill="F7FAFC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color w:val="2D3748"/>
                <w:sz w:val="16"/>
              </w:rPr>
              <w:t>All workstreams</w:t>
            </w:r>
          </w:p>
        </w:tc>
        <w:tc>
          <w:tcPr>
            <w:tcW w:type="dxa" w:w="1872"/>
            <w:shd w:fill="F7FAFC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color w:val="2D3748"/>
                <w:sz w:val="16"/>
              </w:rPr>
              <w:t>Passing test suite, clean packaging without node_modules, reproducible build.</w:t>
            </w:r>
          </w:p>
        </w:tc>
      </w:tr>
    </w:tbl>
    <w:p>
      <w:pPr>
        <w:spacing w:after="200"/>
      </w:pPr>
    </w:p>
    <w:p>
      <w:pPr>
        <w:pStyle w:val="Heading1"/>
        <w:keepNext/>
        <w:spacing w:before="320" w:after="120"/>
      </w:pPr>
      <w:r>
        <w:rPr>
          <w:rFonts w:ascii="Calibri" w:hAnsi="Calibri"/>
          <w:b/>
          <w:color w:val="1A365D"/>
          <w:sz w:val="34"/>
        </w:rPr>
        <w:t>2. Detailed Feature Specifications</w:t>
      </w:r>
    </w:p>
    <w:p>
      <w:pPr>
        <w:pStyle w:val="Heading2"/>
        <w:keepNext/>
        <w:spacing w:before="240" w:after="80"/>
      </w:pPr>
      <w:r>
        <w:rPr>
          <w:rFonts w:ascii="Calibri" w:hAnsi="Calibri"/>
          <w:b/>
          <w:color w:val="2B6CB0"/>
          <w:sz w:val="26"/>
        </w:rPr>
        <w:t>2.1 Customer Ordering Journey</w:t>
      </w:r>
    </w:p>
    <w:p>
      <w:r>
        <w:t>• Multi-factor Discovery: Geolocation filtering, cuisine tags, dietary toggles (Vegetarian, Vegan, Gluten-Free, Halal, Chef Special).</w:t>
        <w:br/>
        <w:t>• Transparent Item Customization: Selection of size variants (e.g. Regular vs Large) and nested add-ons with individual pricing.</w:t>
        <w:br/>
        <w:t>• Dynamic Fee Calculator: Calculates distance-based delivery tier ($2.00 base + $0.80/km), restaurant packaging, 5% food GST, 18% services GST, and $1.50 platform fee.</w:t>
        <w:br/>
        <w:t>• Live Order Tracking: Real-time Socket.IO synchronization through 6 distinct order phases with simulated realistic delivery steps.</w:t>
      </w:r>
    </w:p>
    <w:p>
      <w:pPr>
        <w:pStyle w:val="Heading2"/>
        <w:keepNext/>
        <w:spacing w:before="240" w:after="80"/>
      </w:pPr>
      <w:r>
        <w:rPr>
          <w:rFonts w:ascii="Calibri" w:hAnsi="Calibri"/>
          <w:b/>
          <w:color w:val="2B6CB0"/>
          <w:sz w:val="26"/>
        </w:rPr>
        <w:t>2.2 Real-time Table Reservation System</w:t>
      </w:r>
    </w:p>
    <w:p>
      <w:r>
        <w:t>• Inventory-Driven Availability: Tables configured with seating capacity (2-top, 4-top, 6-top, VIP Booth, Terrace).</w:t>
        <w:br/>
        <w:t>• Atomic Slot Locking: Server evaluates table availability at exact booking timestamp + 90-minute dining duration. Atomic locking prevents split-second race conditions.</w:t>
        <w:br/>
        <w:t>• Guest Pass Generation: Generates scannable SVG/Canvas QR ticket containing booking token, party size, table number, and arrival window.</w:t>
        <w:br/>
        <w:t>• No-Show Mitigation: 15-minute grace window timer, calendar sync (.ics), and automated arrival reminders.</w:t>
      </w:r>
    </w:p>
    <w:p>
      <w:pPr>
        <w:pStyle w:val="Heading2"/>
        <w:keepNext/>
        <w:spacing w:before="240" w:after="80"/>
      </w:pPr>
      <w:r>
        <w:rPr>
          <w:rFonts w:ascii="Calibri" w:hAnsi="Calibri"/>
          <w:b/>
          <w:color w:val="2B6CB0"/>
          <w:sz w:val="26"/>
        </w:rPr>
        <w:t>2.3 Restaurant Owner Operating System</w:t>
      </w:r>
    </w:p>
    <w:p>
      <w:r>
        <w:t>• Live Kitchen Display (KDS) &amp; Order Kanban: Columnar interface (Incoming, Accepted/Cooking, Ready for Dispatch, In Transit).</w:t>
        <w:br/>
        <w:t>• Real-time Floor Plan View: Live visual status of dining room tables (Available, Reserved, Seated, Dirty/Cleaning).</w:t>
        <w:br/>
        <w:t>• Menu Stock Controls: Instant toggle for ingredient outages to immediately disable affected items in customer cart.</w:t>
        <w:br/>
        <w:t>• Financial Analytics: Itemized payouts subtracting transparent platform commission (e.g. 10%) and net earnings export.</w:t>
      </w:r>
    </w:p>
    <w:p>
      <w:pPr>
        <w:pStyle w:val="Heading2"/>
        <w:keepNext/>
        <w:spacing w:before="240" w:after="80"/>
      </w:pPr>
      <w:r>
        <w:rPr>
          <w:rFonts w:ascii="Calibri" w:hAnsi="Calibri"/>
          <w:b/>
          <w:color w:val="2B6CB0"/>
          <w:sz w:val="26"/>
        </w:rPr>
        <w:t>2.4 Owner AI Business Assistant</w:t>
      </w:r>
    </w:p>
    <w:p>
      <w:r>
        <w:t>• Tool-Calling Architecture: AI model provided with deterministic schemas to execute read queries against sales, occupancy, and top dishes.</w:t>
        <w:br/>
        <w:t>• Strict Multi-Tenant Isolation: Every tool call automatically binds `restaurantId: req.user.restaurantId`; cannot leak cross-restaurant data.</w:t>
        <w:br/>
        <w:t>• Human-in-the-Loop Execution: Any operational action (e.g. applying a 15% discount for slow Wednesday lunches) outputs an executable proposal requiring explicit owner confirmation.</w:t>
      </w:r>
    </w:p>
    <w:p>
      <w:pPr>
        <w:pStyle w:val="Heading2"/>
        <w:keepNext/>
        <w:spacing w:before="240" w:after="80"/>
      </w:pPr>
      <w:r>
        <w:rPr>
          <w:rFonts w:ascii="Calibri" w:hAnsi="Calibri"/>
          <w:b/>
          <w:color w:val="2B6CB0"/>
          <w:sz w:val="26"/>
        </w:rPr>
        <w:t>2.5 Platform Admin Governance</w:t>
      </w:r>
    </w:p>
    <w:p>
      <w:r>
        <w:t>• Merchant Verification Queue: Review restaurant FSSAI license, tax ID (GSTIN), and hygiene certification before enabling live listings.</w:t>
        <w:br/>
        <w:t>• Commission Rate Customizer: Capability to assign standard default commission (10%) or negotiated custom rates for anchor restaurant partners.</w:t>
        <w:br/>
        <w:t>• Audit Trail: Every critical administrative and moderation action logged with timestamp, admin ID, IP, and reason.</w:t>
      </w:r>
    </w:p>
    <w:p>
      <w:pPr>
        <w:pStyle w:val="Heading1"/>
        <w:keepNext/>
        <w:spacing w:before="320" w:after="120"/>
      </w:pPr>
      <w:r>
        <w:rPr>
          <w:rFonts w:ascii="Calibri" w:hAnsi="Calibri"/>
          <w:b/>
          <w:color w:val="1A365D"/>
          <w:sz w:val="34"/>
        </w:rPr>
        <w:t>3. Directory &amp; File Organization Structure</w:t>
      </w:r>
    </w:p>
    <w:p>
      <w:r>
        <w:t>The project is structured as a clean, cohesive monorepo ensuring complete separation of concerns while sharing type contracts between frontend and backend:</w:t>
      </w:r>
    </w:p>
    <w:p>
      <w:pPr>
        <w:spacing w:before="80" w:after="160"/>
      </w:pPr>
      <w:r>
        <w:rPr>
          <w:rFonts w:ascii="Consolas" w:hAnsi="Consolas"/>
          <w:color w:val="2D3748"/>
          <w:sz w:val="17"/>
        </w:rPr>
        <w:t>restaurant-marketplace/</w:t>
        <w:br/>
        <w:t>├── client/                           # Frontend React + TypeScript + Vite Application</w:t>
        <w:br/>
        <w:t>│   ├── src/</w:t>
        <w:br/>
        <w:t>│   │   ├── components/               # 3D Canvas, Customer UI, Owner Dashboard, Admin UI</w:t>
        <w:br/>
        <w:t>│   │   ├── pages/                    # Home, RestaurantDetail, Checkout, Orders, Bookings</w:t>
        <w:br/>
        <w:t>│   │   ├── store/                    # Zustand state management (auth, cart, notifications)</w:t>
        <w:br/>
        <w:t>│   │   ├── services/                 # API calls, Socket.IO client, QR pass generator</w:t>
        <w:br/>
        <w:t>│   │   └── types/                    # Frontend type models</w:t>
        <w:br/>
        <w:t>│   ├── index.html</w:t>
        <w:br/>
        <w:t>│   ├── package.json</w:t>
        <w:br/>
        <w:t>│   ├── tailwind.config.js</w:t>
        <w:br/>
        <w:t>│   └── vite.config.ts</w:t>
        <w:br/>
        <w:t>├── server/                           # Backend Node.js + Express + TypeScript Application</w:t>
        <w:br/>
        <w:t>│   ├── src/</w:t>
        <w:br/>
        <w:t>│   │   ├── config/                   # MongoDB connection, Redis, environment validation</w:t>
        <w:br/>
        <w:t>│   │   ├── controllers/              # Auth, Restaurant, Order, Reservation, AI, Admin</w:t>
        <w:br/>
        <w:t>│   │   ├── middleware/               # requireAuth, requireRole, rateLimit, errorHandler</w:t>
        <w:br/>
        <w:t>│   │   ├── models/                   # Mongoose Schemas (User, Restaurant, Order, etc.)</w:t>
        <w:br/>
        <w:t>│   │   ├── services/                 # PricingEngine, ReservationEngine, AIService</w:t>
        <w:br/>
        <w:t>│   │   ├── sockets/                  # Socket.IO connection and room dispatchers</w:t>
        <w:br/>
        <w:t>│   │   └── tests/                    # Vitest / Jest automated test suites</w:t>
        <w:br/>
        <w:t>│   ├── seed/                         # Rich seed script with realistic sample restaurants</w:t>
        <w:br/>
        <w:t>│   ├── package.json</w:t>
        <w:br/>
        <w:t>│   └── tsconfig.json</w:t>
        <w:br/>
        <w:t>├── shared/                           # Shared TypeScript contracts and Zod schemas</w:t>
        <w:br/>
        <w:t>├── docker-compose.yml                # Multi-container orchestration (Mongo, Redis, API, Web)</w:t>
        <w:br/>
        <w:t>└── README.md                         # Comprehensive deployment &amp; operation instructions</w:t>
      </w:r>
    </w:p>
    <w:p>
      <w:pPr>
        <w:pStyle w:val="Heading1"/>
        <w:keepNext/>
        <w:spacing w:before="320" w:after="120"/>
      </w:pPr>
      <w:r>
        <w:rPr>
          <w:rFonts w:ascii="Calibri" w:hAnsi="Calibri"/>
          <w:b/>
          <w:color w:val="1A365D"/>
          <w:sz w:val="34"/>
        </w:rPr>
        <w:t>4. Rigorous Acceptance Criteria &amp; Quality Gates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2B6CB0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7"/>
              </w:rPr>
              <w:t>Category</w:t>
            </w:r>
          </w:p>
        </w:tc>
        <w:tc>
          <w:tcPr>
            <w:tcW w:type="dxa" w:w="2340"/>
            <w:shd w:fill="2B6CB0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7"/>
              </w:rPr>
              <w:t>Requirement &amp; Target</w:t>
            </w:r>
          </w:p>
        </w:tc>
        <w:tc>
          <w:tcPr>
            <w:tcW w:type="dxa" w:w="2340"/>
            <w:shd w:fill="2B6CB0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7"/>
              </w:rPr>
              <w:t>Validation Method</w:t>
            </w:r>
          </w:p>
        </w:tc>
        <w:tc>
          <w:tcPr>
            <w:tcW w:type="dxa" w:w="2340"/>
            <w:shd w:fill="2B6CB0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7"/>
              </w:rPr>
              <w:t>Pass / Fail Gate</w:t>
            </w:r>
          </w:p>
        </w:tc>
      </w:tr>
      <w:tr>
        <w:tc>
          <w:tcPr>
            <w:tcW w:type="dxa" w:w="2340"/>
            <w:shd w:fill="F7FAFC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color w:val="2D3748"/>
                <w:sz w:val="16"/>
              </w:rPr>
              <w:t>Concurrency</w:t>
            </w:r>
          </w:p>
        </w:tc>
        <w:tc>
          <w:tcPr>
            <w:tcW w:type="dxa" w:w="2340"/>
            <w:shd w:fill="F7FAFC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color w:val="2D3748"/>
                <w:sz w:val="16"/>
              </w:rPr>
              <w:t>Zero double bookings under 10 concurrent requests for same table slot</w:t>
            </w:r>
          </w:p>
        </w:tc>
        <w:tc>
          <w:tcPr>
            <w:tcW w:type="dxa" w:w="2340"/>
            <w:shd w:fill="F7FAFC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color w:val="2D3748"/>
                <w:sz w:val="16"/>
              </w:rPr>
              <w:t>Automated concurrency test simulating simultaneous booking POSTs</w:t>
            </w:r>
          </w:p>
        </w:tc>
        <w:tc>
          <w:tcPr>
            <w:tcW w:type="dxa" w:w="2340"/>
            <w:shd w:fill="F7FAFC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color w:val="2D3748"/>
                <w:sz w:val="16"/>
              </w:rPr>
              <w:t>Strict 1 success, 9 slot-unavailable failures</w:t>
            </w:r>
          </w:p>
        </w:tc>
      </w:tr>
      <w:tr>
        <w:tc>
          <w:tcPr>
            <w:tcW w:type="dxa" w:w="2340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color w:val="2D3748"/>
                <w:sz w:val="16"/>
              </w:rPr>
              <w:t>Price Integrity</w:t>
            </w:r>
          </w:p>
        </w:tc>
        <w:tc>
          <w:tcPr>
            <w:tcW w:type="dxa" w:w="2340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color w:val="2D3748"/>
                <w:sz w:val="16"/>
              </w:rPr>
              <w:t>Server recalculates all items, addons, taxes; rejects client-altered totals</w:t>
            </w:r>
          </w:p>
        </w:tc>
        <w:tc>
          <w:tcPr>
            <w:tcW w:type="dxa" w:w="2340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color w:val="2D3748"/>
                <w:sz w:val="16"/>
              </w:rPr>
              <w:t>Malicious POST payload with $0.01 price attempt</w:t>
            </w:r>
          </w:p>
        </w:tc>
        <w:tc>
          <w:tcPr>
            <w:tcW w:type="dxa" w:w="2340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color w:val="2D3748"/>
                <w:sz w:val="16"/>
              </w:rPr>
              <w:t>Server overrides or rejects with 400 Bad Request</w:t>
            </w:r>
          </w:p>
        </w:tc>
      </w:tr>
      <w:tr>
        <w:tc>
          <w:tcPr>
            <w:tcW w:type="dxa" w:w="2340"/>
            <w:shd w:fill="F7FAFC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color w:val="2D3748"/>
                <w:sz w:val="16"/>
              </w:rPr>
              <w:t>Tenant Isolation</w:t>
            </w:r>
          </w:p>
        </w:tc>
        <w:tc>
          <w:tcPr>
            <w:tcW w:type="dxa" w:w="2340"/>
            <w:shd w:fill="F7FAFC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color w:val="2D3748"/>
                <w:sz w:val="16"/>
              </w:rPr>
              <w:t>Owner A cannot read or mutate Owner B's orders or analytics</w:t>
            </w:r>
          </w:p>
        </w:tc>
        <w:tc>
          <w:tcPr>
            <w:tcW w:type="dxa" w:w="2340"/>
            <w:shd w:fill="F7FAFC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color w:val="2D3748"/>
                <w:sz w:val="16"/>
              </w:rPr>
              <w:t>Automated API test invoking Owner A's token on Owner B's endpoints</w:t>
            </w:r>
          </w:p>
        </w:tc>
        <w:tc>
          <w:tcPr>
            <w:tcW w:type="dxa" w:w="2340"/>
            <w:shd w:fill="F7FAFC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color w:val="2D3748"/>
                <w:sz w:val="16"/>
              </w:rPr>
              <w:t>HTTP 403 Forbidden with security audit log entry</w:t>
            </w:r>
          </w:p>
        </w:tc>
      </w:tr>
      <w:tr>
        <w:tc>
          <w:tcPr>
            <w:tcW w:type="dxa" w:w="2340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color w:val="2D3748"/>
                <w:sz w:val="16"/>
              </w:rPr>
              <w:t>Data Consistency</w:t>
            </w:r>
          </w:p>
        </w:tc>
        <w:tc>
          <w:tcPr>
            <w:tcW w:type="dxa" w:w="2340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color w:val="2D3748"/>
                <w:sz w:val="16"/>
              </w:rPr>
              <w:t>Cancelled/refunded orders must reverse awarded loyalty points</w:t>
            </w:r>
          </w:p>
        </w:tc>
        <w:tc>
          <w:tcPr>
            <w:tcW w:type="dxa" w:w="2340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color w:val="2D3748"/>
                <w:sz w:val="16"/>
              </w:rPr>
              <w:t>Order refund lifecycle test inspecting loyalty ledger balance</w:t>
            </w:r>
          </w:p>
        </w:tc>
        <w:tc>
          <w:tcPr>
            <w:tcW w:type="dxa" w:w="2340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color w:val="2D3748"/>
                <w:sz w:val="16"/>
              </w:rPr>
              <w:t>Ledger records matching negative offset entry; no negative balance</w:t>
            </w:r>
          </w:p>
        </w:tc>
      </w:tr>
      <w:tr>
        <w:tc>
          <w:tcPr>
            <w:tcW w:type="dxa" w:w="2340"/>
            <w:shd w:fill="F7FAFC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color w:val="2D3748"/>
                <w:sz w:val="16"/>
              </w:rPr>
              <w:t>Responsive UX</w:t>
            </w:r>
          </w:p>
        </w:tc>
        <w:tc>
          <w:tcPr>
            <w:tcW w:type="dxa" w:w="2340"/>
            <w:shd w:fill="F7FAFC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color w:val="2D3748"/>
                <w:sz w:val="16"/>
              </w:rPr>
              <w:t>Seamless execution on desktop (1920x1080), tablet (768x1024), and mobile (375x812)</w:t>
            </w:r>
          </w:p>
        </w:tc>
        <w:tc>
          <w:tcPr>
            <w:tcW w:type="dxa" w:w="2340"/>
            <w:shd w:fill="F7FAFC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color w:val="2D3748"/>
                <w:sz w:val="16"/>
              </w:rPr>
              <w:t>Lighthouse &amp; Playwright viewport responsive tests</w:t>
            </w:r>
          </w:p>
        </w:tc>
        <w:tc>
          <w:tcPr>
            <w:tcW w:type="dxa" w:w="2340"/>
            <w:shd w:fill="F7FAFC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color w:val="2D3748"/>
                <w:sz w:val="16"/>
              </w:rPr>
              <w:t>Zero horizontal scrollbars, responsive sticky cart &amp; touch-friendly tap targets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