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A365D"/>
          <w:sz w:val="44"/>
        </w:rPr>
        <w:t>GOURMETFLEET — FULL-STACK AUDIT REPORT</w:t>
      </w:r>
    </w:p>
    <w:p>
      <w:pPr>
        <w:spacing w:after="360"/>
      </w:pPr>
      <w:r>
        <w:rPr>
          <w:rFonts w:ascii="Calibri" w:hAnsi="Calibri"/>
          <w:i/>
          <w:color w:val="718096"/>
          <w:sz w:val="24"/>
        </w:rPr>
        <w:t>Deep Technical &amp; Product Audit: Discovery Flaws, US-Centric Residue, Geolocation Deficits, and Indian Marketplace Upgrade Strategy</w:t>
      </w:r>
    </w:p>
    <w:p>
      <w:pPr>
        <w:spacing w:after="400"/>
      </w:pPr>
      <w:r>
        <w:rPr>
          <w:rFonts w:ascii="Calibri" w:hAnsi="Calibri"/>
          <w:color w:val="A0AEC0"/>
          <w:sz w:val="19"/>
        </w:rPr>
        <w:t>Audit Scope: Monorepo Codebase, Data Models, Geolocation, Indian Localization &amp; AI | Date: September 2026</w:t>
      </w:r>
    </w:p>
    <w:p>
      <w:pPr>
        <w:pStyle w:val="Heading1"/>
        <w:keepNext/>
        <w:spacing w:before="320" w:after="120"/>
      </w:pPr>
      <w:r>
        <w:rPr>
          <w:rFonts w:ascii="Calibri" w:hAnsi="Calibri"/>
          <w:b/>
          <w:color w:val="1A365D"/>
          <w:sz w:val="34"/>
        </w:rPr>
        <w:t>1. Executive Audit Summary</w:t>
      </w:r>
    </w:p>
    <w:p>
      <w:r>
        <w:t>A rigorous, line-by-line inspection of the existing GourmetFleet codebase was conducted across frontend components, Express controllers, Mongoose schemas, pricing algorithms, AI services, and database seed scripts. While the underlying MERN architecture provides strong foundations—specifically with deterministic server-side pricing, atomic reservation locking, Socket.IO real-time channels, and Three.js visual assets—the platform exhibits severe prototype limitations and geographic incongruities that prevent it from functioning as a realistic Indian food-tech marketplace.</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80" w:type="dxa"/>
              <w:right w:w="80" w:type="dxa"/>
            </w:tcMar>
          </w:tcPr>
          <w:p>
            <w:r>
              <w:rPr>
                <w:b/>
                <w:color w:val="FFFFFF"/>
                <w:sz w:val="17"/>
              </w:rPr>
              <w:t>System Component</w:t>
            </w:r>
          </w:p>
        </w:tc>
        <w:tc>
          <w:tcPr>
            <w:tcW w:type="dxa" w:w="2340"/>
            <w:shd w:fill="1A365D"/>
            <w:tcMar>
              <w:top w:w="100" w:type="dxa"/>
              <w:bottom w:w="100" w:type="dxa"/>
              <w:left w:w="80" w:type="dxa"/>
              <w:right w:w="80" w:type="dxa"/>
            </w:tcMar>
          </w:tcPr>
          <w:p>
            <w:r>
              <w:rPr>
                <w:b/>
                <w:color w:val="FFFFFF"/>
                <w:sz w:val="17"/>
              </w:rPr>
              <w:t>Current Implementation Status</w:t>
            </w:r>
          </w:p>
        </w:tc>
        <w:tc>
          <w:tcPr>
            <w:tcW w:type="dxa" w:w="2340"/>
            <w:shd w:fill="1A365D"/>
            <w:tcMar>
              <w:top w:w="100" w:type="dxa"/>
              <w:bottom w:w="100" w:type="dxa"/>
              <w:left w:w="80" w:type="dxa"/>
              <w:right w:w="80" w:type="dxa"/>
            </w:tcMar>
          </w:tcPr>
          <w:p>
            <w:r>
              <w:rPr>
                <w:b/>
                <w:color w:val="FFFFFF"/>
                <w:sz w:val="17"/>
              </w:rPr>
              <w:t>Discovered Vulnerability / Flaw</w:t>
            </w:r>
          </w:p>
        </w:tc>
        <w:tc>
          <w:tcPr>
            <w:tcW w:type="dxa" w:w="2340"/>
            <w:shd w:fill="1A365D"/>
            <w:tcMar>
              <w:top w:w="100" w:type="dxa"/>
              <w:bottom w:w="100" w:type="dxa"/>
              <w:left w:w="80" w:type="dxa"/>
              <w:right w:w="80" w:type="dxa"/>
            </w:tcMar>
          </w:tcPr>
          <w:p>
            <w:r>
              <w:rPr>
                <w:b/>
                <w:color w:val="FFFFFF"/>
                <w:sz w:val="17"/>
              </w:rPr>
              <w:t>Severity &amp; Remediation Required</w:t>
            </w:r>
          </w:p>
        </w:tc>
      </w:tr>
      <w:tr>
        <w:tc>
          <w:tcPr>
            <w:tcW w:type="dxa" w:w="2340"/>
            <w:shd w:fill="FFF5F5"/>
            <w:tcMar>
              <w:top w:w="70" w:type="dxa"/>
              <w:bottom w:w="70" w:type="dxa"/>
              <w:left w:w="70" w:type="dxa"/>
              <w:right w:w="70" w:type="dxa"/>
            </w:tcMar>
          </w:tcPr>
          <w:p>
            <w:r>
              <w:rPr>
                <w:rFonts w:ascii="Calibri" w:hAnsi="Calibri"/>
                <w:color w:val="2D3748"/>
                <w:sz w:val="16"/>
              </w:rPr>
              <w:t>Location Management</w:t>
            </w:r>
          </w:p>
        </w:tc>
        <w:tc>
          <w:tcPr>
            <w:tcW w:type="dxa" w:w="2340"/>
            <w:shd w:fill="FFF5F5"/>
            <w:tcMar>
              <w:top w:w="70" w:type="dxa"/>
              <w:bottom w:w="70" w:type="dxa"/>
              <w:left w:w="70" w:type="dxa"/>
              <w:right w:w="70" w:type="dxa"/>
            </w:tcMar>
          </w:tcPr>
          <w:p>
            <w:r>
              <w:rPr>
                <w:rFonts w:ascii="Calibri" w:hAnsi="Calibri"/>
                <w:color w:val="2D3748"/>
                <w:sz w:val="16"/>
              </w:rPr>
              <w:t>Hardcoded / Static</w:t>
            </w:r>
          </w:p>
        </w:tc>
        <w:tc>
          <w:tcPr>
            <w:tcW w:type="dxa" w:w="2340"/>
            <w:shd w:fill="FFF5F5"/>
            <w:tcMar>
              <w:top w:w="70" w:type="dxa"/>
              <w:bottom w:w="70" w:type="dxa"/>
              <w:left w:w="70" w:type="dxa"/>
              <w:right w:w="70" w:type="dxa"/>
            </w:tcMar>
          </w:tcPr>
          <w:p>
            <w:r>
              <w:rPr>
                <w:rFonts w:ascii="Calibri" w:hAnsi="Calibri"/>
                <w:color w:val="2D3748"/>
                <w:sz w:val="16"/>
              </w:rPr>
              <w:t>Navbar hardcodes 'Metropolis Center (3.5 km)'. Zero browser geolocation support; no city/locality picker.</w:t>
            </w:r>
          </w:p>
        </w:tc>
        <w:tc>
          <w:tcPr>
            <w:tcW w:type="dxa" w:w="2340"/>
            <w:shd w:fill="FFF5F5"/>
            <w:tcMar>
              <w:top w:w="70" w:type="dxa"/>
              <w:bottom w:w="70" w:type="dxa"/>
              <w:left w:w="70" w:type="dxa"/>
              <w:right w:w="70" w:type="dxa"/>
            </w:tcMar>
          </w:tcPr>
          <w:p>
            <w:r>
              <w:rPr>
                <w:rFonts w:ascii="Calibri" w:hAnsi="Calibri"/>
                <w:color w:val="2D3748"/>
                <w:sz w:val="16"/>
              </w:rPr>
              <w:t>CRITICAL: Replace with Geolocation API &amp; India city/locality modal.</w:t>
            </w:r>
          </w:p>
        </w:tc>
      </w:tr>
      <w:tr>
        <w:tc>
          <w:tcPr>
            <w:tcW w:type="dxa" w:w="2340"/>
            <w:shd w:fill="FEFCBF"/>
            <w:tcMar>
              <w:top w:w="70" w:type="dxa"/>
              <w:bottom w:w="70" w:type="dxa"/>
              <w:left w:w="70" w:type="dxa"/>
              <w:right w:w="70" w:type="dxa"/>
            </w:tcMar>
          </w:tcPr>
          <w:p>
            <w:r>
              <w:rPr>
                <w:rFonts w:ascii="Calibri" w:hAnsi="Calibri"/>
                <w:color w:val="2D3748"/>
                <w:sz w:val="16"/>
              </w:rPr>
              <w:t>Geospatial Database</w:t>
            </w:r>
          </w:p>
        </w:tc>
        <w:tc>
          <w:tcPr>
            <w:tcW w:type="dxa" w:w="2340"/>
            <w:shd w:fill="FEFCBF"/>
            <w:tcMar>
              <w:top w:w="70" w:type="dxa"/>
              <w:bottom w:w="70" w:type="dxa"/>
              <w:left w:w="70" w:type="dxa"/>
              <w:right w:w="70" w:type="dxa"/>
            </w:tcMar>
          </w:tcPr>
          <w:p>
            <w:r>
              <w:rPr>
                <w:rFonts w:ascii="Calibri" w:hAnsi="Calibri"/>
                <w:color w:val="2D3748"/>
                <w:sz w:val="16"/>
              </w:rPr>
              <w:t>Non-Indexed Flat Coordinates</w:t>
            </w:r>
          </w:p>
        </w:tc>
        <w:tc>
          <w:tcPr>
            <w:tcW w:type="dxa" w:w="2340"/>
            <w:shd w:fill="FEFCBF"/>
            <w:tcMar>
              <w:top w:w="70" w:type="dxa"/>
              <w:bottom w:w="70" w:type="dxa"/>
              <w:left w:w="70" w:type="dxa"/>
              <w:right w:w="70" w:type="dxa"/>
            </w:tcMar>
          </w:tcPr>
          <w:p>
            <w:r>
              <w:rPr>
                <w:rFonts w:ascii="Calibri" w:hAnsi="Calibri"/>
                <w:color w:val="2D3748"/>
                <w:sz w:val="16"/>
              </w:rPr>
              <w:t>Restaurant model stores simple {lat, lng} without GeoJSON format or 2dsphere spatial index. Geospatial queries ($near, $geoNear) impossible.</w:t>
            </w:r>
          </w:p>
        </w:tc>
        <w:tc>
          <w:tcPr>
            <w:tcW w:type="dxa" w:w="2340"/>
            <w:shd w:fill="FEFCBF"/>
            <w:tcMar>
              <w:top w:w="70" w:type="dxa"/>
              <w:bottom w:w="70" w:type="dxa"/>
              <w:left w:w="70" w:type="dxa"/>
              <w:right w:w="70" w:type="dxa"/>
            </w:tcMar>
          </w:tcPr>
          <w:p>
            <w:r>
              <w:rPr>
                <w:rFonts w:ascii="Calibri" w:hAnsi="Calibri"/>
                <w:color w:val="2D3748"/>
                <w:sz w:val="16"/>
              </w:rPr>
              <w:t>HIGH: Migrate to GeoJSON Point format [lng, lat] and create 2dsphere index.</w:t>
            </w:r>
          </w:p>
        </w:tc>
      </w:tr>
      <w:tr>
        <w:tc>
          <w:tcPr>
            <w:tcW w:type="dxa" w:w="2340"/>
            <w:shd w:fill="FFF5F5"/>
            <w:tcMar>
              <w:top w:w="70" w:type="dxa"/>
              <w:bottom w:w="70" w:type="dxa"/>
              <w:left w:w="70" w:type="dxa"/>
              <w:right w:w="70" w:type="dxa"/>
            </w:tcMar>
          </w:tcPr>
          <w:p>
            <w:r>
              <w:rPr>
                <w:rFonts w:ascii="Calibri" w:hAnsi="Calibri"/>
                <w:color w:val="2D3748"/>
                <w:sz w:val="16"/>
              </w:rPr>
              <w:t>Seed Data &amp; Addresses</w:t>
            </w:r>
          </w:p>
        </w:tc>
        <w:tc>
          <w:tcPr>
            <w:tcW w:type="dxa" w:w="2340"/>
            <w:shd w:fill="FFF5F5"/>
            <w:tcMar>
              <w:top w:w="70" w:type="dxa"/>
              <w:bottom w:w="70" w:type="dxa"/>
              <w:left w:w="70" w:type="dxa"/>
              <w:right w:w="70" w:type="dxa"/>
            </w:tcMar>
          </w:tcPr>
          <w:p>
            <w:r>
              <w:rPr>
                <w:rFonts w:ascii="Calibri" w:hAnsi="Calibri"/>
                <w:color w:val="2D3748"/>
                <w:sz w:val="16"/>
              </w:rPr>
              <w:t>Fictional US Metros</w:t>
            </w:r>
          </w:p>
        </w:tc>
        <w:tc>
          <w:tcPr>
            <w:tcW w:type="dxa" w:w="2340"/>
            <w:shd w:fill="FFF5F5"/>
            <w:tcMar>
              <w:top w:w="70" w:type="dxa"/>
              <w:bottom w:w="70" w:type="dxa"/>
              <w:left w:w="70" w:type="dxa"/>
              <w:right w:w="70" w:type="dxa"/>
            </w:tcMar>
          </w:tcPr>
          <w:p>
            <w:r>
              <w:rPr>
                <w:rFonts w:ascii="Calibri" w:hAnsi="Calibri"/>
                <w:color w:val="2D3748"/>
                <w:sz w:val="16"/>
              </w:rPr>
              <w:t>Restaurants seeded in 'Metropolis, NY, 10001' with US phone numbers (+1555...) and Western addresses.</w:t>
            </w:r>
          </w:p>
        </w:tc>
        <w:tc>
          <w:tcPr>
            <w:tcW w:type="dxa" w:w="2340"/>
            <w:shd w:fill="FFF5F5"/>
            <w:tcMar>
              <w:top w:w="70" w:type="dxa"/>
              <w:bottom w:w="70" w:type="dxa"/>
              <w:left w:w="70" w:type="dxa"/>
              <w:right w:w="70" w:type="dxa"/>
            </w:tcMar>
          </w:tcPr>
          <w:p>
            <w:r>
              <w:rPr>
                <w:rFonts w:ascii="Calibri" w:hAnsi="Calibri"/>
                <w:color w:val="2D3748"/>
                <w:sz w:val="16"/>
              </w:rPr>
              <w:t>CRITICAL: Replace with authentic multi-city Indian dataset (Dehradun, Delhi, Bengaluru, Mumbai).</w:t>
            </w:r>
          </w:p>
        </w:tc>
      </w:tr>
      <w:tr>
        <w:tc>
          <w:tcPr>
            <w:tcW w:type="dxa" w:w="2340"/>
            <w:shd w:fill="FFF5F5"/>
            <w:tcMar>
              <w:top w:w="70" w:type="dxa"/>
              <w:bottom w:w="70" w:type="dxa"/>
              <w:left w:w="70" w:type="dxa"/>
              <w:right w:w="70" w:type="dxa"/>
            </w:tcMar>
          </w:tcPr>
          <w:p>
            <w:r>
              <w:rPr>
                <w:rFonts w:ascii="Calibri" w:hAnsi="Calibri"/>
                <w:color w:val="2D3748"/>
                <w:sz w:val="16"/>
              </w:rPr>
              <w:t>Currency &amp; Pricing</w:t>
            </w:r>
          </w:p>
        </w:tc>
        <w:tc>
          <w:tcPr>
            <w:tcW w:type="dxa" w:w="2340"/>
            <w:shd w:fill="FFF5F5"/>
            <w:tcMar>
              <w:top w:w="70" w:type="dxa"/>
              <w:bottom w:w="70" w:type="dxa"/>
              <w:left w:w="70" w:type="dxa"/>
              <w:right w:w="70" w:type="dxa"/>
            </w:tcMar>
          </w:tcPr>
          <w:p>
            <w:r>
              <w:rPr>
                <w:rFonts w:ascii="Calibri" w:hAnsi="Calibri"/>
                <w:color w:val="2D3748"/>
                <w:sz w:val="16"/>
              </w:rPr>
              <w:t>US Dollar ($)</w:t>
            </w:r>
          </w:p>
        </w:tc>
        <w:tc>
          <w:tcPr>
            <w:tcW w:type="dxa" w:w="2340"/>
            <w:shd w:fill="FFF5F5"/>
            <w:tcMar>
              <w:top w:w="70" w:type="dxa"/>
              <w:bottom w:w="70" w:type="dxa"/>
              <w:left w:w="70" w:type="dxa"/>
              <w:right w:w="70" w:type="dxa"/>
            </w:tcMar>
          </w:tcPr>
          <w:p>
            <w:r>
              <w:rPr>
                <w:rFonts w:ascii="Calibri" w:hAnsi="Calibri"/>
                <w:color w:val="2D3748"/>
                <w:sz w:val="16"/>
              </w:rPr>
              <w:t>All menu items, checkout calculations, GST, driver tips, and analytics hardcoded in USD ($) instead of Indian Rupees (₹).</w:t>
            </w:r>
          </w:p>
        </w:tc>
        <w:tc>
          <w:tcPr>
            <w:tcW w:type="dxa" w:w="2340"/>
            <w:shd w:fill="FFF5F5"/>
            <w:tcMar>
              <w:top w:w="70" w:type="dxa"/>
              <w:bottom w:w="70" w:type="dxa"/>
              <w:left w:w="70" w:type="dxa"/>
              <w:right w:w="70" w:type="dxa"/>
            </w:tcMar>
          </w:tcPr>
          <w:p>
            <w:r>
              <w:rPr>
                <w:rFonts w:ascii="Calibri" w:hAnsi="Calibri"/>
                <w:color w:val="2D3748"/>
                <w:sz w:val="16"/>
              </w:rPr>
              <w:t>CRITICAL: Convert entire platform to INR (₹) with Indian delivery and packaging tiers.</w:t>
            </w:r>
          </w:p>
        </w:tc>
      </w:tr>
      <w:tr>
        <w:tc>
          <w:tcPr>
            <w:tcW w:type="dxa" w:w="2340"/>
            <w:shd w:fill="FEFCBF"/>
            <w:tcMar>
              <w:top w:w="70" w:type="dxa"/>
              <w:bottom w:w="70" w:type="dxa"/>
              <w:left w:w="70" w:type="dxa"/>
              <w:right w:w="70" w:type="dxa"/>
            </w:tcMar>
          </w:tcPr>
          <w:p>
            <w:r>
              <w:rPr>
                <w:rFonts w:ascii="Calibri" w:hAnsi="Calibri"/>
                <w:color w:val="2D3748"/>
                <w:sz w:val="16"/>
              </w:rPr>
              <w:t>Search Engine</w:t>
            </w:r>
          </w:p>
        </w:tc>
        <w:tc>
          <w:tcPr>
            <w:tcW w:type="dxa" w:w="2340"/>
            <w:shd w:fill="FEFCBF"/>
            <w:tcMar>
              <w:top w:w="70" w:type="dxa"/>
              <w:bottom w:w="70" w:type="dxa"/>
              <w:left w:w="70" w:type="dxa"/>
              <w:right w:w="70" w:type="dxa"/>
            </w:tcMar>
          </w:tcPr>
          <w:p>
            <w:r>
              <w:rPr>
                <w:rFonts w:ascii="Calibri" w:hAnsi="Calibri"/>
                <w:color w:val="2D3748"/>
                <w:sz w:val="16"/>
              </w:rPr>
              <w:t>Basic Text Match</w:t>
            </w:r>
          </w:p>
        </w:tc>
        <w:tc>
          <w:tcPr>
            <w:tcW w:type="dxa" w:w="2340"/>
            <w:shd w:fill="FEFCBF"/>
            <w:tcMar>
              <w:top w:w="70" w:type="dxa"/>
              <w:bottom w:w="70" w:type="dxa"/>
              <w:left w:w="70" w:type="dxa"/>
              <w:right w:w="70" w:type="dxa"/>
            </w:tcMar>
          </w:tcPr>
          <w:p>
            <w:r>
              <w:rPr>
                <w:rFonts w:ascii="Calibri" w:hAnsi="Calibri"/>
                <w:color w:val="2D3748"/>
                <w:sz w:val="16"/>
              </w:rPr>
              <w:t>Homepage search lacks debouncing, only queries restaurant name/cuisine, and ignores user's active geographic location.</w:t>
            </w:r>
          </w:p>
        </w:tc>
        <w:tc>
          <w:tcPr>
            <w:tcW w:type="dxa" w:w="2340"/>
            <w:shd w:fill="FEFCBF"/>
            <w:tcMar>
              <w:top w:w="70" w:type="dxa"/>
              <w:bottom w:w="70" w:type="dxa"/>
              <w:left w:w="70" w:type="dxa"/>
              <w:right w:w="70" w:type="dxa"/>
            </w:tcMar>
          </w:tcPr>
          <w:p>
            <w:r>
              <w:rPr>
                <w:rFonts w:ascii="Calibri" w:hAnsi="Calibri"/>
                <w:color w:val="2D3748"/>
                <w:sz w:val="16"/>
              </w:rPr>
              <w:t>HIGH: Implement debounced unified search with categorized dropdown (Cities, Localities, Dishes, Venues).</w:t>
            </w:r>
          </w:p>
        </w:tc>
      </w:tr>
      <w:tr>
        <w:tc>
          <w:tcPr>
            <w:tcW w:type="dxa" w:w="2340"/>
            <w:shd w:fill="FEFCBF"/>
            <w:tcMar>
              <w:top w:w="70" w:type="dxa"/>
              <w:bottom w:w="70" w:type="dxa"/>
              <w:left w:w="70" w:type="dxa"/>
              <w:right w:w="70" w:type="dxa"/>
            </w:tcMar>
          </w:tcPr>
          <w:p>
            <w:r>
              <w:rPr>
                <w:rFonts w:ascii="Calibri" w:hAnsi="Calibri"/>
                <w:color w:val="2D3748"/>
                <w:sz w:val="16"/>
              </w:rPr>
              <w:t>Delivery Feasibility</w:t>
            </w:r>
          </w:p>
        </w:tc>
        <w:tc>
          <w:tcPr>
            <w:tcW w:type="dxa" w:w="2340"/>
            <w:shd w:fill="FEFCBF"/>
            <w:tcMar>
              <w:top w:w="70" w:type="dxa"/>
              <w:bottom w:w="70" w:type="dxa"/>
              <w:left w:w="70" w:type="dxa"/>
              <w:right w:w="70" w:type="dxa"/>
            </w:tcMar>
          </w:tcPr>
          <w:p>
            <w:r>
              <w:rPr>
                <w:rFonts w:ascii="Calibri" w:hAnsi="Calibri"/>
                <w:color w:val="2D3748"/>
                <w:sz w:val="16"/>
              </w:rPr>
              <w:t>Simulated / Static</w:t>
            </w:r>
          </w:p>
        </w:tc>
        <w:tc>
          <w:tcPr>
            <w:tcW w:type="dxa" w:w="2340"/>
            <w:shd w:fill="FEFCBF"/>
            <w:tcMar>
              <w:top w:w="70" w:type="dxa"/>
              <w:bottom w:w="70" w:type="dxa"/>
              <w:left w:w="70" w:type="dxa"/>
              <w:right w:w="70" w:type="dxa"/>
            </w:tcMar>
          </w:tcPr>
          <w:p>
            <w:r>
              <w:rPr>
                <w:rFonts w:ascii="Calibri" w:hAnsi="Calibri"/>
                <w:color w:val="2D3748"/>
                <w:sz w:val="16"/>
              </w:rPr>
              <w:t>Platform assumes universal delivery without checking if user coordinates fall within restaurant's actual delivery radius.</w:t>
            </w:r>
          </w:p>
        </w:tc>
        <w:tc>
          <w:tcPr>
            <w:tcW w:type="dxa" w:w="2340"/>
            <w:shd w:fill="FEFCBF"/>
            <w:tcMar>
              <w:top w:w="70" w:type="dxa"/>
              <w:bottom w:w="70" w:type="dxa"/>
              <w:left w:w="70" w:type="dxa"/>
              <w:right w:w="70" w:type="dxa"/>
            </w:tcMar>
          </w:tcPr>
          <w:p>
            <w:r>
              <w:rPr>
                <w:rFonts w:ascii="Calibri" w:hAnsi="Calibri"/>
                <w:color w:val="2D3748"/>
                <w:sz w:val="16"/>
              </w:rPr>
              <w:t>HIGH: Implement Haversine distance calculator and delivery zone boundary checks.</w:t>
            </w:r>
          </w:p>
        </w:tc>
      </w:tr>
      <w:tr>
        <w:tc>
          <w:tcPr>
            <w:tcW w:type="dxa" w:w="2340"/>
            <w:shd w:fill="F7FAFC"/>
            <w:tcMar>
              <w:top w:w="70" w:type="dxa"/>
              <w:bottom w:w="70" w:type="dxa"/>
              <w:left w:w="70" w:type="dxa"/>
              <w:right w:w="70" w:type="dxa"/>
            </w:tcMar>
          </w:tcPr>
          <w:p>
            <w:r>
              <w:rPr>
                <w:rFonts w:ascii="Calibri" w:hAnsi="Calibri"/>
                <w:color w:val="2D3748"/>
                <w:sz w:val="16"/>
              </w:rPr>
              <w:t>AI Assistant</w:t>
            </w:r>
          </w:p>
        </w:tc>
        <w:tc>
          <w:tcPr>
            <w:tcW w:type="dxa" w:w="2340"/>
            <w:shd w:fill="F7FAFC"/>
            <w:tcMar>
              <w:top w:w="70" w:type="dxa"/>
              <w:bottom w:w="70" w:type="dxa"/>
              <w:left w:w="70" w:type="dxa"/>
              <w:right w:w="70" w:type="dxa"/>
            </w:tcMar>
          </w:tcPr>
          <w:p>
            <w:r>
              <w:rPr>
                <w:rFonts w:ascii="Calibri" w:hAnsi="Calibri"/>
                <w:color w:val="2D3748"/>
                <w:sz w:val="16"/>
              </w:rPr>
              <w:t>US Metrics Assumptions</w:t>
            </w:r>
          </w:p>
        </w:tc>
        <w:tc>
          <w:tcPr>
            <w:tcW w:type="dxa" w:w="2340"/>
            <w:shd w:fill="F7FAFC"/>
            <w:tcMar>
              <w:top w:w="70" w:type="dxa"/>
              <w:bottom w:w="70" w:type="dxa"/>
              <w:left w:w="70" w:type="dxa"/>
              <w:right w:w="70" w:type="dxa"/>
            </w:tcMar>
          </w:tcPr>
          <w:p>
            <w:r>
              <w:rPr>
                <w:rFonts w:ascii="Calibri" w:hAnsi="Calibri"/>
                <w:color w:val="2D3748"/>
                <w:sz w:val="16"/>
              </w:rPr>
              <w:t>Owner AI copilot cites dollar revenues ($) and Western operational patterns rather than Indian dining trends.</w:t>
            </w:r>
          </w:p>
        </w:tc>
        <w:tc>
          <w:tcPr>
            <w:tcW w:type="dxa" w:w="2340"/>
            <w:shd w:fill="F7FAFC"/>
            <w:tcMar>
              <w:top w:w="70" w:type="dxa"/>
              <w:bottom w:w="70" w:type="dxa"/>
              <w:left w:w="70" w:type="dxa"/>
              <w:right w:w="70" w:type="dxa"/>
            </w:tcMar>
          </w:tcPr>
          <w:p>
            <w:r>
              <w:rPr>
                <w:rFonts w:ascii="Calibri" w:hAnsi="Calibri"/>
                <w:color w:val="2D3748"/>
                <w:sz w:val="16"/>
              </w:rPr>
              <w:t>MEDIUM: Localize prompts, INR figures, and add customer geographic breakdown analytics.</w:t>
            </w:r>
          </w:p>
        </w:tc>
      </w:tr>
      <w:tr>
        <w:tc>
          <w:tcPr>
            <w:tcW w:type="dxa" w:w="2340"/>
            <w:shd w:fill="FFFFFF"/>
            <w:tcMar>
              <w:top w:w="70" w:type="dxa"/>
              <w:bottom w:w="70" w:type="dxa"/>
              <w:left w:w="70" w:type="dxa"/>
              <w:right w:w="70" w:type="dxa"/>
            </w:tcMar>
          </w:tcPr>
          <w:p>
            <w:r>
              <w:rPr>
                <w:rFonts w:ascii="Calibri" w:hAnsi="Calibri"/>
                <w:color w:val="2D3748"/>
                <w:sz w:val="16"/>
              </w:rPr>
              <w:t>Admin Governance</w:t>
            </w:r>
          </w:p>
        </w:tc>
        <w:tc>
          <w:tcPr>
            <w:tcW w:type="dxa" w:w="2340"/>
            <w:shd w:fill="FFFFFF"/>
            <w:tcMar>
              <w:top w:w="70" w:type="dxa"/>
              <w:bottom w:w="70" w:type="dxa"/>
              <w:left w:w="70" w:type="dxa"/>
              <w:right w:w="70" w:type="dxa"/>
            </w:tcMar>
          </w:tcPr>
          <w:p>
            <w:r>
              <w:rPr>
                <w:rFonts w:ascii="Calibri" w:hAnsi="Calibri"/>
                <w:color w:val="2D3748"/>
                <w:sz w:val="16"/>
              </w:rPr>
              <w:t>Global List Only</w:t>
            </w:r>
          </w:p>
        </w:tc>
        <w:tc>
          <w:tcPr>
            <w:tcW w:type="dxa" w:w="2340"/>
            <w:shd w:fill="FFFFFF"/>
            <w:tcMar>
              <w:top w:w="70" w:type="dxa"/>
              <w:bottom w:w="70" w:type="dxa"/>
              <w:left w:w="70" w:type="dxa"/>
              <w:right w:w="70" w:type="dxa"/>
            </w:tcMar>
          </w:tcPr>
          <w:p>
            <w:r>
              <w:rPr>
                <w:rFonts w:ascii="Calibri" w:hAnsi="Calibri"/>
                <w:color w:val="2D3748"/>
                <w:sz w:val="16"/>
              </w:rPr>
              <w:t>Admin dashboard lacks city/locality management and city-level operational performance metrics.</w:t>
            </w:r>
          </w:p>
        </w:tc>
        <w:tc>
          <w:tcPr>
            <w:tcW w:type="dxa" w:w="2340"/>
            <w:shd w:fill="FFFFFF"/>
            <w:tcMar>
              <w:top w:w="70" w:type="dxa"/>
              <w:bottom w:w="70" w:type="dxa"/>
              <w:left w:w="70" w:type="dxa"/>
              <w:right w:w="70" w:type="dxa"/>
            </w:tcMar>
          </w:tcPr>
          <w:p>
            <w:r>
              <w:rPr>
                <w:rFonts w:ascii="Calibri" w:hAnsi="Calibri"/>
                <w:color w:val="2D3748"/>
                <w:sz w:val="16"/>
              </w:rPr>
              <w:t>MEDIUM: Add Indian city registry, locality controls, and restaurant counts per city.</w:t>
            </w:r>
          </w:p>
        </w:tc>
      </w:tr>
    </w:tbl>
    <w:p>
      <w:pPr>
        <w:spacing w:after="200"/>
      </w:pPr>
    </w:p>
    <w:p>
      <w:pPr>
        <w:pStyle w:val="Heading1"/>
        <w:keepNext/>
        <w:spacing w:before="320" w:after="120"/>
      </w:pPr>
      <w:r>
        <w:rPr>
          <w:rFonts w:ascii="Calibri" w:hAnsi="Calibri"/>
          <w:b/>
          <w:color w:val="1A365D"/>
          <w:sz w:val="34"/>
        </w:rPr>
        <w:t>2. Detailed Analysis of Critical Existing Flaws</w:t>
      </w:r>
    </w:p>
    <w:p>
      <w:pPr>
        <w:pStyle w:val="Heading2"/>
        <w:keepNext/>
        <w:spacing w:before="240" w:after="80"/>
      </w:pPr>
      <w:r>
        <w:rPr>
          <w:rFonts w:ascii="Calibri" w:hAnsi="Calibri"/>
          <w:b/>
          <w:color w:val="2B6CB0"/>
          <w:sz w:val="26"/>
        </w:rPr>
        <w:t>A. Hardcoded Static Location ('Metropolis Center')</w:t>
      </w:r>
    </w:p>
    <w:p>
      <w:r>
        <w:rPr>
          <w:rFonts w:ascii="Calibri" w:hAnsi="Calibri"/>
          <w:sz w:val="19"/>
        </w:rPr>
        <w:t>In client/src/components/layout/Navbar.tsx, the location display is hardcoded as:</w:t>
        <w:br/>
        <w:t xml:space="preserve">  &lt;span className="font-medium text-stone-800"&gt;Metropolis Center&lt;/span&gt;</w:t>
        <w:br/>
        <w:t xml:space="preserve">  &lt;span className="text-stone-400 ml-1.5 text-[11px]"&gt;(3.5 km delivery radius)&lt;/span&gt;</w:t>
        <w:br/>
        <w:t>This provides zero user interactivity. A user in Dehradun, Delhi, or Bengaluru cannot detect or select their locality, nor does changing the location filter or sort nearby restaurants.</w:t>
      </w:r>
    </w:p>
    <w:p>
      <w:pPr>
        <w:pStyle w:val="Heading2"/>
        <w:keepNext/>
        <w:spacing w:before="240" w:after="80"/>
      </w:pPr>
      <w:r>
        <w:rPr>
          <w:rFonts w:ascii="Calibri" w:hAnsi="Calibri"/>
          <w:b/>
          <w:color w:val="2B6CB0"/>
          <w:sz w:val="26"/>
        </w:rPr>
        <w:t>B. Fictional US Restaurant &amp; Address Data</w:t>
      </w:r>
    </w:p>
    <w:p>
      <w:r>
        <w:rPr>
          <w:rFonts w:ascii="Calibri" w:hAnsi="Calibri"/>
          <w:sz w:val="19"/>
        </w:rPr>
        <w:t>The database seed script (server/src/seed/seed.ts) populated mock data using fictional American locations:</w:t>
        <w:br/>
        <w:t xml:space="preserve">  - '14 Rue Montorgueil Arts District, Metropolis, NY, 10003'</w:t>
        <w:br/>
        <w:t xml:space="preserve">  - '88 Little Tokyo Lane, Metropolis, NY, 10013'</w:t>
        <w:br/>
        <w:t xml:space="preserve">  - '742 Evergreen Terrace, Apt 4B, Metropolis, NY, 10001'</w:t>
        <w:br/>
        <w:t xml:space="preserve">  - Phone numbers formatted with US area codes (+15551003001).</w:t>
        <w:br/>
        <w:t>This violates authentic Indian marketplace standards and contradicts the platform's stated FSSAI and Indian GSTIN compliance.</w:t>
      </w:r>
    </w:p>
    <w:p>
      <w:pPr>
        <w:pStyle w:val="Heading2"/>
        <w:keepNext/>
        <w:spacing w:before="240" w:after="80"/>
      </w:pPr>
      <w:r>
        <w:rPr>
          <w:rFonts w:ascii="Calibri" w:hAnsi="Calibri"/>
          <w:b/>
          <w:color w:val="2B6CB0"/>
          <w:sz w:val="26"/>
        </w:rPr>
        <w:t>C. Absence of MongoDB Geospatial (2dsphere) Indexing</w:t>
      </w:r>
    </w:p>
    <w:p>
      <w:r>
        <w:rPr>
          <w:rFonts w:ascii="Calibri" w:hAnsi="Calibri"/>
          <w:sz w:val="19"/>
        </w:rPr>
        <w:t>The Restaurant schema (server/src/models/Restaurant.ts) stored coordinates as a non-standard sub-object { lat: Number, lng: Number } without GeoJSON specifications. Consequently, MongoDB could not execute spatial index lookups using $near or $geoNear. Distance calculations were completely simulated rather than calculated from genuine geospatial coordinates.</w:t>
      </w:r>
    </w:p>
    <w:p>
      <w:pPr>
        <w:pStyle w:val="Heading2"/>
        <w:keepNext/>
        <w:spacing w:before="240" w:after="80"/>
      </w:pPr>
      <w:r>
        <w:rPr>
          <w:rFonts w:ascii="Calibri" w:hAnsi="Calibri"/>
          <w:b/>
          <w:color w:val="2B6CB0"/>
          <w:sz w:val="26"/>
        </w:rPr>
        <w:t>D. Currency Mismatch ($ vs ₹)</w:t>
      </w:r>
    </w:p>
    <w:p>
      <w:r>
        <w:rPr>
          <w:rFonts w:ascii="Calibri" w:hAnsi="Calibri"/>
          <w:sz w:val="19"/>
        </w:rPr>
        <w:t>Throughout all client views (Cart drawer, Checkout page, Orders tracker, Restaurant detail, Owner dashboard), prices were rendered in US Dollars ($) with base rates ($30 duck, $18 escargots) that do not reflect Indian purchasing power or restaurant economics. The pricing engine must operate in Indian Rupees (₹) with localized delivery charges (₹35 base + ₹12/km) and packaging fees (₹20).</w:t>
      </w:r>
    </w:p>
    <w:p>
      <w:pPr>
        <w:pStyle w:val="Heading2"/>
        <w:keepNext/>
        <w:spacing w:before="240" w:after="80"/>
      </w:pPr>
      <w:r>
        <w:rPr>
          <w:rFonts w:ascii="Calibri" w:hAnsi="Calibri"/>
          <w:b/>
          <w:color w:val="2B6CB0"/>
          <w:sz w:val="26"/>
        </w:rPr>
        <w:t>E. Lack of Search Debouncing &amp; Categorized Autocomplete</w:t>
      </w:r>
    </w:p>
    <w:p>
      <w:r>
        <w:rPr>
          <w:rFonts w:ascii="Calibri" w:hAnsi="Calibri"/>
          <w:sz w:val="19"/>
        </w:rPr>
        <w:t>The existing search input in client/src/pages/customer/HomePage.tsx executed searches on raw input changes without debouncing, triggering redundant component re-renders. Furthermore, search was limited to simple text substring matching on restaurant names, failing to provide categorized suggestions for Dishes, Cuisines, Cities, and Localities.</w:t>
      </w:r>
    </w:p>
    <w:p>
      <w:pPr>
        <w:pStyle w:val="Heading1"/>
        <w:keepNext/>
        <w:spacing w:before="320" w:after="120"/>
      </w:pPr>
      <w:r>
        <w:rPr>
          <w:rFonts w:ascii="Calibri" w:hAnsi="Calibri"/>
          <w:b/>
          <w:color w:val="1A365D"/>
          <w:sz w:val="34"/>
        </w:rPr>
        <w:t>3. Complete Upgrade Strategy &amp; Action Plan</w:t>
      </w:r>
    </w:p>
    <w:p>
      <w:r>
        <w:t>To transform GourmetFleet into an authentic Indian culinary marketplace, the following phased upgrades are being implemented:</w:t>
      </w:r>
    </w:p>
    <w:p>
      <w:pPr>
        <w:spacing w:after="80"/>
      </w:pPr>
      <w:r>
        <w:rPr>
          <w:rFonts w:ascii="Calibri" w:hAnsi="Calibri"/>
          <w:b/>
          <w:color w:val="2B6CB0"/>
          <w:sz w:val="20"/>
        </w:rPr>
        <w:t xml:space="preserve">1. Centralized Indian Location Engine: </w:t>
      </w:r>
      <w:r>
        <w:rPr>
          <w:rFonts w:ascii="Calibri" w:hAnsi="Calibri"/>
          <w:color w:val="2D3748"/>
          <w:sz w:val="20"/>
        </w:rPr>
        <w:t>Author shared/data/indianLocations.ts containing 35+ major cities across North, West, South, and East India with genuine coordinates, locality boundaries (Connaught Place, Rajpur Road, Koramangala, Bandra West), and pincodes.</w:t>
      </w:r>
    </w:p>
    <w:p>
      <w:pPr>
        <w:spacing w:after="80"/>
      </w:pPr>
      <w:r>
        <w:rPr>
          <w:rFonts w:ascii="Calibri" w:hAnsi="Calibri"/>
          <w:b/>
          <w:color w:val="2B6CB0"/>
          <w:sz w:val="20"/>
        </w:rPr>
        <w:t xml:space="preserve">2. Real Browser Geolocation &amp; Permission Handling: </w:t>
      </w:r>
      <w:r>
        <w:rPr>
          <w:rFonts w:ascii="Calibri" w:hAnsi="Calibri"/>
          <w:color w:val="2D3748"/>
          <w:sz w:val="20"/>
        </w:rPr>
        <w:t>Implement navigator.geolocation API integration in useLocationStore with full state machine handling: Permission Granted, Permission Denied, Timeout, and Manual Override.</w:t>
      </w:r>
    </w:p>
    <w:p>
      <w:pPr>
        <w:spacing w:after="80"/>
      </w:pPr>
      <w:r>
        <w:rPr>
          <w:rFonts w:ascii="Calibri" w:hAnsi="Calibri"/>
          <w:b/>
          <w:color w:val="2B6CB0"/>
          <w:sz w:val="20"/>
        </w:rPr>
        <w:t xml:space="preserve">3. Backend Reverse-Geocoding &amp; Nearby API: </w:t>
      </w:r>
      <w:r>
        <w:rPr>
          <w:rFonts w:ascii="Calibri" w:hAnsi="Calibri"/>
          <w:color w:val="2D3748"/>
          <w:sz w:val="20"/>
        </w:rPr>
        <w:t>Create GET /api/locations/cities, GET /api/locations/search, POST /api/locations/reverse-geocode, and GET /api/restaurants/nearby powered by Haversine distance calculations and MongoDB GeoJSON 2dsphere indexing.</w:t>
      </w:r>
    </w:p>
    <w:p>
      <w:pPr>
        <w:spacing w:after="80"/>
      </w:pPr>
      <w:r>
        <w:rPr>
          <w:rFonts w:ascii="Calibri" w:hAnsi="Calibri"/>
          <w:b/>
          <w:color w:val="2B6CB0"/>
          <w:sz w:val="20"/>
        </w:rPr>
        <w:t xml:space="preserve">4. Authentic Indian Multi-City Seed Data: </w:t>
      </w:r>
      <w:r>
        <w:rPr>
          <w:rFonts w:ascii="Calibri" w:hAnsi="Calibri"/>
          <w:color w:val="2D3748"/>
          <w:sz w:val="20"/>
        </w:rPr>
        <w:t>Replace all US demo data with authentic Indian restaurants across Dehradun, Delhi, Bengaluru, and Mumbai featuring authentic Indian regional cuisines (Awadhi Biryani, Mughlai, North Indian, Indo-Chinese, South Indian) with INR (₹) pricing.</w:t>
      </w:r>
    </w:p>
    <w:p>
      <w:pPr>
        <w:spacing w:after="80"/>
      </w:pPr>
      <w:r>
        <w:rPr>
          <w:rFonts w:ascii="Calibri" w:hAnsi="Calibri"/>
          <w:b/>
          <w:color w:val="2B6CB0"/>
          <w:sz w:val="20"/>
        </w:rPr>
        <w:t xml:space="preserve">5. Location-Aware Search &amp; Map Discovery: </w:t>
      </w:r>
      <w:r>
        <w:rPr>
          <w:rFonts w:ascii="Calibri" w:hAnsi="Calibri"/>
          <w:color w:val="2D3748"/>
          <w:sz w:val="20"/>
        </w:rPr>
        <w:t>Upgrade search with 300ms debounce and categorized suggestions (Localities, Cities, Dishes, Venues), plus an interactive 'Explore on Map' view showing real distances and delivery zone eligibility.</w:t>
      </w:r>
    </w:p>
    <w:p>
      <w:pPr>
        <w:spacing w:after="80"/>
      </w:pPr>
      <w:r>
        <w:rPr>
          <w:rFonts w:ascii="Calibri" w:hAnsi="Calibri"/>
          <w:b/>
          <w:color w:val="2B6CB0"/>
          <w:sz w:val="20"/>
        </w:rPr>
        <w:t xml:space="preserve">6. Owner Customer Geography &amp; Localized AI: </w:t>
      </w:r>
      <w:r>
        <w:rPr>
          <w:rFonts w:ascii="Calibri" w:hAnsi="Calibri"/>
          <w:color w:val="2D3748"/>
          <w:sz w:val="20"/>
        </w:rPr>
        <w:t>Equip restaurant owners with geographic distribution analytics showing order volume by neighborhood, and localize the Owner AI Copilot to analyze Indian business patterns and INR revenue metrics.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