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A365D"/>
          <w:sz w:val="44"/>
        </w:rPr>
        <w:t>GOURMETFLEET — INDIA LOCALIZATION &amp; IMPLEMENTATION PLAN</w:t>
      </w:r>
    </w:p>
    <w:p>
      <w:pPr>
        <w:spacing w:after="360"/>
      </w:pPr>
      <w:r>
        <w:rPr>
          <w:rFonts w:ascii="Calibri" w:hAnsi="Calibri"/>
          <w:i/>
          <w:color w:val="718096"/>
          <w:sz w:val="24"/>
        </w:rPr>
        <w:t>Technical Roadmap, Geolocation Architecture, MongoDB Geospatial Schemas, Unified Search, and Indian Marketplace Upgrade</w:t>
      </w:r>
    </w:p>
    <w:p>
      <w:pPr>
        <w:spacing w:after="400"/>
      </w:pPr>
      <w:r>
        <w:rPr>
          <w:rFonts w:ascii="Calibri" w:hAnsi="Calibri"/>
          <w:color w:val="A0AEC0"/>
          <w:sz w:val="19"/>
        </w:rPr>
        <w:t>Author: Principal MERN Architect &amp; Geolocation Engineer  |  Target: GourmetFleet India 2.0  |  Version: 2.0.0</w:t>
      </w:r>
    </w:p>
    <w:p>
      <w:pPr>
        <w:pStyle w:val="Heading1"/>
        <w:keepNext/>
        <w:spacing w:before="320" w:after="120"/>
      </w:pPr>
      <w:r>
        <w:rPr>
          <w:rFonts w:ascii="Calibri" w:hAnsi="Calibri"/>
          <w:b/>
          <w:color w:val="1A365D"/>
          <w:sz w:val="34"/>
        </w:rPr>
        <w:t>1. Upgrade Objectives &amp; Architectural Scope</w:t>
      </w:r>
    </w:p>
    <w:p>
      <w:r>
        <w:t>This implementation plan defines the complete upgrade path required to transform GourmetFleet from a general prototype into a location-aware, multi-city Indian culinary marketplace. The upgraded system seamlessly integrates browser geolocation, manual city/locality selection, MongoDB 2dsphere geospatial indexing, authentic Indian culinary datasets, INR (₹) financial models, interactive map exploration, and localized restaurant owner intelligence.</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80" w:type="dxa"/>
              <w:right w:w="80" w:type="dxa"/>
            </w:tcMar>
          </w:tcPr>
          <w:p>
            <w:r>
              <w:rPr>
                <w:b/>
                <w:color w:val="FFFFFF"/>
                <w:sz w:val="17"/>
              </w:rPr>
              <w:t>Milestone</w:t>
            </w:r>
          </w:p>
        </w:tc>
        <w:tc>
          <w:tcPr>
            <w:tcW w:type="dxa" w:w="2340"/>
            <w:shd w:fill="1A365D"/>
            <w:tcMar>
              <w:top w:w="100" w:type="dxa"/>
              <w:bottom w:w="100" w:type="dxa"/>
              <w:left w:w="80" w:type="dxa"/>
              <w:right w:w="80" w:type="dxa"/>
            </w:tcMar>
          </w:tcPr>
          <w:p>
            <w:r>
              <w:rPr>
                <w:b/>
                <w:color w:val="FFFFFF"/>
                <w:sz w:val="17"/>
              </w:rPr>
              <w:t>Core Deliverables</w:t>
            </w:r>
          </w:p>
        </w:tc>
        <w:tc>
          <w:tcPr>
            <w:tcW w:type="dxa" w:w="2340"/>
            <w:shd w:fill="1A365D"/>
            <w:tcMar>
              <w:top w:w="100" w:type="dxa"/>
              <w:bottom w:w="100" w:type="dxa"/>
              <w:left w:w="80" w:type="dxa"/>
              <w:right w:w="80" w:type="dxa"/>
            </w:tcMar>
          </w:tcPr>
          <w:p>
            <w:r>
              <w:rPr>
                <w:b/>
                <w:color w:val="FFFFFF"/>
                <w:sz w:val="17"/>
              </w:rPr>
              <w:t>Architecture / Technology Stack</w:t>
            </w:r>
          </w:p>
        </w:tc>
        <w:tc>
          <w:tcPr>
            <w:tcW w:type="dxa" w:w="2340"/>
            <w:shd w:fill="1A365D"/>
            <w:tcMar>
              <w:top w:w="100" w:type="dxa"/>
              <w:bottom w:w="100" w:type="dxa"/>
              <w:left w:w="80" w:type="dxa"/>
              <w:right w:w="80" w:type="dxa"/>
            </w:tcMar>
          </w:tcPr>
          <w:p>
            <w:r>
              <w:rPr>
                <w:b/>
                <w:color w:val="FFFFFF"/>
                <w:sz w:val="17"/>
              </w:rPr>
              <w:t>Target Verification Gate</w:t>
            </w:r>
          </w:p>
        </w:tc>
      </w:tr>
      <w:tr>
        <w:tc>
          <w:tcPr>
            <w:tcW w:type="dxa" w:w="2340"/>
            <w:shd w:fill="F7FAFC"/>
            <w:tcMar>
              <w:top w:w="70" w:type="dxa"/>
              <w:bottom w:w="70" w:type="dxa"/>
              <w:left w:w="70" w:type="dxa"/>
              <w:right w:w="70" w:type="dxa"/>
            </w:tcMar>
          </w:tcPr>
          <w:p>
            <w:r>
              <w:rPr>
                <w:rFonts w:ascii="Calibri" w:hAnsi="Calibri"/>
                <w:color w:val="2D3748"/>
                <w:sz w:val="16"/>
              </w:rPr>
              <w:t>M1: India Location Dataset</w:t>
            </w:r>
          </w:p>
        </w:tc>
        <w:tc>
          <w:tcPr>
            <w:tcW w:type="dxa" w:w="2340"/>
            <w:shd w:fill="F7FAFC"/>
            <w:tcMar>
              <w:top w:w="70" w:type="dxa"/>
              <w:bottom w:w="70" w:type="dxa"/>
              <w:left w:w="70" w:type="dxa"/>
              <w:right w:w="70" w:type="dxa"/>
            </w:tcMar>
          </w:tcPr>
          <w:p>
            <w:r>
              <w:rPr>
                <w:rFonts w:ascii="Calibri" w:hAnsi="Calibri"/>
                <w:color w:val="2D3748"/>
                <w:sz w:val="16"/>
              </w:rPr>
              <w:t>35+ Indian cities, authentic localities, pincodes &amp; coordinates</w:t>
            </w:r>
          </w:p>
        </w:tc>
        <w:tc>
          <w:tcPr>
            <w:tcW w:type="dxa" w:w="2340"/>
            <w:shd w:fill="F7FAFC"/>
            <w:tcMar>
              <w:top w:w="70" w:type="dxa"/>
              <w:bottom w:w="70" w:type="dxa"/>
              <w:left w:w="70" w:type="dxa"/>
              <w:right w:w="70" w:type="dxa"/>
            </w:tcMar>
          </w:tcPr>
          <w:p>
            <w:r>
              <w:rPr>
                <w:rFonts w:ascii="Calibri" w:hAnsi="Calibri"/>
                <w:color w:val="2D3748"/>
                <w:sz w:val="16"/>
              </w:rPr>
              <w:t>shared/data/indianLocations.ts</w:t>
            </w:r>
          </w:p>
        </w:tc>
        <w:tc>
          <w:tcPr>
            <w:tcW w:type="dxa" w:w="2340"/>
            <w:shd w:fill="F7FAFC"/>
            <w:tcMar>
              <w:top w:w="70" w:type="dxa"/>
              <w:bottom w:w="70" w:type="dxa"/>
              <w:left w:w="70" w:type="dxa"/>
              <w:right w:w="70" w:type="dxa"/>
            </w:tcMar>
          </w:tcPr>
          <w:p>
            <w:r>
              <w:rPr>
                <w:rFonts w:ascii="Calibri" w:hAnsi="Calibri"/>
                <w:color w:val="2D3748"/>
                <w:sz w:val="16"/>
              </w:rPr>
              <w:t>Accurate GPS coordinates matching real Indian city centers.</w:t>
            </w:r>
          </w:p>
        </w:tc>
      </w:tr>
      <w:tr>
        <w:tc>
          <w:tcPr>
            <w:tcW w:type="dxa" w:w="2340"/>
            <w:shd w:fill="FFFFFF"/>
            <w:tcMar>
              <w:top w:w="70" w:type="dxa"/>
              <w:bottom w:w="70" w:type="dxa"/>
              <w:left w:w="70" w:type="dxa"/>
              <w:right w:w="70" w:type="dxa"/>
            </w:tcMar>
          </w:tcPr>
          <w:p>
            <w:r>
              <w:rPr>
                <w:rFonts w:ascii="Calibri" w:hAnsi="Calibri"/>
                <w:color w:val="2D3748"/>
                <w:sz w:val="16"/>
              </w:rPr>
              <w:t>M2: Geospatial Database</w:t>
            </w:r>
          </w:p>
        </w:tc>
        <w:tc>
          <w:tcPr>
            <w:tcW w:type="dxa" w:w="2340"/>
            <w:shd w:fill="FFFFFF"/>
            <w:tcMar>
              <w:top w:w="70" w:type="dxa"/>
              <w:bottom w:w="70" w:type="dxa"/>
              <w:left w:w="70" w:type="dxa"/>
              <w:right w:w="70" w:type="dxa"/>
            </w:tcMar>
          </w:tcPr>
          <w:p>
            <w:r>
              <w:rPr>
                <w:rFonts w:ascii="Calibri" w:hAnsi="Calibri"/>
                <w:color w:val="2D3748"/>
                <w:sz w:val="16"/>
              </w:rPr>
              <w:t>GeoJSON Point schema migration &amp; 2dsphere indexing</w:t>
            </w:r>
          </w:p>
        </w:tc>
        <w:tc>
          <w:tcPr>
            <w:tcW w:type="dxa" w:w="2340"/>
            <w:shd w:fill="FFFFFF"/>
            <w:tcMar>
              <w:top w:w="70" w:type="dxa"/>
              <w:bottom w:w="70" w:type="dxa"/>
              <w:left w:w="70" w:type="dxa"/>
              <w:right w:w="70" w:type="dxa"/>
            </w:tcMar>
          </w:tcPr>
          <w:p>
            <w:r>
              <w:rPr>
                <w:rFonts w:ascii="Calibri" w:hAnsi="Calibri"/>
                <w:color w:val="2D3748"/>
                <w:sz w:val="16"/>
              </w:rPr>
              <w:t>MongoDB, Mongoose 8.9</w:t>
            </w:r>
          </w:p>
        </w:tc>
        <w:tc>
          <w:tcPr>
            <w:tcW w:type="dxa" w:w="2340"/>
            <w:shd w:fill="FFFFFF"/>
            <w:tcMar>
              <w:top w:w="70" w:type="dxa"/>
              <w:bottom w:w="70" w:type="dxa"/>
              <w:left w:w="70" w:type="dxa"/>
              <w:right w:w="70" w:type="dxa"/>
            </w:tcMar>
          </w:tcPr>
          <w:p>
            <w:r>
              <w:rPr>
                <w:rFonts w:ascii="Calibri" w:hAnsi="Calibri"/>
                <w:color w:val="2D3748"/>
                <w:sz w:val="16"/>
              </w:rPr>
              <w:t>Indexed spatial lookups supporting $near and $geoNear queries.</w:t>
            </w:r>
          </w:p>
        </w:tc>
      </w:tr>
      <w:tr>
        <w:tc>
          <w:tcPr>
            <w:tcW w:type="dxa" w:w="2340"/>
            <w:shd w:fill="F7FAFC"/>
            <w:tcMar>
              <w:top w:w="70" w:type="dxa"/>
              <w:bottom w:w="70" w:type="dxa"/>
              <w:left w:w="70" w:type="dxa"/>
              <w:right w:w="70" w:type="dxa"/>
            </w:tcMar>
          </w:tcPr>
          <w:p>
            <w:r>
              <w:rPr>
                <w:rFonts w:ascii="Calibri" w:hAnsi="Calibri"/>
                <w:color w:val="2D3748"/>
                <w:sz w:val="16"/>
              </w:rPr>
              <w:t>M3: Geolocation State &amp; UX</w:t>
            </w:r>
          </w:p>
        </w:tc>
        <w:tc>
          <w:tcPr>
            <w:tcW w:type="dxa" w:w="2340"/>
            <w:shd w:fill="F7FAFC"/>
            <w:tcMar>
              <w:top w:w="70" w:type="dxa"/>
              <w:bottom w:w="70" w:type="dxa"/>
              <w:left w:w="70" w:type="dxa"/>
              <w:right w:w="70" w:type="dxa"/>
            </w:tcMar>
          </w:tcPr>
          <w:p>
            <w:r>
              <w:rPr>
                <w:rFonts w:ascii="Calibri" w:hAnsi="Calibri"/>
                <w:color w:val="2D3748"/>
                <w:sz w:val="16"/>
              </w:rPr>
              <w:t>Browser Geolocation API, permission handling, location modal</w:t>
            </w:r>
          </w:p>
        </w:tc>
        <w:tc>
          <w:tcPr>
            <w:tcW w:type="dxa" w:w="2340"/>
            <w:shd w:fill="F7FAFC"/>
            <w:tcMar>
              <w:top w:w="70" w:type="dxa"/>
              <w:bottom w:w="70" w:type="dxa"/>
              <w:left w:w="70" w:type="dxa"/>
              <w:right w:w="70" w:type="dxa"/>
            </w:tcMar>
          </w:tcPr>
          <w:p>
            <w:r>
              <w:rPr>
                <w:rFonts w:ascii="Calibri" w:hAnsi="Calibri"/>
                <w:color w:val="2D3748"/>
                <w:sz w:val="16"/>
              </w:rPr>
              <w:t>Zustand, React 18, HTML5 Geolocation</w:t>
            </w:r>
          </w:p>
        </w:tc>
        <w:tc>
          <w:tcPr>
            <w:tcW w:type="dxa" w:w="2340"/>
            <w:shd w:fill="F7FAFC"/>
            <w:tcMar>
              <w:top w:w="70" w:type="dxa"/>
              <w:bottom w:w="70" w:type="dxa"/>
              <w:left w:w="70" w:type="dxa"/>
              <w:right w:w="70" w:type="dxa"/>
            </w:tcMar>
          </w:tcPr>
          <w:p>
            <w:r>
              <w:rPr>
                <w:rFonts w:ascii="Calibri" w:hAnsi="Calibri"/>
                <w:color w:val="2D3748"/>
                <w:sz w:val="16"/>
              </w:rPr>
              <w:t>Permission state machine: Granted, Denied, Timeout, Manual Override.</w:t>
            </w:r>
          </w:p>
        </w:tc>
      </w:tr>
      <w:tr>
        <w:tc>
          <w:tcPr>
            <w:tcW w:type="dxa" w:w="2340"/>
            <w:shd w:fill="FFFFFF"/>
            <w:tcMar>
              <w:top w:w="70" w:type="dxa"/>
              <w:bottom w:w="70" w:type="dxa"/>
              <w:left w:w="70" w:type="dxa"/>
              <w:right w:w="70" w:type="dxa"/>
            </w:tcMar>
          </w:tcPr>
          <w:p>
            <w:r>
              <w:rPr>
                <w:rFonts w:ascii="Calibri" w:hAnsi="Calibri"/>
                <w:color w:val="2D3748"/>
                <w:sz w:val="16"/>
              </w:rPr>
              <w:t>M4: Location-Aware APIs</w:t>
            </w:r>
          </w:p>
        </w:tc>
        <w:tc>
          <w:tcPr>
            <w:tcW w:type="dxa" w:w="2340"/>
            <w:shd w:fill="FFFFFF"/>
            <w:tcMar>
              <w:top w:w="70" w:type="dxa"/>
              <w:bottom w:w="70" w:type="dxa"/>
              <w:left w:w="70" w:type="dxa"/>
              <w:right w:w="70" w:type="dxa"/>
            </w:tcMar>
          </w:tcPr>
          <w:p>
            <w:r>
              <w:rPr>
                <w:rFonts w:ascii="Calibri" w:hAnsi="Calibri"/>
                <w:color w:val="2D3748"/>
                <w:sz w:val="16"/>
              </w:rPr>
              <w:t>Reverse-geocoding, /api/locations/search, /api/restaurants/nearby</w:t>
            </w:r>
          </w:p>
        </w:tc>
        <w:tc>
          <w:tcPr>
            <w:tcW w:type="dxa" w:w="2340"/>
            <w:shd w:fill="FFFFFF"/>
            <w:tcMar>
              <w:top w:w="70" w:type="dxa"/>
              <w:bottom w:w="70" w:type="dxa"/>
              <w:left w:w="70" w:type="dxa"/>
              <w:right w:w="70" w:type="dxa"/>
            </w:tcMar>
          </w:tcPr>
          <w:p>
            <w:r>
              <w:rPr>
                <w:rFonts w:ascii="Calibri" w:hAnsi="Calibri"/>
                <w:color w:val="2D3748"/>
                <w:sz w:val="16"/>
              </w:rPr>
              <w:t>Express, Node.js 22, Haversine Engine</w:t>
            </w:r>
          </w:p>
        </w:tc>
        <w:tc>
          <w:tcPr>
            <w:tcW w:type="dxa" w:w="2340"/>
            <w:shd w:fill="FFFFFF"/>
            <w:tcMar>
              <w:top w:w="70" w:type="dxa"/>
              <w:bottom w:w="70" w:type="dxa"/>
              <w:left w:w="70" w:type="dxa"/>
              <w:right w:w="70" w:type="dxa"/>
            </w:tcMar>
          </w:tcPr>
          <w:p>
            <w:r>
              <w:rPr>
                <w:rFonts w:ascii="Calibri" w:hAnsi="Calibri"/>
                <w:color w:val="2D3748"/>
                <w:sz w:val="16"/>
              </w:rPr>
              <w:t>Sub-20ms spatial queries returning distance and delivery eligibility.</w:t>
            </w:r>
          </w:p>
        </w:tc>
      </w:tr>
      <w:tr>
        <w:tc>
          <w:tcPr>
            <w:tcW w:type="dxa" w:w="2340"/>
            <w:shd w:fill="F7FAFC"/>
            <w:tcMar>
              <w:top w:w="70" w:type="dxa"/>
              <w:bottom w:w="70" w:type="dxa"/>
              <w:left w:w="70" w:type="dxa"/>
              <w:right w:w="70" w:type="dxa"/>
            </w:tcMar>
          </w:tcPr>
          <w:p>
            <w:r>
              <w:rPr>
                <w:rFonts w:ascii="Calibri" w:hAnsi="Calibri"/>
                <w:color w:val="2D3748"/>
                <w:sz w:val="16"/>
              </w:rPr>
              <w:t>M5: Multi-City Indian Seed</w:t>
            </w:r>
          </w:p>
        </w:tc>
        <w:tc>
          <w:tcPr>
            <w:tcW w:type="dxa" w:w="2340"/>
            <w:shd w:fill="F7FAFC"/>
            <w:tcMar>
              <w:top w:w="70" w:type="dxa"/>
              <w:bottom w:w="70" w:type="dxa"/>
              <w:left w:w="70" w:type="dxa"/>
              <w:right w:w="70" w:type="dxa"/>
            </w:tcMar>
          </w:tcPr>
          <w:p>
            <w:r>
              <w:rPr>
                <w:rFonts w:ascii="Calibri" w:hAnsi="Calibri"/>
                <w:color w:val="2D3748"/>
                <w:sz w:val="16"/>
              </w:rPr>
              <w:t>Realistic Indian restaurants (Dehradun, Delhi, Bengaluru, Mumbai)</w:t>
            </w:r>
          </w:p>
        </w:tc>
        <w:tc>
          <w:tcPr>
            <w:tcW w:type="dxa" w:w="2340"/>
            <w:shd w:fill="F7FAFC"/>
            <w:tcMar>
              <w:top w:w="70" w:type="dxa"/>
              <w:bottom w:w="70" w:type="dxa"/>
              <w:left w:w="70" w:type="dxa"/>
              <w:right w:w="70" w:type="dxa"/>
            </w:tcMar>
          </w:tcPr>
          <w:p>
            <w:r>
              <w:rPr>
                <w:rFonts w:ascii="Calibri" w:hAnsi="Calibri"/>
                <w:color w:val="2D3748"/>
                <w:sz w:val="16"/>
              </w:rPr>
              <w:t>Seed Script, Regional Menus, +91 Phones</w:t>
            </w:r>
          </w:p>
        </w:tc>
        <w:tc>
          <w:tcPr>
            <w:tcW w:type="dxa" w:w="2340"/>
            <w:shd w:fill="F7FAFC"/>
            <w:tcMar>
              <w:top w:w="70" w:type="dxa"/>
              <w:bottom w:w="70" w:type="dxa"/>
              <w:left w:w="70" w:type="dxa"/>
              <w:right w:w="70" w:type="dxa"/>
            </w:tcMar>
          </w:tcPr>
          <w:p>
            <w:r>
              <w:rPr>
                <w:rFonts w:ascii="Calibri" w:hAnsi="Calibri"/>
                <w:color w:val="2D3748"/>
                <w:sz w:val="16"/>
              </w:rPr>
              <w:t>Demonstration data clearly labeled with authentic regional cuisines.</w:t>
            </w:r>
          </w:p>
        </w:tc>
      </w:tr>
      <w:tr>
        <w:tc>
          <w:tcPr>
            <w:tcW w:type="dxa" w:w="2340"/>
            <w:shd w:fill="FFFFFF"/>
            <w:tcMar>
              <w:top w:w="70" w:type="dxa"/>
              <w:bottom w:w="70" w:type="dxa"/>
              <w:left w:w="70" w:type="dxa"/>
              <w:right w:w="70" w:type="dxa"/>
            </w:tcMar>
          </w:tcPr>
          <w:p>
            <w:r>
              <w:rPr>
                <w:rFonts w:ascii="Calibri" w:hAnsi="Calibri"/>
                <w:color w:val="2D3748"/>
                <w:sz w:val="16"/>
              </w:rPr>
              <w:t>M6: INR Pricing &amp; Search</w:t>
            </w:r>
          </w:p>
        </w:tc>
        <w:tc>
          <w:tcPr>
            <w:tcW w:type="dxa" w:w="2340"/>
            <w:shd w:fill="FFFFFF"/>
            <w:tcMar>
              <w:top w:w="70" w:type="dxa"/>
              <w:bottom w:w="70" w:type="dxa"/>
              <w:left w:w="70" w:type="dxa"/>
              <w:right w:w="70" w:type="dxa"/>
            </w:tcMar>
          </w:tcPr>
          <w:p>
            <w:r>
              <w:rPr>
                <w:rFonts w:ascii="Calibri" w:hAnsi="Calibri"/>
                <w:color w:val="2D3748"/>
                <w:sz w:val="16"/>
              </w:rPr>
              <w:t>Unified search bar with debounce (300ms), INR (₹) price engine</w:t>
            </w:r>
          </w:p>
        </w:tc>
        <w:tc>
          <w:tcPr>
            <w:tcW w:type="dxa" w:w="2340"/>
            <w:shd w:fill="FFFFFF"/>
            <w:tcMar>
              <w:top w:w="70" w:type="dxa"/>
              <w:bottom w:w="70" w:type="dxa"/>
              <w:left w:w="70" w:type="dxa"/>
              <w:right w:w="70" w:type="dxa"/>
            </w:tcMar>
          </w:tcPr>
          <w:p>
            <w:r>
              <w:rPr>
                <w:rFonts w:ascii="Calibri" w:hAnsi="Calibri"/>
                <w:color w:val="2D3748"/>
                <w:sz w:val="16"/>
              </w:rPr>
              <w:t>Tailwind CSS, React Hook Form, PricingEngine</w:t>
            </w:r>
          </w:p>
        </w:tc>
        <w:tc>
          <w:tcPr>
            <w:tcW w:type="dxa" w:w="2340"/>
            <w:shd w:fill="FFFFFF"/>
            <w:tcMar>
              <w:top w:w="70" w:type="dxa"/>
              <w:bottom w:w="70" w:type="dxa"/>
              <w:left w:w="70" w:type="dxa"/>
              <w:right w:w="70" w:type="dxa"/>
            </w:tcMar>
          </w:tcPr>
          <w:p>
            <w:r>
              <w:rPr>
                <w:rFonts w:ascii="Calibri" w:hAnsi="Calibri"/>
                <w:color w:val="2D3748"/>
                <w:sz w:val="16"/>
              </w:rPr>
              <w:t>Categorized autocomplete (Venues, Dishes, Cuisines, Localities).</w:t>
            </w:r>
          </w:p>
        </w:tc>
      </w:tr>
      <w:tr>
        <w:tc>
          <w:tcPr>
            <w:tcW w:type="dxa" w:w="2340"/>
            <w:shd w:fill="F7FAFC"/>
            <w:tcMar>
              <w:top w:w="70" w:type="dxa"/>
              <w:bottom w:w="70" w:type="dxa"/>
              <w:left w:w="70" w:type="dxa"/>
              <w:right w:w="70" w:type="dxa"/>
            </w:tcMar>
          </w:tcPr>
          <w:p>
            <w:r>
              <w:rPr>
                <w:rFonts w:ascii="Calibri" w:hAnsi="Calibri"/>
                <w:color w:val="2D3748"/>
                <w:sz w:val="16"/>
              </w:rPr>
              <w:t>M7: Map View &amp; AI Analytics</w:t>
            </w:r>
          </w:p>
        </w:tc>
        <w:tc>
          <w:tcPr>
            <w:tcW w:type="dxa" w:w="2340"/>
            <w:shd w:fill="F7FAFC"/>
            <w:tcMar>
              <w:top w:w="70" w:type="dxa"/>
              <w:bottom w:w="70" w:type="dxa"/>
              <w:left w:w="70" w:type="dxa"/>
              <w:right w:w="70" w:type="dxa"/>
            </w:tcMar>
          </w:tcPr>
          <w:p>
            <w:r>
              <w:rPr>
                <w:rFonts w:ascii="Calibri" w:hAnsi="Calibri"/>
                <w:color w:val="2D3748"/>
                <w:sz w:val="16"/>
              </w:rPr>
              <w:t>Interactive map view, customer geography distribution, AI localization</w:t>
            </w:r>
          </w:p>
        </w:tc>
        <w:tc>
          <w:tcPr>
            <w:tcW w:type="dxa" w:w="2340"/>
            <w:shd w:fill="F7FAFC"/>
            <w:tcMar>
              <w:top w:w="70" w:type="dxa"/>
              <w:bottom w:w="70" w:type="dxa"/>
              <w:left w:w="70" w:type="dxa"/>
              <w:right w:w="70" w:type="dxa"/>
            </w:tcMar>
          </w:tcPr>
          <w:p>
            <w:r>
              <w:rPr>
                <w:rFonts w:ascii="Calibri" w:hAnsi="Calibri"/>
                <w:color w:val="2D3748"/>
                <w:sz w:val="16"/>
              </w:rPr>
              <w:t>Leaflet / SVG Radar, Owner AI Service</w:t>
            </w:r>
          </w:p>
        </w:tc>
        <w:tc>
          <w:tcPr>
            <w:tcW w:type="dxa" w:w="2340"/>
            <w:shd w:fill="F7FAFC"/>
            <w:tcMar>
              <w:top w:w="70" w:type="dxa"/>
              <w:bottom w:w="70" w:type="dxa"/>
              <w:left w:w="70" w:type="dxa"/>
              <w:right w:w="70" w:type="dxa"/>
            </w:tcMar>
          </w:tcPr>
          <w:p>
            <w:r>
              <w:rPr>
                <w:rFonts w:ascii="Calibri" w:hAnsi="Calibri"/>
                <w:color w:val="2D3748"/>
                <w:sz w:val="16"/>
              </w:rPr>
              <w:t>Visual map markers and owner customer distribution breakdown.</w:t>
            </w:r>
          </w:p>
        </w:tc>
      </w:tr>
      <w:tr>
        <w:tc>
          <w:tcPr>
            <w:tcW w:type="dxa" w:w="2340"/>
            <w:shd w:fill="FFFFFF"/>
            <w:tcMar>
              <w:top w:w="70" w:type="dxa"/>
              <w:bottom w:w="70" w:type="dxa"/>
              <w:left w:w="70" w:type="dxa"/>
              <w:right w:w="70" w:type="dxa"/>
            </w:tcMar>
          </w:tcPr>
          <w:p>
            <w:r>
              <w:rPr>
                <w:rFonts w:ascii="Calibri" w:hAnsi="Calibri"/>
                <w:color w:val="2D3748"/>
                <w:sz w:val="16"/>
              </w:rPr>
              <w:t>M8: QA &amp; Packaging</w:t>
            </w:r>
          </w:p>
        </w:tc>
        <w:tc>
          <w:tcPr>
            <w:tcW w:type="dxa" w:w="2340"/>
            <w:shd w:fill="FFFFFF"/>
            <w:tcMar>
              <w:top w:w="70" w:type="dxa"/>
              <w:bottom w:w="70" w:type="dxa"/>
              <w:left w:w="70" w:type="dxa"/>
              <w:right w:w="70" w:type="dxa"/>
            </w:tcMar>
          </w:tcPr>
          <w:p>
            <w:r>
              <w:rPr>
                <w:rFonts w:ascii="Calibri" w:hAnsi="Calibri"/>
                <w:color w:val="2D3748"/>
                <w:sz w:val="16"/>
              </w:rPr>
              <w:t>Automated test suites, build validation, ZIP packaging</w:t>
            </w:r>
          </w:p>
        </w:tc>
        <w:tc>
          <w:tcPr>
            <w:tcW w:type="dxa" w:w="2340"/>
            <w:shd w:fill="FFFFFF"/>
            <w:tcMar>
              <w:top w:w="70" w:type="dxa"/>
              <w:bottom w:w="70" w:type="dxa"/>
              <w:left w:w="70" w:type="dxa"/>
              <w:right w:w="70" w:type="dxa"/>
            </w:tcMar>
          </w:tcPr>
          <w:p>
            <w:r>
              <w:rPr>
                <w:rFonts w:ascii="Calibri" w:hAnsi="Calibri"/>
                <w:color w:val="2D3748"/>
                <w:sz w:val="16"/>
              </w:rPr>
              <w:t>Vitest, tsc, vite build, Python Packager</w:t>
            </w:r>
          </w:p>
        </w:tc>
        <w:tc>
          <w:tcPr>
            <w:tcW w:type="dxa" w:w="2340"/>
            <w:shd w:fill="FFFFFF"/>
            <w:tcMar>
              <w:top w:w="70" w:type="dxa"/>
              <w:bottom w:w="70" w:type="dxa"/>
              <w:left w:w="70" w:type="dxa"/>
              <w:right w:w="70" w:type="dxa"/>
            </w:tcMar>
          </w:tcPr>
          <w:p>
            <w:r>
              <w:rPr>
                <w:rFonts w:ascii="Calibri" w:hAnsi="Calibri"/>
                <w:color w:val="2D3748"/>
                <w:sz w:val="16"/>
              </w:rPr>
              <w:t>100% test pass rate and clean downloadable ZIP archive.</w:t>
            </w:r>
          </w:p>
        </w:tc>
      </w:tr>
    </w:tbl>
    <w:p>
      <w:pPr>
        <w:spacing w:after="200"/>
      </w:pPr>
    </w:p>
    <w:p>
      <w:pPr>
        <w:pStyle w:val="Heading1"/>
        <w:keepNext/>
        <w:spacing w:before="320" w:after="120"/>
      </w:pPr>
      <w:r>
        <w:rPr>
          <w:rFonts w:ascii="Calibri" w:hAnsi="Calibri"/>
          <w:b/>
          <w:color w:val="1A365D"/>
          <w:sz w:val="34"/>
        </w:rPr>
        <w:t>2. Comprehensive Indian City &amp; Locality Hierarchy</w:t>
      </w:r>
    </w:p>
    <w:p>
      <w:r>
        <w:t>The platform establishes a centralized location authority (shared/data/indianLocations.ts) covering four primary regions of India, with authentic geographic coordinates, representative localities, and postal codes:</w:t>
      </w:r>
    </w:p>
    <w:p>
      <w:pPr>
        <w:spacing w:after="60"/>
      </w:pPr>
      <w:r>
        <w:rPr>
          <w:rFonts w:ascii="Calibri" w:hAnsi="Calibri"/>
          <w:b/>
          <w:color w:val="2B6CB0"/>
          <w:sz w:val="19"/>
        </w:rPr>
        <w:t xml:space="preserve">North India: </w:t>
      </w:r>
      <w:r>
        <w:rPr>
          <w:rFonts w:ascii="Calibri" w:hAnsi="Calibri"/>
          <w:color w:val="2D3748"/>
          <w:sz w:val="19"/>
        </w:rPr>
        <w:t>Dehradun (30.3165°N, 78.0322°E - Localities: Rajpur Road, Jakhan, Ballupur, Clement Town, Prem Nagar, Sahastradhara Road), Delhi NCR (28.6139°N, 77.2090°E - Connaught Place, Saket, Hauz Khas, Vasant Kunj, Lajpat Nagar, Karol Bagh, Dwarka), Gurugram (DLF Cyber City, Sector 29, Golf Course Road), Noida (Sector 18, Sector 62), Chandigarh (Sector 17, Sector 35), Jaipur (C-Scheme, Malviya Nagar, Mansarovar), Lucknow (Hazratganj, Gomti Nagar, Aliganj), Amritsar, Ludhiana, Agra, Varanasi, Jammu.</w:t>
      </w:r>
    </w:p>
    <w:p>
      <w:pPr>
        <w:spacing w:after="60"/>
      </w:pPr>
      <w:r>
        <w:rPr>
          <w:rFonts w:ascii="Calibri" w:hAnsi="Calibri"/>
          <w:b/>
          <w:color w:val="2B6CB0"/>
          <w:sz w:val="19"/>
        </w:rPr>
        <w:t xml:space="preserve">West India: </w:t>
      </w:r>
      <w:r>
        <w:rPr>
          <w:rFonts w:ascii="Calibri" w:hAnsi="Calibri"/>
          <w:color w:val="2D3748"/>
          <w:sz w:val="19"/>
        </w:rPr>
        <w:t>Mumbai (19.0760°N, 72.8777°E - Localities: Bandra West, Andheri West, Powai, Lower Parel, Colaba, Juhu, Thane), Pune (18.5204°N, 73.8567°E - Koregaon Park, Baner, Kothrud, Viman Nagar, Hinjawadi), Ahmedabad (SG Highway, Bodakdev, Satellite), Surat, Vadodara, Nashik, Nagpur, Indore, Bhopal, Goa/Panaji (Miramar, Fontainhas, Candolim).</w:t>
      </w:r>
    </w:p>
    <w:p>
      <w:pPr>
        <w:spacing w:after="60"/>
      </w:pPr>
      <w:r>
        <w:rPr>
          <w:rFonts w:ascii="Calibri" w:hAnsi="Calibri"/>
          <w:b/>
          <w:color w:val="2B6CB0"/>
          <w:sz w:val="19"/>
        </w:rPr>
        <w:t xml:space="preserve">South India: </w:t>
      </w:r>
      <w:r>
        <w:rPr>
          <w:rFonts w:ascii="Calibri" w:hAnsi="Calibri"/>
          <w:color w:val="2D3748"/>
          <w:sz w:val="19"/>
        </w:rPr>
        <w:t>Bengaluru (12.9716°N, 77.5946°E - Localities: Koramangala, Indiranagar, HSR Layout, Whitefield, MG Road, Jayanagar, Electronic City), Hyderabad (17.3850°N, 78.4867°E - Banjara Hills, Jubilee Hills, Gachibowli, Hitec City, Madhapur), Chennai (T. Nagar, Nungambakkam, Adyar, Velachery), Kochi (Marine Drive, Panampilly Nagar, Fort Kochi), Thiruvananthapuram, Coimbatore, Mysuru, Mangaluru, Visakhapatnam.</w:t>
      </w:r>
    </w:p>
    <w:p>
      <w:pPr>
        <w:spacing w:after="60"/>
      </w:pPr>
      <w:r>
        <w:rPr>
          <w:rFonts w:ascii="Calibri" w:hAnsi="Calibri"/>
          <w:b/>
          <w:color w:val="2B6CB0"/>
          <w:sz w:val="19"/>
        </w:rPr>
        <w:t xml:space="preserve">East India: </w:t>
      </w:r>
      <w:r>
        <w:rPr>
          <w:rFonts w:ascii="Calibri" w:hAnsi="Calibri"/>
          <w:color w:val="2D3748"/>
          <w:sz w:val="19"/>
        </w:rPr>
        <w:t>Kolkata (22.5726°N, 88.3639°E - Localities: Park Street, Salt Lake, Ballygunge, New Town, Alipore), Bhubaneswar (Saheed Nagar, Patia), Patna (Kankarbagh, Boring Road), Ranchi, Guwahati (GS Road, Christian Basti).</w:t>
      </w:r>
    </w:p>
    <w:p>
      <w:pPr>
        <w:pStyle w:val="Heading1"/>
        <w:keepNext/>
        <w:spacing w:before="320" w:after="120"/>
      </w:pPr>
      <w:r>
        <w:rPr>
          <w:rFonts w:ascii="Calibri" w:hAnsi="Calibri"/>
          <w:b/>
          <w:color w:val="1A365D"/>
          <w:sz w:val="34"/>
        </w:rPr>
        <w:t>3. Database Geospatial Schema (GeoJSON &amp; 2dsphere)</w:t>
      </w:r>
    </w:p>
    <w:p>
      <w:r>
        <w:t>To ensure precise geospatial calculations, the MongoDB Restaurant model is updated to adhere strictly to GeoJSON Point format [longitude, latitude], indexed with a 2dsphere index:</w:t>
      </w:r>
    </w:p>
    <w:p>
      <w:pPr>
        <w:spacing w:before="80" w:after="160"/>
      </w:pPr>
      <w:r>
        <w:rPr>
          <w:rFonts w:ascii="Consolas" w:hAnsi="Consolas"/>
          <w:color w:val="2D3748"/>
          <w:sz w:val="16"/>
        </w:rPr>
        <w:t>// Updated Restaurant Mongoose Schema</w:t>
        <w:br/>
        <w:t>const RestaurantSchema = new Schema&lt;IRestaurant&gt;({</w:t>
        <w:br/>
        <w:t xml:space="preserve">  name: { type: String, required: true, trim: true, index: true },</w:t>
        <w:br/>
        <w:t xml:space="preserve">  slug: { type: String, required: true, unique: true, lowercase: true },</w:t>
        <w:br/>
        <w:t xml:space="preserve">  address: {</w:t>
        <w:br/>
        <w:t xml:space="preserve">    addressLine1: { type: String, required: true },</w:t>
        <w:br/>
        <w:t xml:space="preserve">    addressLine2: String,</w:t>
        <w:br/>
        <w:t xml:space="preserve">    locality: { type: String, required: true, index: true },</w:t>
        <w:br/>
        <w:t xml:space="preserve">    city: { type: String, required: true, index: true },</w:t>
        <w:br/>
        <w:t xml:space="preserve">    state: { type: String, required: true },</w:t>
        <w:br/>
        <w:t xml:space="preserve">    postalCode: { type: String, required: true, index: true },</w:t>
        <w:br/>
        <w:t xml:space="preserve">    country: { type: String, default: 'India' }</w:t>
        <w:br/>
        <w:t xml:space="preserve">  },</w:t>
        <w:br/>
        <w:t xml:space="preserve">  location: {</w:t>
        <w:br/>
        <w:t xml:space="preserve">    type: { type: String, enum: ['Point'], default: 'Point' },</w:t>
        <w:br/>
        <w:t xml:space="preserve">    coordinates: { type: [Number], required: true } // [longitude, latitude]</w:t>
        <w:br/>
        <w:t xml:space="preserve">  },</w:t>
        <w:br/>
        <w:t xml:space="preserve">  maxDeliveryRadiusKm: { type: Number, default: 8.0 },</w:t>
        <w:br/>
        <w:t xml:space="preserve">  commissionRate: { type: Number, default: 10.0 }</w:t>
        <w:br/>
        <w:t>});</w:t>
        <w:br/>
        <w:br/>
        <w:t>// Geospatial 2dsphere index for ultra-fast spatial search</w:t>
        <w:br/>
        <w:t>RestaurantSchema.index({ location: '2dsphere' });</w:t>
        <w:br/>
        <w:t>RestaurantSchema.index({ 'address.city': 1, 'address.locality': 1 });</w:t>
      </w:r>
    </w:p>
    <w:p>
      <w:pPr>
        <w:pStyle w:val="Heading1"/>
        <w:keepNext/>
        <w:spacing w:before="320" w:after="120"/>
      </w:pPr>
      <w:r>
        <w:rPr>
          <w:rFonts w:ascii="Calibri" w:hAnsi="Calibri"/>
          <w:b/>
          <w:color w:val="1A365D"/>
          <w:sz w:val="34"/>
        </w:rPr>
        <w:t>4. Geolocation Priority &amp; Permission State Machine</w:t>
      </w:r>
    </w:p>
    <w:p>
      <w:r>
        <w:t>The frontend location store (client/src/store/useLocationStore.ts) implements the strict resolution priority:</w:t>
        <w:br/>
        <w:t xml:space="preserve">  1. Explicit User Selection (Manual city/locality selection overrides all defaults)</w:t>
        <w:br/>
        <w:t xml:space="preserve">  2. Current Detected Location (GPS coordinates reverse-geocoded to closest Indian city)</w:t>
        <w:br/>
        <w:t xml:space="preserve">  3. Previously Persisted Preference (Restored from localStorage upon return)</w:t>
        <w:br/>
        <w:t xml:space="preserve">  4. Default Indian City (Dehradun, Uttarakhand or Delhi NCR as safe baseline)</w:t>
        <w:br/>
        <w:br/>
        <w:t>Permission states are surfaced with clear user messaging:</w:t>
        <w:br/>
        <w:t>• Permission Granted: 'Using your live location: Rajpur Road, Dehradun'</w:t>
        <w:br/>
        <w:t>• Permission Denied: 'Location access disabled. Search for your city or area manually.'</w:t>
        <w:br/>
        <w:t>• Timeout / Unavailable: Fast retry trigger and instant manual city selector fallback.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