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1DAA9" w14:textId="77777777" w:rsidR="00000B4C" w:rsidRPr="00466B1B" w:rsidRDefault="00000B4C" w:rsidP="00C026A1">
      <w:pPr>
        <w:pStyle w:val="Heading3"/>
        <w:jc w:val="center"/>
        <w:rPr>
          <w:rFonts w:ascii="Times New Roman" w:hAnsi="Times New Roman" w:cs="Times New Roman"/>
          <w:b/>
          <w:bCs/>
          <w:sz w:val="24"/>
          <w:szCs w:val="24"/>
        </w:rPr>
      </w:pPr>
      <w:r w:rsidRPr="00466B1B">
        <w:rPr>
          <w:rFonts w:ascii="Times New Roman" w:hAnsi="Times New Roman" w:cs="Times New Roman"/>
          <w:b/>
          <w:bCs/>
          <w:sz w:val="24"/>
          <w:szCs w:val="24"/>
        </w:rPr>
        <w:t>MASTER SERVICE AGREEMENT</w:t>
      </w:r>
    </w:p>
    <w:p w14:paraId="2B6E6C33" w14:textId="77777777" w:rsidR="00000B4C" w:rsidRPr="00C026A1" w:rsidRDefault="00000B4C" w:rsidP="00C026A1">
      <w:pPr>
        <w:jc w:val="both"/>
        <w:rPr>
          <w:rFonts w:ascii="Times New Roman" w:hAnsi="Times New Roman" w:cs="Times New Roman"/>
          <w:sz w:val="24"/>
          <w:szCs w:val="24"/>
        </w:rPr>
      </w:pPr>
    </w:p>
    <w:p w14:paraId="46399C18"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THIS MASTER SERVICE AGREEMENT (hereinafter referred to as the “Agreement”) is made, entered into, and executed at Kathmandu, Nepal on this Ninth day of October, Two Thousand Twenty-Five (corresponding to 23rd day of Ashwin, 2082 Bikram Sambat),</w:t>
      </w:r>
    </w:p>
    <w:p w14:paraId="72C22AD9" w14:textId="77777777" w:rsidR="00000B4C" w:rsidRPr="00C026A1" w:rsidRDefault="00000B4C" w:rsidP="00C026A1">
      <w:pPr>
        <w:jc w:val="center"/>
        <w:rPr>
          <w:rFonts w:ascii="Times New Roman" w:hAnsi="Times New Roman" w:cs="Times New Roman"/>
          <w:sz w:val="24"/>
          <w:szCs w:val="24"/>
        </w:rPr>
      </w:pPr>
      <w:r w:rsidRPr="00C026A1">
        <w:rPr>
          <w:rFonts w:ascii="Times New Roman" w:hAnsi="Times New Roman" w:cs="Times New Roman"/>
          <w:sz w:val="24"/>
          <w:szCs w:val="24"/>
        </w:rPr>
        <w:t>BY AND BETWEEN:</w:t>
      </w:r>
    </w:p>
    <w:p w14:paraId="045D665F" w14:textId="77777777" w:rsidR="00000B4C" w:rsidRPr="00C026A1" w:rsidRDefault="00000B4C" w:rsidP="00C026A1">
      <w:pPr>
        <w:jc w:val="both"/>
        <w:rPr>
          <w:rFonts w:ascii="Times New Roman" w:hAnsi="Times New Roman" w:cs="Times New Roman"/>
          <w:sz w:val="24"/>
          <w:szCs w:val="24"/>
        </w:rPr>
      </w:pPr>
      <w:r w:rsidRPr="00A3058E">
        <w:rPr>
          <w:rFonts w:ascii="Times New Roman" w:hAnsi="Times New Roman" w:cs="Times New Roman"/>
          <w:b/>
          <w:bCs/>
          <w:sz w:val="24"/>
          <w:szCs w:val="24"/>
        </w:rPr>
        <w:t>Samanyayik Legal Service and Research Center Pvt. Ltd.,</w:t>
      </w:r>
      <w:r w:rsidRPr="00C026A1">
        <w:rPr>
          <w:rFonts w:ascii="Times New Roman" w:hAnsi="Times New Roman" w:cs="Times New Roman"/>
          <w:sz w:val="24"/>
          <w:szCs w:val="24"/>
        </w:rPr>
        <w:t xml:space="preserve"> a private limited company duly incorporated and validly existing under the laws of Nepal, having its Certificate of Incorporation No. 361046/81/82 issued by the Office of the Company Registrar, and its Permanent Account Number (PAN) 621303809, with its registered office situated at Kathmandu, Nepal, and represented herein by its authorized signatory (hereinafter referred to as the “Company” or the “First Party”, which expression shall, unless it be repugnant to the context or meaning thereof, be deemed to mean and include its legal representatives, administrators, successors-in-interest, and permitted assigns) of the FIRST PART;</w:t>
      </w:r>
    </w:p>
    <w:p w14:paraId="6CF95D06" w14:textId="77777777" w:rsidR="00000B4C" w:rsidRPr="00C026A1" w:rsidRDefault="00000B4C" w:rsidP="00C026A1">
      <w:pPr>
        <w:jc w:val="center"/>
        <w:rPr>
          <w:rFonts w:ascii="Times New Roman" w:hAnsi="Times New Roman" w:cs="Times New Roman"/>
          <w:sz w:val="24"/>
          <w:szCs w:val="24"/>
        </w:rPr>
      </w:pPr>
      <w:r w:rsidRPr="00C026A1">
        <w:rPr>
          <w:rFonts w:ascii="Times New Roman" w:hAnsi="Times New Roman" w:cs="Times New Roman"/>
          <w:sz w:val="24"/>
          <w:szCs w:val="24"/>
        </w:rPr>
        <w:t>AND</w:t>
      </w:r>
    </w:p>
    <w:p w14:paraId="5EA17482" w14:textId="59A610CC" w:rsidR="00000B4C" w:rsidRPr="00C026A1" w:rsidRDefault="00000B4C" w:rsidP="00C026A1">
      <w:pPr>
        <w:jc w:val="both"/>
        <w:rPr>
          <w:rFonts w:ascii="Times New Roman" w:hAnsi="Times New Roman" w:cs="Times New Roman"/>
          <w:sz w:val="24"/>
          <w:szCs w:val="24"/>
        </w:rPr>
      </w:pPr>
      <w:r w:rsidRPr="00A3058E">
        <w:rPr>
          <w:rFonts w:ascii="Times New Roman" w:hAnsi="Times New Roman" w:cs="Times New Roman"/>
          <w:b/>
          <w:bCs/>
          <w:sz w:val="24"/>
          <w:szCs w:val="24"/>
        </w:rPr>
        <w:t>Vanguard Tech Private Limited,</w:t>
      </w:r>
      <w:r w:rsidRPr="00C026A1">
        <w:rPr>
          <w:rFonts w:ascii="Times New Roman" w:hAnsi="Times New Roman" w:cs="Times New Roman"/>
          <w:sz w:val="24"/>
          <w:szCs w:val="24"/>
        </w:rPr>
        <w:t xml:space="preserve"> a private limited company duly incorporated and validly existing under the laws of Nepal, having its Certificate of Incorporation No. 361220/81/82 issued by the Office of the Company Registrar, and its Permanent Account Number (PAN) 621305490, with its registered office situated at Anamnagar, Kathmandu, Nepal, and represented herein by its authorized signatory (hereinafter referred to as the “Service Provider” or “Vanguard Tech”, which expression shall, unless it be repugnant to the context or meaning thereof, be deemed to mean and include its legal representatives, administrators, successors-in-interest, and permitted assigns) of the SECOND PART.</w:t>
      </w:r>
    </w:p>
    <w:p w14:paraId="420350C0" w14:textId="52DF5413"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(The Company and the Service Provider shall hereinafter be referred to individually as a “Party” and collectively as the “Parties”).</w:t>
      </w:r>
    </w:p>
    <w:p w14:paraId="1A83A830" w14:textId="5CA9414E" w:rsidR="00000B4C" w:rsidRPr="00C026A1" w:rsidRDefault="00000B4C" w:rsidP="00C026A1">
      <w:pPr>
        <w:pStyle w:val="Heading3"/>
        <w:jc w:val="both"/>
        <w:rPr>
          <w:rFonts w:ascii="Times New Roman" w:hAnsi="Times New Roman" w:cs="Times New Roman"/>
          <w:sz w:val="24"/>
          <w:szCs w:val="24"/>
        </w:rPr>
      </w:pPr>
      <w:r w:rsidRPr="00C026A1">
        <w:rPr>
          <w:rFonts w:ascii="Times New Roman" w:hAnsi="Times New Roman" w:cs="Times New Roman"/>
          <w:sz w:val="24"/>
          <w:szCs w:val="24"/>
        </w:rPr>
        <w:t>RECITALS</w:t>
      </w:r>
    </w:p>
    <w:p w14:paraId="4620AB35" w14:textId="643B3675"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WHEREAS, the Company is a preeminent institution engaged in the provision of specialized legal services, evidence-based consultancy, and the advancement of jurisprudence through rigorous legal research and policy analysis within the sovereign jurisdiction of Nepal;</w:t>
      </w:r>
    </w:p>
    <w:p w14:paraId="4BFE5CDF" w14:textId="4EA520A3"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WHEREAS, in furtherance of its institutional objectives and to enhance its digital presence, operational efficacy, and stakeholder engagement, the Company requires the design, development, deployment, and maintenance of a sophisticated, bilingual, and functionally dynamic official website (hereinafter the “Project”);</w:t>
      </w:r>
    </w:p>
    <w:p w14:paraId="724BE624" w14:textId="2FE1E9E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WHEREAS, the Service Provider represents and warrants that it possesses the requisite technical expertise, professional competence, infrastructure, and qualified personnel necessary to undertake and successfully execute the Project in conformity with the highest industry standards and the specific stipulations of the Company;</w:t>
      </w:r>
    </w:p>
    <w:p w14:paraId="08C00A39" w14:textId="08D710D9"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lastRenderedPageBreak/>
        <w:t>WHEREAS, the Company, relying upon the aforesaid representations and warranties, is desirous of engaging the Service Provider to render the services delineated herein, and the Service Provider has agreed to provide such services upon the terms and subject to the conditions hereinafter set forth;</w:t>
      </w:r>
    </w:p>
    <w:p w14:paraId="6E2F7278" w14:textId="3DAE04B6"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NOW, THEREFORE, in consideration of the mutual covenants, representations, warranties, and agreements contained herein, and for other good and valuable consideration, the receipt and legal sufficiency of which are hereby irrecivocably acknowledged, the Parties hereto, intending to be legally bound, covenant and agree as follows:</w:t>
      </w:r>
    </w:p>
    <w:p w14:paraId="25F6C1FF" w14:textId="57F79694" w:rsidR="00000B4C" w:rsidRPr="00466B1B" w:rsidRDefault="00000B4C" w:rsidP="00690123">
      <w:pPr>
        <w:pStyle w:val="Heading3"/>
        <w:jc w:val="center"/>
        <w:rPr>
          <w:rFonts w:ascii="Times New Roman" w:hAnsi="Times New Roman" w:cs="Times New Roman"/>
          <w:b/>
          <w:bCs/>
          <w:sz w:val="24"/>
          <w:szCs w:val="24"/>
        </w:rPr>
      </w:pPr>
      <w:r w:rsidRPr="00466B1B">
        <w:rPr>
          <w:rFonts w:ascii="Times New Roman" w:hAnsi="Times New Roman" w:cs="Times New Roman"/>
          <w:b/>
          <w:bCs/>
          <w:sz w:val="24"/>
          <w:szCs w:val="24"/>
        </w:rPr>
        <w:t>ARTICLE 1: DEFINITIONS AND INTERPRETATION</w:t>
      </w:r>
    </w:p>
    <w:p w14:paraId="067D0ED5"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1.1. Definitions: In this Agreement, unless the context otherwise requires, the following terms and expressions shall have the meanings ascribed to them hereunder:</w:t>
      </w:r>
    </w:p>
    <w:p w14:paraId="06AEC7E4" w14:textId="71E52D75"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“Acceptance Criteria” means the criteria, standards, and specifications set forth in Annexure A against which the Deliverables shall be tested and evaluated by the Company for final acceptance.</w:t>
      </w:r>
    </w:p>
    <w:p w14:paraId="7A372661" w14:textId="7213A880"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“Affiliate” means, with respect to any Party, any other person or entity that directly or indirectly Controls, is Controlled by, or is under common Control with, such Party.</w:t>
      </w:r>
    </w:p>
    <w:p w14:paraId="30C84C0E" w14:textId="476DC997"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“Annexure A” refers to the detailed Terms of Reference (TOR) and Technical Specifications document attached hereto, which forms an integral and inseparable part of this Agreement.</w:t>
      </w:r>
    </w:p>
    <w:p w14:paraId="0F1A6F75" w14:textId="5F296708"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“Applicable Law” means any and all statutes, laws, ordinances, rules, regulations, directives, guidelines, and judicial or administrative orders of any governmental authority of Nepal, including but not limited to the Company Act, 2063 (2006), the The National Civil (Code) Act, 2017 (2074), the Arbitration Act, 2055 (1999), and the Income Tax Act, 2058 (2002).</w:t>
      </w:r>
    </w:p>
    <w:p w14:paraId="0432A217" w14:textId="0EAB5DE4"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“Business Day” means any day other than a Saturday or a public holiday observed by the Government of Nepal.</w:t>
      </w:r>
    </w:p>
    <w:p w14:paraId="258103E1" w14:textId="7847E1A0"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“Change Order” means a written instrument, duly executed by the authorized representatives of both Parties, documenting any amendment, modification, or deviation from the Scope of Services or Specifications detailed in Annexure A.</w:t>
      </w:r>
    </w:p>
    <w:p w14:paraId="617E9911" w14:textId="06838842"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“Confidential Information” means any and all information, whether tangible or intangible, disclosed by one Party (the “Disclosing Party”) to the other (the “Receiving Party”), including but not limited to: (i) trade secrets, business plans, financial data, client lists, methodologies, and operational procedures; (ii) all information contained within the Deliverables, including Source Code; and (iii) the terms and existence of this Agreement itself.</w:t>
      </w:r>
    </w:p>
    <w:p w14:paraId="50C30235" w14:textId="5806A358"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“Control” means the power to direct or cause the direction of the management and policies of a person or entity, whether through the ownership of voting securities, by contract, or otherwise.</w:t>
      </w:r>
    </w:p>
    <w:p w14:paraId="64388DB5" w14:textId="5D048728"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 xml:space="preserve">“Deliverables” means all software, Source Code, object code, documentation, designs, reports, user manuals, training materials, inventions, works of authorship, and any other </w:t>
      </w:r>
      <w:r w:rsidRPr="00C026A1">
        <w:rPr>
          <w:rFonts w:ascii="Times New Roman" w:hAnsi="Times New Roman" w:cs="Times New Roman"/>
          <w:sz w:val="24"/>
          <w:szCs w:val="24"/>
        </w:rPr>
        <w:lastRenderedPageBreak/>
        <w:t>tangible or intangible output to be created, developed, or supplied by the Service Provider pursuant to this Agreement and as more particularly described in Annexure A.</w:t>
      </w:r>
    </w:p>
    <w:p w14:paraId="68A14C84" w14:textId="5CC38F5E"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“Effective Date” means the date first written above, being October 9, 2025.</w:t>
      </w:r>
    </w:p>
    <w:p w14:paraId="0F015626" w14:textId="249DD2DD"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“Intellectual Property Rights” or “IPR” means all intellectual property and industrial property rights of any kind whatsoever, whether registered or unregistered, including without limitation, patents, copyrights, trademarks, service marks, trade names, domain names, trade secrets, design rights, database rights, know-how, and any and all other proprietary rights, together with all applications, renewals, and extensions thereof, existing anywhere in the world.</w:t>
      </w:r>
    </w:p>
    <w:p w14:paraId="41529C63" w14:textId="400EB7A8"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“Malicious Code” means any computer code, virus, trojan horse, worm, spyware, backdoor, or other software routine designed to permit unauthorized access, disable, damage, erase, or otherwise harm any software, hardware, or data.</w:t>
      </w:r>
    </w:p>
    <w:p w14:paraId="19465EBB" w14:textId="7A1E5A23"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“Services” means the entire scope of work, duties, and responsibilities to be performed by the Service Provider as detailed in Article 2 and Annexure A of this Agreement.</w:t>
      </w:r>
    </w:p>
    <w:p w14:paraId="3BACDA77" w14:textId="3C2DBB7A"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“Source Code” means the human-readable form of the computer programming code for the website and its constituent modules, including all comments, procedural code, and related scripts.</w:t>
      </w:r>
    </w:p>
    <w:p w14:paraId="7145D959" w14:textId="0D661CF5"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“Specifications” means the detailed technical, functional, and design requirements for the Project as set forth in Annexure A.</w:t>
      </w:r>
    </w:p>
    <w:p w14:paraId="44F5F358" w14:textId="41825F31" w:rsidR="00000B4C" w:rsidRPr="00C026A1" w:rsidRDefault="00000B4C" w:rsidP="00C026A1">
      <w:pPr>
        <w:pStyle w:val="ListParagraph"/>
        <w:numPr>
          <w:ilvl w:val="0"/>
          <w:numId w:val="4"/>
        </w:numPr>
        <w:jc w:val="both"/>
        <w:rPr>
          <w:rFonts w:ascii="Times New Roman" w:hAnsi="Times New Roman" w:cs="Times New Roman"/>
          <w:sz w:val="24"/>
          <w:szCs w:val="24"/>
        </w:rPr>
      </w:pPr>
      <w:r w:rsidRPr="00C026A1">
        <w:rPr>
          <w:rFonts w:ascii="Times New Roman" w:hAnsi="Times New Roman" w:cs="Times New Roman"/>
          <w:sz w:val="24"/>
          <w:szCs w:val="24"/>
        </w:rPr>
        <w:t>“Term” shall have the meaning ascribed to it in Article 11.1.</w:t>
      </w:r>
    </w:p>
    <w:p w14:paraId="2A854BF0"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1.2. Interpretation:</w:t>
      </w:r>
    </w:p>
    <w:p w14:paraId="56BF0F47" w14:textId="7F6C5C65" w:rsidR="00000B4C" w:rsidRPr="00C026A1" w:rsidRDefault="00000B4C" w:rsidP="00C026A1">
      <w:pPr>
        <w:pStyle w:val="ListParagraph"/>
        <w:numPr>
          <w:ilvl w:val="1"/>
          <w:numId w:val="8"/>
        </w:numPr>
        <w:jc w:val="both"/>
        <w:rPr>
          <w:rFonts w:ascii="Times New Roman" w:hAnsi="Times New Roman" w:cs="Times New Roman"/>
          <w:sz w:val="24"/>
          <w:szCs w:val="24"/>
        </w:rPr>
      </w:pPr>
      <w:r w:rsidRPr="00C026A1">
        <w:rPr>
          <w:rFonts w:ascii="Times New Roman" w:hAnsi="Times New Roman" w:cs="Times New Roman"/>
          <w:sz w:val="24"/>
          <w:szCs w:val="24"/>
        </w:rPr>
        <w:t>The headings and captions in this Agreement are for convenience of reference only and shall not affect the interpretation or construction of any provision hereof.</w:t>
      </w:r>
    </w:p>
    <w:p w14:paraId="7AB9EF81" w14:textId="7FE09CE4" w:rsidR="00000B4C" w:rsidRPr="00C026A1" w:rsidRDefault="00000B4C" w:rsidP="00C026A1">
      <w:pPr>
        <w:pStyle w:val="ListParagraph"/>
        <w:numPr>
          <w:ilvl w:val="1"/>
          <w:numId w:val="8"/>
        </w:numPr>
        <w:jc w:val="both"/>
        <w:rPr>
          <w:rFonts w:ascii="Times New Roman" w:hAnsi="Times New Roman" w:cs="Times New Roman"/>
          <w:sz w:val="24"/>
          <w:szCs w:val="24"/>
        </w:rPr>
      </w:pPr>
      <w:r w:rsidRPr="00C026A1">
        <w:rPr>
          <w:rFonts w:ascii="Times New Roman" w:hAnsi="Times New Roman" w:cs="Times New Roman"/>
          <w:sz w:val="24"/>
          <w:szCs w:val="24"/>
        </w:rPr>
        <w:t>Any reference to an Article, Section, or Annexure is to an Article, Section, or Annexure of this Agreement unless otherwise specified.</w:t>
      </w:r>
    </w:p>
    <w:p w14:paraId="4A262A77" w14:textId="4D681D9E" w:rsidR="00000B4C" w:rsidRPr="00C026A1" w:rsidRDefault="00000B4C" w:rsidP="00C026A1">
      <w:pPr>
        <w:pStyle w:val="ListParagraph"/>
        <w:numPr>
          <w:ilvl w:val="1"/>
          <w:numId w:val="8"/>
        </w:numPr>
        <w:jc w:val="both"/>
        <w:rPr>
          <w:rFonts w:ascii="Times New Roman" w:hAnsi="Times New Roman" w:cs="Times New Roman"/>
          <w:sz w:val="24"/>
          <w:szCs w:val="24"/>
        </w:rPr>
      </w:pPr>
      <w:r w:rsidRPr="00C026A1">
        <w:rPr>
          <w:rFonts w:ascii="Times New Roman" w:hAnsi="Times New Roman" w:cs="Times New Roman"/>
          <w:sz w:val="24"/>
          <w:szCs w:val="24"/>
        </w:rPr>
        <w:t>Words in the singular shall include the plural and vice versa, and words importing a gender shall include every gender.</w:t>
      </w:r>
    </w:p>
    <w:p w14:paraId="3BDDAB98" w14:textId="5421DD9C" w:rsidR="00000B4C" w:rsidRPr="00C026A1" w:rsidRDefault="00000B4C" w:rsidP="00C026A1">
      <w:pPr>
        <w:pStyle w:val="ListParagraph"/>
        <w:numPr>
          <w:ilvl w:val="1"/>
          <w:numId w:val="8"/>
        </w:numPr>
        <w:jc w:val="both"/>
        <w:rPr>
          <w:rFonts w:ascii="Times New Roman" w:hAnsi="Times New Roman" w:cs="Times New Roman"/>
          <w:sz w:val="24"/>
          <w:szCs w:val="24"/>
        </w:rPr>
      </w:pPr>
      <w:r w:rsidRPr="00C026A1">
        <w:rPr>
          <w:rFonts w:ascii="Times New Roman" w:hAnsi="Times New Roman" w:cs="Times New Roman"/>
          <w:sz w:val="24"/>
          <w:szCs w:val="24"/>
        </w:rPr>
        <w:t>In the event of any conflict, ambiguity, or inconsistency between the main body of this Agreement and Annexure A, the provisions of the main body of this Agreement shall prevail.</w:t>
      </w:r>
    </w:p>
    <w:p w14:paraId="71EE09D4" w14:textId="323F9D96" w:rsidR="00000B4C" w:rsidRPr="00690123" w:rsidRDefault="00000B4C" w:rsidP="00690123">
      <w:pPr>
        <w:pStyle w:val="Heading3"/>
        <w:jc w:val="center"/>
        <w:rPr>
          <w:rFonts w:ascii="Times New Roman" w:hAnsi="Times New Roman" w:cs="Times New Roman"/>
          <w:b/>
          <w:bCs/>
          <w:sz w:val="24"/>
          <w:szCs w:val="24"/>
        </w:rPr>
      </w:pPr>
      <w:r w:rsidRPr="00690123">
        <w:rPr>
          <w:rFonts w:ascii="Times New Roman" w:hAnsi="Times New Roman" w:cs="Times New Roman"/>
          <w:b/>
          <w:bCs/>
          <w:sz w:val="24"/>
          <w:szCs w:val="24"/>
        </w:rPr>
        <w:t>ARTICLE 2: SCOPE OF SERVICES AND DELIVERABLES</w:t>
      </w:r>
    </w:p>
    <w:p w14:paraId="03B41F9D" w14:textId="4D8D5D41"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2.1. Engagement: The Company hereby engages the Service Provider, and the Service Provider hereby accepts such engagement, to perform the Services and deliver the Deliverables in strict accordance with the Specifications, timelines, and conditions stipulated in this Agreement and its Annexure.</w:t>
      </w:r>
    </w:p>
    <w:p w14:paraId="302D81EF"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2.2. Comprehensive Scope: The Services to be rendered by the Service Provider shall encompass, without limitation, the complete lifecycle of the Project, including requirement analysis, system design and architecture, UI/UX design, software development, coding, integration of modules, testing, deployment, user training, and post-launch support and maintenance.</w:t>
      </w:r>
    </w:p>
    <w:p w14:paraId="5CDE74A1" w14:textId="77777777" w:rsidR="00000B4C" w:rsidRPr="00C026A1" w:rsidRDefault="00000B4C" w:rsidP="00C026A1">
      <w:pPr>
        <w:jc w:val="both"/>
        <w:rPr>
          <w:rFonts w:ascii="Times New Roman" w:hAnsi="Times New Roman" w:cs="Times New Roman"/>
          <w:sz w:val="24"/>
          <w:szCs w:val="24"/>
        </w:rPr>
      </w:pPr>
    </w:p>
    <w:p w14:paraId="2AAE8320" w14:textId="433F77AE"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lastRenderedPageBreak/>
        <w:t>2.3. Terms of Reference (TOR): The detailed technical and functional scope, project milestones, specific modules (including but not limited to the bilingual system, fee calculators, appointment booking system, and CMS), accessibility standards (WCAG 2.1 Level AA), and other project-specific requirements are exhaustively detailed in Annexure A, which is incorporated herein by reference and forms an integral part of this Agreement. The Service Provider covenants to adhere strictly to all provisions contained within Annexure A.</w:t>
      </w:r>
    </w:p>
    <w:p w14:paraId="6083C09D" w14:textId="74DF2BB8"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2.4. Change Control: Any proposed deviation, addition, or modification to the Scope of Services or Specifications must be processed through a formal Change Order. No such change shall be effective or binding unless documented in a Change Order signed by the authorized representatives of both Parties, which shall specify the change, its impact on the project timeline, and any adjustments to the consideration.</w:t>
      </w:r>
    </w:p>
    <w:p w14:paraId="2C6385B1" w14:textId="555D7F9E" w:rsidR="00000B4C" w:rsidRPr="00690123" w:rsidRDefault="00000B4C" w:rsidP="00690123">
      <w:pPr>
        <w:pStyle w:val="Heading3"/>
        <w:jc w:val="center"/>
        <w:rPr>
          <w:rFonts w:ascii="Times New Roman" w:hAnsi="Times New Roman" w:cs="Times New Roman"/>
          <w:b/>
          <w:bCs/>
          <w:sz w:val="24"/>
          <w:szCs w:val="24"/>
        </w:rPr>
      </w:pPr>
      <w:r w:rsidRPr="00C026A1">
        <w:rPr>
          <w:rFonts w:ascii="Times New Roman" w:hAnsi="Times New Roman" w:cs="Times New Roman"/>
          <w:b/>
          <w:bCs/>
          <w:sz w:val="24"/>
          <w:szCs w:val="24"/>
        </w:rPr>
        <w:t>ARTICLE 3: PROJECT GOVERNANCE AND MANAGEMENT</w:t>
      </w:r>
    </w:p>
    <w:p w14:paraId="010CA1EF"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3.1. Project Managers: Each Party shall appoint a single point of contact (“Project Manager”) who shall be responsible for overseeing the execution of this Agreement, facilitating communication, and possessing the authority to make operational decisions. The initial Project Managers are:</w:t>
      </w:r>
    </w:p>
    <w:p w14:paraId="4ACF1CED" w14:textId="33E80FB6"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For the Company: Sandip Thapa,</w:t>
      </w:r>
    </w:p>
    <w:p w14:paraId="294E348D" w14:textId="309D260F"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For the Service Provider: Saral Dulal,</w:t>
      </w:r>
    </w:p>
    <w:p w14:paraId="31AE5E57" w14:textId="17C9DCCD"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3.2. Progress Reporting: The Service Provider shall furnish the Company with written progress reports on a weekly basis, or as otherwise reasonably requested by the Company. Such reports shall detail the work completed, milestones achieved, issues encountered, and the plan for the subsequent reporting period.</w:t>
      </w:r>
    </w:p>
    <w:p w14:paraId="6D8B0C98" w14:textId="7EF5A7FD"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3.3. Access and Cooperation: The Company shall provide the Service Provider with timely access to necessary information, content (in both English and Nepali), calculator methodologies, branding materials, and personnel as may be reasonably required for the performance of the Services. The Company’s failure to do so may result in an equitable adjustment of the project timeline.</w:t>
      </w:r>
    </w:p>
    <w:p w14:paraId="622AD4F3" w14:textId="313A872D" w:rsidR="00000B4C" w:rsidRPr="00690123" w:rsidRDefault="00000B4C" w:rsidP="00690123">
      <w:pPr>
        <w:pStyle w:val="Heading3"/>
        <w:jc w:val="center"/>
        <w:rPr>
          <w:rFonts w:ascii="Times New Roman" w:hAnsi="Times New Roman" w:cs="Times New Roman"/>
          <w:b/>
          <w:bCs/>
          <w:sz w:val="24"/>
          <w:szCs w:val="24"/>
        </w:rPr>
      </w:pPr>
      <w:r w:rsidRPr="00C026A1">
        <w:rPr>
          <w:rFonts w:ascii="Times New Roman" w:hAnsi="Times New Roman" w:cs="Times New Roman"/>
          <w:b/>
          <w:bCs/>
          <w:sz w:val="24"/>
          <w:szCs w:val="24"/>
        </w:rPr>
        <w:t>ARTICLE 4: ACCEPTANCE AND TESTING</w:t>
      </w:r>
    </w:p>
    <w:p w14:paraId="2B89892F" w14:textId="362865A9"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4.1. Testing: Prior to delivery, the Service Provider shall conduct comprehensive internal quality assurance and testing of all Deliverables to ensure their conformity with the Acceptance Criteria and Specifications.</w:t>
      </w:r>
    </w:p>
    <w:p w14:paraId="50D15C51" w14:textId="5FE30EF6"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4.2. User Acceptance Testing (UAT): Upon the Service Provider’s written notification that a Deliverable is ready for review, the Company shall have a period of five (5) Business Days (“UAT Period”) to conduct User Acceptance Testing.</w:t>
      </w:r>
    </w:p>
    <w:p w14:paraId="0ACF5E1B"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4.3. Acceptance or Rejection: Within the UAT Period, the Company shall provide the Service Provider with written notice of either:</w:t>
      </w:r>
    </w:p>
    <w:p w14:paraId="5059DAA5"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a. Acceptance: Unconditional acceptance of the Deliverable.</w:t>
      </w:r>
    </w:p>
    <w:p w14:paraId="1E18BBB8" w14:textId="46D0DF48"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b. Rejection: A detailed written statement identifying with specificity any non-conformities or failures to meet the Acceptance Criteria (“Defects”).</w:t>
      </w:r>
    </w:p>
    <w:p w14:paraId="5D6167E6" w14:textId="0821E77E"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lastRenderedPageBreak/>
        <w:t>4.4. Defect Rectification: In the event of a rejection, the Service Provider shall use all commercially reasonable efforts to rectify the identified Defects at its own expense and resubmit the Deliverable for a further UAT Period of three (3) Business Days. This process shall repeat until the Deliverable is accepted.</w:t>
      </w:r>
    </w:p>
    <w:p w14:paraId="59E5F7EA" w14:textId="17BA7A1C"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4.5. Deemed Acceptance: If the Company fails to provide a notice of acceptance or rejection within the stipulated UAT Period, the Deliverable shall be deemed to have been irrevocably accepted.</w:t>
      </w:r>
    </w:p>
    <w:p w14:paraId="3D4F921C" w14:textId="67EB3386" w:rsidR="00000B4C" w:rsidRPr="00C026A1" w:rsidRDefault="00000B4C" w:rsidP="00C026A1">
      <w:pPr>
        <w:pStyle w:val="Heading3"/>
        <w:jc w:val="center"/>
        <w:rPr>
          <w:rFonts w:ascii="Times New Roman" w:hAnsi="Times New Roman" w:cs="Times New Roman"/>
          <w:b/>
          <w:bCs/>
          <w:sz w:val="24"/>
          <w:szCs w:val="24"/>
        </w:rPr>
      </w:pPr>
      <w:r w:rsidRPr="00C026A1">
        <w:rPr>
          <w:rFonts w:ascii="Times New Roman" w:hAnsi="Times New Roman" w:cs="Times New Roman"/>
          <w:b/>
          <w:bCs/>
          <w:sz w:val="24"/>
          <w:szCs w:val="24"/>
        </w:rPr>
        <w:t>ARTICLE 5: CONSIDERATION, INVOICING, AND PAYMENT</w:t>
      </w:r>
    </w:p>
    <w:p w14:paraId="471F5036" w14:textId="4524941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5.1. Total Consideration: In full and final consideration for the satisfactory performance of the Services and the unconditional assignment of all Intellectual Property Rights in the Deliverables to the Company, the Company shall pay to the Service Provider a total fixed sum of NPR 23,000/- (In Words: Nepalese Rupees Twenty-Three Thousand Only) (the “Total Consideration”).</w:t>
      </w:r>
      <w:r w:rsidR="00CA14C4" w:rsidRPr="00C026A1">
        <w:rPr>
          <w:rFonts w:ascii="Times New Roman" w:hAnsi="Times New Roman" w:cs="Times New Roman"/>
          <w:sz w:val="24"/>
          <w:szCs w:val="24"/>
        </w:rPr>
        <w:t xml:space="preserve"> This Total Consideration is inclusive of all applicable taxes, including but not limited to Value Added Tax (VAT).</w:t>
      </w:r>
    </w:p>
    <w:p w14:paraId="1755079A"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5.2. Payment Schedule: The Total Consideration shall be payable in accordance with the following schedule:</w:t>
      </w:r>
    </w:p>
    <w:p w14:paraId="34116C92"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a. Advance Payment: Thirty-Three Percent (33%) of the Total Consideration, amounting to NPR 7,590/-, shall be due and payable upon the execution of this Agreement.</w:t>
      </w:r>
    </w:p>
    <w:p w14:paraId="71DA5B82" w14:textId="5B0B9D6C"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b. Final Payment: The remaining Sixty-Seven Percent (67%) of the Total Consideration, amounting to NPR 15,410/-, shall be due and payable within seven (7) Business Days following the final acceptance of all Deliverables by the Company pursuant to Article 4.</w:t>
      </w:r>
    </w:p>
    <w:p w14:paraId="228CD8A0" w14:textId="67A331D7" w:rsidR="000729DC" w:rsidRPr="00C026A1" w:rsidRDefault="00CA14C4" w:rsidP="00C026A1">
      <w:pPr>
        <w:jc w:val="both"/>
        <w:rPr>
          <w:rFonts w:ascii="Times New Roman" w:hAnsi="Times New Roman" w:cs="Times New Roman"/>
          <w:sz w:val="24"/>
          <w:szCs w:val="24"/>
        </w:rPr>
      </w:pPr>
      <w:r w:rsidRPr="00C026A1">
        <w:rPr>
          <w:rFonts w:ascii="Times New Roman" w:hAnsi="Times New Roman" w:cs="Times New Roman"/>
          <w:sz w:val="24"/>
          <w:szCs w:val="24"/>
        </w:rPr>
        <w:t>5.3. Invoicing: The Service Provider shall submit a valid PAN/VAT invoice to the Company for each payment installment. The total amount on any invoice, including any stated VAT, shall not exceed the respective installment amount specified in Article 5.2.</w:t>
      </w:r>
    </w:p>
    <w:p w14:paraId="2AC26E87" w14:textId="2D60A357" w:rsidR="00000B4C" w:rsidRPr="00C026A1" w:rsidRDefault="00B666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5.4. Taxes and Deductions: The Total Consideration is inclusive of all applicable taxes, including but not limited to Value Added Tax (VAT). The Company shall deduct and withhold Tax Deducted at Source (TDS) from all payments due to the Service Provider as legally required under the Income Tax Act, 2058 (2002). The Service Provider acknowledges that such TDS will be deducted from the installment payments, and the Company shall provide a valid TDS certificate for all amounts so deducted.</w:t>
      </w:r>
    </w:p>
    <w:p w14:paraId="0B2F5E23" w14:textId="7ABBFDBD" w:rsidR="00000B4C" w:rsidRPr="00C026A1" w:rsidRDefault="00000B4C" w:rsidP="00C026A1">
      <w:pPr>
        <w:pStyle w:val="Heading3"/>
        <w:jc w:val="center"/>
        <w:rPr>
          <w:rFonts w:ascii="Times New Roman" w:hAnsi="Times New Roman" w:cs="Times New Roman"/>
          <w:b/>
          <w:bCs/>
          <w:sz w:val="24"/>
          <w:szCs w:val="24"/>
        </w:rPr>
      </w:pPr>
      <w:r w:rsidRPr="00C026A1">
        <w:rPr>
          <w:rFonts w:ascii="Times New Roman" w:hAnsi="Times New Roman" w:cs="Times New Roman"/>
          <w:b/>
          <w:bCs/>
          <w:sz w:val="24"/>
          <w:szCs w:val="24"/>
        </w:rPr>
        <w:t>ARTICLE 6: REPRESENTATIONS AND WARRANTIES</w:t>
      </w:r>
    </w:p>
    <w:p w14:paraId="333B11D3"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6.1. Mutual Warranties: Each Party represents and warrants to the other that:</w:t>
      </w:r>
    </w:p>
    <w:p w14:paraId="7C279A1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a. It is a company duly organized, validly existing, and in good standing under the laws of Nepal.</w:t>
      </w:r>
    </w:p>
    <w:p w14:paraId="1650700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b. It has the full corporate power and authority to enter into this Agreement and to perform its obligations hereunder.</w:t>
      </w:r>
    </w:p>
    <w:p w14:paraId="1B0CA1B1" w14:textId="19022670"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c. The execution, delivery, and performance of this Agreement have been duly authorized by all necessary corporate action and do not and will not conflict with its articles of incorporation, bylaws, or any other agreement or instrument to which it is a party.</w:t>
      </w:r>
    </w:p>
    <w:p w14:paraId="4EA3C829"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lastRenderedPageBreak/>
        <w:t>6.2. Service Provider’s Warranties: The Service Provider further represents, warrants, and covenants to the Company that:</w:t>
      </w:r>
    </w:p>
    <w:p w14:paraId="7C42A3F5" w14:textId="404DF623"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a. Professional Standards: The Services shall be performed in a professional, diligent, and </w:t>
      </w:r>
      <w:r w:rsidR="00A3058E">
        <w:rPr>
          <w:rFonts w:ascii="Times New Roman" w:hAnsi="Times New Roman" w:cs="Times New Roman"/>
          <w:sz w:val="24"/>
          <w:szCs w:val="24"/>
        </w:rPr>
        <w:t xml:space="preserve">  </w:t>
      </w:r>
      <w:r w:rsidRPr="00C026A1">
        <w:rPr>
          <w:rFonts w:ascii="Times New Roman" w:hAnsi="Times New Roman" w:cs="Times New Roman"/>
          <w:sz w:val="24"/>
          <w:szCs w:val="24"/>
        </w:rPr>
        <w:t>workmanlike manner, consistent with the highest prevailing industry standards and practices.</w:t>
      </w:r>
    </w:p>
    <w:p w14:paraId="2398F0C1"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b. Conformity: The Deliverables will be free from material defects in design and workmanship and will conform in all material respects to the Specifications outlined in Annexure A for a period of one (1) year following final acceptance (“Warranty Period”).</w:t>
      </w:r>
    </w:p>
    <w:p w14:paraId="3D58F49B"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c. Non-Infringement: The Deliverables and the performance of the Services will not infringe, misappropriate, or violate any Intellectual Property Right or any other proprietary right of any third party.</w:t>
      </w:r>
    </w:p>
    <w:p w14:paraId="18ACA5A5"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d. Original Work: All work product comprising the Deliverables shall be the original work of the Service Provider and its authorized personnel.</w:t>
      </w:r>
    </w:p>
    <w:p w14:paraId="325B5B6C"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e. No Malicious Code: The Deliverables shall be free of any Malicious Code at the time of delivery.</w:t>
      </w:r>
    </w:p>
    <w:p w14:paraId="01AAAA2B" w14:textId="02894406"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f. Compliance with Laws: It shall comply with all Applicable Laws in the performance of its obligations under this Agreement.</w:t>
      </w:r>
    </w:p>
    <w:p w14:paraId="6D1B7AB8" w14:textId="67034988" w:rsidR="00000B4C" w:rsidRPr="00C026A1" w:rsidRDefault="00000B4C" w:rsidP="00C026A1">
      <w:pPr>
        <w:pStyle w:val="Heading3"/>
        <w:jc w:val="center"/>
        <w:rPr>
          <w:rFonts w:ascii="Times New Roman" w:hAnsi="Times New Roman" w:cs="Times New Roman"/>
          <w:b/>
          <w:bCs/>
          <w:sz w:val="24"/>
          <w:szCs w:val="24"/>
        </w:rPr>
      </w:pPr>
      <w:r w:rsidRPr="00C026A1">
        <w:rPr>
          <w:rFonts w:ascii="Times New Roman" w:hAnsi="Times New Roman" w:cs="Times New Roman"/>
          <w:b/>
          <w:bCs/>
          <w:sz w:val="24"/>
          <w:szCs w:val="24"/>
        </w:rPr>
        <w:t>ARTICLE 7: INTELLECTUAL PROPERTY RIGHTS</w:t>
      </w:r>
    </w:p>
    <w:p w14:paraId="76B2E524" w14:textId="0428DED3"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7.1. Ownership: It is expressly agreed that all Deliverables constitute a “work made for hire” for the Company. All Intellectual Property Rights in and to the Deliverables, in any stage of development, shall be the sole and exclusive property of the Company from the moment of their creation.</w:t>
      </w:r>
    </w:p>
    <w:p w14:paraId="4D9B6AB2" w14:textId="6F66F9D9"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7.2. Assignment: To the extent that any right, title, or interest in the Deliverables does not automatically vest in the Company as a work made for hire, the Service Provider hereby irrevocably assigns, transfers, and conveys to the Company, its successors, and assigns, all of its right, title, and interest worldwide in and to the Deliverables, without any further consideration.</w:t>
      </w:r>
    </w:p>
    <w:p w14:paraId="1B1212BC" w14:textId="2EF8E4CC"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7.3. Further Assurances: The Service Provider agrees to execute any and all such further documents and take all such further actions as the Company may reasonably request to perfect, register, or enforce the Company’s ownership of the Intellectual Property Rights in the Deliverables.</w:t>
      </w:r>
    </w:p>
    <w:p w14:paraId="6E97C150" w14:textId="1D6E3D0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7.4. Pre-Existing IPR: The Service Provider shall retain ownership of its pre-existing tools, software, methodologies, and know-how (“Pre-Existing IPR”). To the extent any Pre-Existing IPR is incorporated into the Deliverables, the Service Provider hereby grants the Company a perpetual, royalty-free, non-exclusive, worldwide, irrevocable license to use, reproduce, modify, and create derivative works of such Pre-Existing IPR solely as necessary for the Company’s use and exploitation of the Deliverables.</w:t>
      </w:r>
    </w:p>
    <w:p w14:paraId="048AC968" w14:textId="292803FF" w:rsidR="00000B4C" w:rsidRPr="00C026A1" w:rsidRDefault="00000B4C" w:rsidP="00C026A1">
      <w:pPr>
        <w:pStyle w:val="Heading3"/>
        <w:jc w:val="center"/>
        <w:rPr>
          <w:rFonts w:ascii="Times New Roman" w:hAnsi="Times New Roman" w:cs="Times New Roman"/>
          <w:b/>
          <w:bCs/>
          <w:sz w:val="24"/>
          <w:szCs w:val="24"/>
        </w:rPr>
      </w:pPr>
      <w:r w:rsidRPr="00C026A1">
        <w:rPr>
          <w:rFonts w:ascii="Times New Roman" w:hAnsi="Times New Roman" w:cs="Times New Roman"/>
          <w:b/>
          <w:bCs/>
          <w:sz w:val="24"/>
          <w:szCs w:val="24"/>
        </w:rPr>
        <w:lastRenderedPageBreak/>
        <w:t>ARTICLE 8: CONFIDENTIALITY AND DATA PROTECTION</w:t>
      </w:r>
    </w:p>
    <w:p w14:paraId="231A87F9" w14:textId="7F2E07ED"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8.1. Obligation of Confidentiality: The Receiving Party shall hold all Confidential Information of the Disclosing Party in the strictest confidence and shall not, without the prior written consent of the Disclosing Party, disclose such information to any third party or use it for any purpose other than the performance of this Agreement.</w:t>
      </w:r>
    </w:p>
    <w:p w14:paraId="4A40B67C" w14:textId="23F31B71"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8.2. Standard of Care: The Receiving Party shall protect the Confidential Information using the same degree of care, but in no event less than a reasonable degree of care, as it uses to protect its own confidential information of a similar nature.</w:t>
      </w:r>
    </w:p>
    <w:p w14:paraId="7B96A398" w14:textId="407079C5"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8.3. Exclusions: The obligations under this Article shall not apply to information that: (a) is or becomes publicly known through no wrongful act of the Receiving Party; (b) was in the Receiving Party’s lawful possession prior to the disclosure; (c) is lawfully disclosed to the Receiving Party by a third party without restriction; or (d) is required to be disclosed by law, provided the Receiving Party gives the Disclosing Party prompt written notice of such requirement.</w:t>
      </w:r>
    </w:p>
    <w:p w14:paraId="205508D0" w14:textId="35FC4B7D"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8.4. Return of Information: Upon termination of this Agreement or upon the Disclosing Party’s written request, the Receiving Party shall promptly return or, at the Disclosing Party’s option, permanently destroy all materials containing Confidential Information.</w:t>
      </w:r>
    </w:p>
    <w:p w14:paraId="1D7F2705" w14:textId="2AE8DAD8"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8.5. Survival: The obligations of confidentiality set forth in this Article shall survive the termination or expiration of this Agreement for a period of five (5) years.</w:t>
      </w:r>
    </w:p>
    <w:p w14:paraId="1128E3DA" w14:textId="4220618B" w:rsidR="00000B4C" w:rsidRPr="00C026A1" w:rsidRDefault="00000B4C" w:rsidP="00C026A1">
      <w:pPr>
        <w:pStyle w:val="Heading3"/>
        <w:jc w:val="center"/>
        <w:rPr>
          <w:rFonts w:ascii="Times New Roman" w:hAnsi="Times New Roman" w:cs="Times New Roman"/>
          <w:b/>
          <w:bCs/>
          <w:sz w:val="24"/>
          <w:szCs w:val="24"/>
        </w:rPr>
      </w:pPr>
      <w:r w:rsidRPr="00C026A1">
        <w:rPr>
          <w:rFonts w:ascii="Times New Roman" w:hAnsi="Times New Roman" w:cs="Times New Roman"/>
          <w:b/>
          <w:bCs/>
          <w:sz w:val="24"/>
          <w:szCs w:val="24"/>
        </w:rPr>
        <w:t>ARTICLE 9: INDEMNIFICATION</w:t>
      </w:r>
    </w:p>
    <w:p w14:paraId="68B9CE53"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9.1. Indemnity by Service Provider: The Service Provider shall indemnify, defend, and hold harmless the Company, its Affiliates, directors, officers, and employees from and against any and all claims, demands, losses, damages, liabilities, costs, and expenses (including reasonable attorneys’ fees) arising out of or in connection with:</w:t>
      </w:r>
    </w:p>
    <w:p w14:paraId="3B2D45D5"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a. Any breach of the representations, warranties, or covenants made by the Service Provider in this Agreement.</w:t>
      </w:r>
    </w:p>
    <w:p w14:paraId="52DCC3A3"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b. Any claim that the Deliverables or Services infringe upon the Intellectual Property Rights of any third party.</w:t>
      </w:r>
    </w:p>
    <w:p w14:paraId="06F181F6" w14:textId="6F4AD980"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c. Any act of gross negligence or willful misconduct by the Service Provider or its personnel.</w:t>
      </w:r>
    </w:p>
    <w:p w14:paraId="63BB9D9C" w14:textId="2586F2B2"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9.2. Procedure: The Company shall provide the Service Provider with prompt written notice of any claim for which indemnification is sought, and shall cooperate with the Service Provider in the defense of such claim. The Service Provider shall have the right to control the defense and settlement of any such claim, provided that it shall not settle any claim without the Company’s prior written consent, which shall not be unreasonably withheld.</w:t>
      </w:r>
    </w:p>
    <w:p w14:paraId="4F8C62B0" w14:textId="45195F6B" w:rsidR="00000B4C" w:rsidRPr="00C026A1" w:rsidRDefault="00000B4C" w:rsidP="00C026A1">
      <w:pPr>
        <w:pStyle w:val="Heading3"/>
        <w:jc w:val="center"/>
        <w:rPr>
          <w:rFonts w:ascii="Times New Roman" w:hAnsi="Times New Roman" w:cs="Times New Roman"/>
          <w:b/>
          <w:bCs/>
          <w:sz w:val="24"/>
          <w:szCs w:val="24"/>
        </w:rPr>
      </w:pPr>
      <w:r w:rsidRPr="00C026A1">
        <w:rPr>
          <w:rFonts w:ascii="Times New Roman" w:hAnsi="Times New Roman" w:cs="Times New Roman"/>
          <w:b/>
          <w:bCs/>
          <w:sz w:val="24"/>
          <w:szCs w:val="24"/>
        </w:rPr>
        <w:t>ARTICLE 10: LIMITATION OF LIABILITY</w:t>
      </w:r>
    </w:p>
    <w:p w14:paraId="031FC336" w14:textId="641D614F"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10.1. Exclusion of Indirect Damages: E</w:t>
      </w:r>
      <w:r w:rsidR="008A713C">
        <w:rPr>
          <w:rFonts w:ascii="Times New Roman" w:hAnsi="Times New Roman" w:cs="Times New Roman"/>
          <w:sz w:val="24"/>
          <w:szCs w:val="24"/>
        </w:rPr>
        <w:t xml:space="preserve">xcept for a breach of a article </w:t>
      </w:r>
      <w:r w:rsidRPr="00C026A1">
        <w:rPr>
          <w:rFonts w:ascii="Times New Roman" w:hAnsi="Times New Roman" w:cs="Times New Roman"/>
          <w:sz w:val="24"/>
          <w:szCs w:val="24"/>
        </w:rPr>
        <w:t xml:space="preserve"> (</w:t>
      </w:r>
      <w:r w:rsidR="008A713C">
        <w:rPr>
          <w:rFonts w:ascii="Times New Roman" w:hAnsi="Times New Roman" w:cs="Times New Roman"/>
          <w:sz w:val="24"/>
          <w:szCs w:val="24"/>
        </w:rPr>
        <w:t>confidentiality</w:t>
      </w:r>
      <w:r w:rsidRPr="00C026A1">
        <w:rPr>
          <w:rFonts w:ascii="Times New Roman" w:hAnsi="Times New Roman" w:cs="Times New Roman"/>
          <w:sz w:val="24"/>
          <w:szCs w:val="24"/>
        </w:rPr>
        <w:t xml:space="preserve">), </w:t>
      </w:r>
      <w:r w:rsidR="008A713C">
        <w:rPr>
          <w:rFonts w:ascii="Times New Roman" w:hAnsi="Times New Roman" w:cs="Times New Roman"/>
          <w:sz w:val="24"/>
          <w:szCs w:val="24"/>
        </w:rPr>
        <w:t xml:space="preserve">or obligation under article 9 (indemnification) related to third-party </w:t>
      </w:r>
      <w:r w:rsidRPr="00C026A1">
        <w:rPr>
          <w:rFonts w:ascii="Times New Roman" w:hAnsi="Times New Roman" w:cs="Times New Roman"/>
          <w:sz w:val="24"/>
          <w:szCs w:val="24"/>
        </w:rPr>
        <w:t xml:space="preserve">IPR </w:t>
      </w:r>
      <w:r w:rsidR="008A713C">
        <w:rPr>
          <w:rFonts w:ascii="Times New Roman" w:hAnsi="Times New Roman" w:cs="Times New Roman"/>
          <w:sz w:val="24"/>
          <w:szCs w:val="24"/>
        </w:rPr>
        <w:t xml:space="preserve"> infringement claims</w:t>
      </w:r>
      <w:r w:rsidRPr="00C026A1">
        <w:rPr>
          <w:rFonts w:ascii="Times New Roman" w:hAnsi="Times New Roman" w:cs="Times New Roman"/>
          <w:sz w:val="24"/>
          <w:szCs w:val="24"/>
        </w:rPr>
        <w:t>,</w:t>
      </w:r>
      <w:r w:rsidR="008A713C">
        <w:rPr>
          <w:rFonts w:ascii="Times New Roman" w:hAnsi="Times New Roman" w:cs="Times New Roman"/>
          <w:sz w:val="24"/>
          <w:szCs w:val="24"/>
        </w:rPr>
        <w:t xml:space="preserve"> in no event shall either party be liable to the other for any indirect,</w:t>
      </w:r>
      <w:r w:rsidRPr="00C026A1">
        <w:rPr>
          <w:rFonts w:ascii="Times New Roman" w:hAnsi="Times New Roman" w:cs="Times New Roman"/>
          <w:sz w:val="24"/>
          <w:szCs w:val="24"/>
        </w:rPr>
        <w:t xml:space="preserve"> </w:t>
      </w:r>
      <w:r w:rsidR="008A713C">
        <w:rPr>
          <w:rFonts w:ascii="Times New Roman" w:hAnsi="Times New Roman" w:cs="Times New Roman"/>
          <w:sz w:val="24"/>
          <w:szCs w:val="24"/>
        </w:rPr>
        <w:t>incidental, special,</w:t>
      </w:r>
      <w:r w:rsidRPr="00C026A1">
        <w:rPr>
          <w:rFonts w:ascii="Times New Roman" w:hAnsi="Times New Roman" w:cs="Times New Roman"/>
          <w:sz w:val="24"/>
          <w:szCs w:val="24"/>
        </w:rPr>
        <w:t xml:space="preserve"> </w:t>
      </w:r>
      <w:r w:rsidR="008A713C">
        <w:rPr>
          <w:rFonts w:ascii="Times New Roman" w:hAnsi="Times New Roman" w:cs="Times New Roman"/>
          <w:sz w:val="24"/>
          <w:szCs w:val="24"/>
        </w:rPr>
        <w:t xml:space="preserve">consequential, or </w:t>
      </w:r>
      <w:r w:rsidR="008A713C">
        <w:rPr>
          <w:rFonts w:ascii="Times New Roman" w:hAnsi="Times New Roman" w:cs="Times New Roman"/>
          <w:sz w:val="24"/>
          <w:szCs w:val="24"/>
        </w:rPr>
        <w:lastRenderedPageBreak/>
        <w:t>punitive damages (including, but not limited to, loss of profits, data, or business)</w:t>
      </w:r>
      <w:r w:rsidRPr="00C026A1">
        <w:rPr>
          <w:rFonts w:ascii="Times New Roman" w:hAnsi="Times New Roman" w:cs="Times New Roman"/>
          <w:sz w:val="24"/>
          <w:szCs w:val="24"/>
        </w:rPr>
        <w:t xml:space="preserve"> </w:t>
      </w:r>
      <w:r w:rsidR="008A713C">
        <w:rPr>
          <w:rFonts w:ascii="Times New Roman" w:hAnsi="Times New Roman" w:cs="Times New Roman"/>
          <w:sz w:val="24"/>
          <w:szCs w:val="24"/>
        </w:rPr>
        <w:t xml:space="preserve"> arising out of or in connection with this agreement, even if advised of the possibility of such damages. </w:t>
      </w:r>
    </w:p>
    <w:p w14:paraId="551F2ECA" w14:textId="4FAF6C1F"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10.2. Liability Cap: E</w:t>
      </w:r>
      <w:r w:rsidR="00132D5F">
        <w:rPr>
          <w:rFonts w:ascii="Times New Roman" w:hAnsi="Times New Roman" w:cs="Times New Roman"/>
          <w:sz w:val="24"/>
          <w:szCs w:val="24"/>
        </w:rPr>
        <w:t>xcept for liability arising from fraud, willful misconduct, gross negligence, or the service provider’s</w:t>
      </w:r>
      <w:r w:rsidRPr="00C026A1">
        <w:rPr>
          <w:rFonts w:ascii="Times New Roman" w:hAnsi="Times New Roman" w:cs="Times New Roman"/>
          <w:sz w:val="24"/>
          <w:szCs w:val="24"/>
        </w:rPr>
        <w:t xml:space="preserve"> </w:t>
      </w:r>
      <w:r w:rsidR="00132D5F">
        <w:rPr>
          <w:rFonts w:ascii="Times New Roman" w:hAnsi="Times New Roman" w:cs="Times New Roman"/>
          <w:sz w:val="24"/>
          <w:szCs w:val="24"/>
        </w:rPr>
        <w:t xml:space="preserve"> identification obligation under articles 9.1(b), the aggregate  liability of either party to the other under this agreement, whether in contract, trot, or otherwise  shall not exceed the total consideration paid or payable to the service provider hereunder.</w:t>
      </w:r>
    </w:p>
    <w:p w14:paraId="0CF2FB92" w14:textId="5C8BF157" w:rsidR="00000B4C" w:rsidRPr="00690123" w:rsidRDefault="00000B4C" w:rsidP="00690123">
      <w:pPr>
        <w:pStyle w:val="Heading3"/>
        <w:jc w:val="center"/>
        <w:rPr>
          <w:rFonts w:ascii="Times New Roman" w:hAnsi="Times New Roman" w:cs="Times New Roman"/>
          <w:b/>
          <w:bCs/>
          <w:sz w:val="24"/>
          <w:szCs w:val="24"/>
        </w:rPr>
      </w:pPr>
      <w:r w:rsidRPr="00466B1B">
        <w:rPr>
          <w:rFonts w:ascii="Times New Roman" w:hAnsi="Times New Roman" w:cs="Times New Roman"/>
          <w:b/>
          <w:bCs/>
          <w:sz w:val="24"/>
          <w:szCs w:val="24"/>
        </w:rPr>
        <w:t>ARTICLE 11: TERM AND TERMINATION</w:t>
      </w:r>
    </w:p>
    <w:p w14:paraId="6E87508D" w14:textId="5F537AC2"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11.1. Term: This Agreement shall commence on the Effective Date (October 9, 2025) and shall continue in full force and effect until the completion of the Services and final payment, which is anticipated on or before October 31, 2025, unless terminated earlier in accordance with the provisions of this Article (the “Term”). The Warranty Period and other provisions intended to survive shall continue thereafter.</w:t>
      </w:r>
    </w:p>
    <w:p w14:paraId="582A1866"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11.2. Termination for Cause: Either Party may terminate this Agreement with immediate effect by providing written notice to the other Party if:</w:t>
      </w:r>
    </w:p>
    <w:p w14:paraId="61F6DF8A" w14:textId="672E04C8"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a. The other Party commits a material breach of any term of this Agreement and fails to cure such breach within fi</w:t>
      </w:r>
      <w:r w:rsidR="00AA7CC7" w:rsidRPr="00C026A1">
        <w:rPr>
          <w:rFonts w:ascii="Times New Roman" w:hAnsi="Times New Roman" w:cs="Times New Roman"/>
          <w:sz w:val="24"/>
          <w:szCs w:val="24"/>
        </w:rPr>
        <w:t>ve</w:t>
      </w:r>
      <w:r w:rsidRPr="00C026A1">
        <w:rPr>
          <w:rFonts w:ascii="Times New Roman" w:hAnsi="Times New Roman" w:cs="Times New Roman"/>
          <w:sz w:val="24"/>
          <w:szCs w:val="24"/>
        </w:rPr>
        <w:t xml:space="preserve"> (5) days of receiving written notice specifying the breach.</w:t>
      </w:r>
    </w:p>
    <w:p w14:paraId="7F2A20E4" w14:textId="20995E63"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b. The other Party becomes insolvent, makes a general assignment for the benefit of creditors, or files for bankruptcy.</w:t>
      </w:r>
    </w:p>
    <w:p w14:paraId="4F034FAF" w14:textId="7FB68C04"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11.3. Termination for Convenience: The Company may terminate this Agreement for any reason or no reason upon providing </w:t>
      </w:r>
      <w:r w:rsidR="00AA7CC7" w:rsidRPr="00C026A1">
        <w:rPr>
          <w:rFonts w:ascii="Times New Roman" w:hAnsi="Times New Roman" w:cs="Times New Roman"/>
          <w:sz w:val="24"/>
          <w:szCs w:val="24"/>
        </w:rPr>
        <w:t>five</w:t>
      </w:r>
      <w:r w:rsidRPr="00C026A1">
        <w:rPr>
          <w:rFonts w:ascii="Times New Roman" w:hAnsi="Times New Roman" w:cs="Times New Roman"/>
          <w:sz w:val="24"/>
          <w:szCs w:val="24"/>
        </w:rPr>
        <w:t xml:space="preserve"> (</w:t>
      </w:r>
      <w:r w:rsidR="00AA7CC7" w:rsidRPr="00C026A1">
        <w:rPr>
          <w:rFonts w:ascii="Times New Roman" w:hAnsi="Times New Roman" w:cs="Times New Roman"/>
          <w:sz w:val="24"/>
          <w:szCs w:val="24"/>
        </w:rPr>
        <w:t>5</w:t>
      </w:r>
      <w:r w:rsidRPr="00C026A1">
        <w:rPr>
          <w:rFonts w:ascii="Times New Roman" w:hAnsi="Times New Roman" w:cs="Times New Roman"/>
          <w:sz w:val="24"/>
          <w:szCs w:val="24"/>
        </w:rPr>
        <w:t>) Business Days’ prior written notice to the Service Provider.</w:t>
      </w:r>
    </w:p>
    <w:p w14:paraId="4D14BAF3"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11.4. Effect of Termination: Upon termination of this Agreement:</w:t>
      </w:r>
    </w:p>
    <w:p w14:paraId="2F54D5F8"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a. If terminated by the Company for convenience or by the Service Provider for the Company's breach, the Company shall pay the Service Provider for all Services performed and Deliverables completed on a pro-rata basis up to the effective date of termination.</w:t>
      </w:r>
    </w:p>
    <w:p w14:paraId="64A14ED4"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b. The Service Provider shall immediately cease all work, and shall promptly deliver to the Company all completed and partially completed Deliverables, Source Code, and all related materials in its possession.</w:t>
      </w:r>
    </w:p>
    <w:p w14:paraId="663E39C7" w14:textId="36C6C3BF"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c. The obligations under Articles 6, 7, 8, 9, 10, 13, and 14 shall survive any termination or expiration of this Agreement.</w:t>
      </w:r>
    </w:p>
    <w:p w14:paraId="30D9A606" w14:textId="025050AE" w:rsidR="00000B4C" w:rsidRPr="00466B1B" w:rsidRDefault="00000B4C" w:rsidP="00466B1B">
      <w:pPr>
        <w:pStyle w:val="Heading3"/>
        <w:jc w:val="center"/>
        <w:rPr>
          <w:rFonts w:ascii="Times New Roman" w:hAnsi="Times New Roman" w:cs="Times New Roman"/>
          <w:b/>
          <w:bCs/>
          <w:sz w:val="24"/>
          <w:szCs w:val="24"/>
        </w:rPr>
      </w:pPr>
      <w:r w:rsidRPr="00466B1B">
        <w:rPr>
          <w:rFonts w:ascii="Times New Roman" w:hAnsi="Times New Roman" w:cs="Times New Roman"/>
          <w:b/>
          <w:bCs/>
          <w:sz w:val="24"/>
          <w:szCs w:val="24"/>
        </w:rPr>
        <w:t>ARTICLE 12: FORCE MAJEURE</w:t>
      </w:r>
    </w:p>
    <w:p w14:paraId="59BF185F" w14:textId="5E33D1F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12.1. Definition: Neither Party shall be held liable for any delay or failure in performance of its obligations hereunder due to a “Force Majeure Event,” which shall mean any event beyond the reasonable control of such Party, including but not limited to acts of God, war, insurrection, civil commotion, strikes, governmental actions, earthquakes, floods, epidemics, or pandemics officially declared by the Government of Nepal.</w:t>
      </w:r>
    </w:p>
    <w:p w14:paraId="3DA2D113" w14:textId="050AD7C3"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lastRenderedPageBreak/>
        <w:t>12.2. Procedure: The Party affected by a Force Majeure Event shall notify the other Party in writing within seven (7) days of its occurrence and shall use diligent efforts to mitigate the effects of such event and resume performance as soon as practicable. If the event continues for more than thirty (30) consecutive days, the non-affected Party shall have the right to terminate this Agreement.</w:t>
      </w:r>
    </w:p>
    <w:p w14:paraId="4BE4F3C6" w14:textId="1926677F" w:rsidR="00000B4C" w:rsidRPr="00690123" w:rsidRDefault="00000B4C" w:rsidP="00690123">
      <w:pPr>
        <w:pStyle w:val="Heading3"/>
        <w:jc w:val="center"/>
        <w:rPr>
          <w:rFonts w:ascii="Times New Roman" w:hAnsi="Times New Roman" w:cs="Times New Roman"/>
          <w:b/>
          <w:bCs/>
          <w:sz w:val="24"/>
          <w:szCs w:val="24"/>
        </w:rPr>
      </w:pPr>
      <w:r w:rsidRPr="00466B1B">
        <w:rPr>
          <w:rFonts w:ascii="Times New Roman" w:hAnsi="Times New Roman" w:cs="Times New Roman"/>
          <w:b/>
          <w:bCs/>
          <w:sz w:val="24"/>
          <w:szCs w:val="24"/>
        </w:rPr>
        <w:t>ARTICLE 13: GOVERNING LAW AND DISPUTE RESOLUTION</w:t>
      </w:r>
    </w:p>
    <w:p w14:paraId="34BB10C8" w14:textId="0C0414F5"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13.1. Governing Law: This Agreement shall be governed by, construed, and enforced in accordance with the laws of Nepal without regard to its conflict of laws principles.</w:t>
      </w:r>
    </w:p>
    <w:p w14:paraId="463C174D" w14:textId="13A4A890"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13.2. Amicable Settlement: In the event of any dispute, controversy, or claim arising out of or relating to this Agreement, the Parties shall first attempt to resolve the matter amicably through good-faith negotiations between their senior management within thirty (30) days.</w:t>
      </w:r>
    </w:p>
    <w:p w14:paraId="0A56BA8B"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13.3. Arbitration: If the dispute cannot be settled amicably within the said thirty (30) day period, it shall be finally and exclusively settled by arbitration in accordance with the Arbitration Act, 2055 (1999) of Nepal.</w:t>
      </w:r>
    </w:p>
    <w:p w14:paraId="3C3F2A9B"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a. The arbitration shall be conducted by a sole arbitrator mutually appointed by the Parties.</w:t>
      </w:r>
    </w:p>
    <w:p w14:paraId="5E525A6B"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b. The seat of arbitration shall be Kathmandu, Nepal.</w:t>
      </w:r>
    </w:p>
    <w:p w14:paraId="18639A1C" w14:textId="3A6C7BB6"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c. The language of the arbitration shall be </w:t>
      </w:r>
      <w:r w:rsidR="00AA7CC7" w:rsidRPr="00C026A1">
        <w:rPr>
          <w:rFonts w:ascii="Times New Roman" w:hAnsi="Times New Roman" w:cs="Times New Roman"/>
          <w:sz w:val="24"/>
          <w:szCs w:val="24"/>
        </w:rPr>
        <w:t>Nepali</w:t>
      </w:r>
      <w:r w:rsidRPr="00C026A1">
        <w:rPr>
          <w:rFonts w:ascii="Times New Roman" w:hAnsi="Times New Roman" w:cs="Times New Roman"/>
          <w:sz w:val="24"/>
          <w:szCs w:val="24"/>
        </w:rPr>
        <w:t>.</w:t>
      </w:r>
    </w:p>
    <w:p w14:paraId="066675E7" w14:textId="715D384B"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d. The arbitral award shall be final and binding upon the Parties, and judgment upon the award may be entered in any court having jurisdiction thereof.</w:t>
      </w:r>
    </w:p>
    <w:p w14:paraId="5EC4794A" w14:textId="2EE36093"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13.4. Jurisdiction: Subject to the arbitration clause above, the Parties hereby submit to the exclusive jurisdiction of the competent courts in Kathmandu, Nepal.</w:t>
      </w:r>
    </w:p>
    <w:p w14:paraId="3E18501C" w14:textId="20458830" w:rsidR="00000B4C" w:rsidRPr="00690123" w:rsidRDefault="00000B4C" w:rsidP="00690123">
      <w:pPr>
        <w:pStyle w:val="Heading3"/>
        <w:jc w:val="center"/>
        <w:rPr>
          <w:rFonts w:ascii="Times New Roman" w:hAnsi="Times New Roman" w:cs="Times New Roman"/>
          <w:b/>
          <w:bCs/>
          <w:sz w:val="24"/>
          <w:szCs w:val="24"/>
        </w:rPr>
      </w:pPr>
      <w:r w:rsidRPr="00466B1B">
        <w:rPr>
          <w:rFonts w:ascii="Times New Roman" w:hAnsi="Times New Roman" w:cs="Times New Roman"/>
          <w:b/>
          <w:bCs/>
          <w:sz w:val="24"/>
          <w:szCs w:val="24"/>
        </w:rPr>
        <w:t>ARTICLE 14: MISCELLANEOUS PROVISIONS</w:t>
      </w:r>
    </w:p>
    <w:p w14:paraId="5D66C2AA" w14:textId="63FCAD15"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14.1. Relationship of Parties: The relationship between the Parties is that of independent contractors. Nothing in this Agreement shall be construed to create a partnership, joint venture, agency, or employment relationship.</w:t>
      </w:r>
    </w:p>
    <w:p w14:paraId="1AE545C3" w14:textId="6F88FBFB"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14.2. Notices: Any notice or other communication required or permitted hereunder shall be in writing and shall be deemed to have been duly given when delivered personally, sent by registered post, or by electronic mail to the addresses specified at the beginning of this Agreement.</w:t>
      </w:r>
    </w:p>
    <w:p w14:paraId="12EA9496" w14:textId="7537C7F6"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14.3. Entire Agreement: This Agreement, together with its Annexure, constitutes the entire agreement and understanding between the Parties with respect to the subject matter hereof and supersedes all prior oral or written agreements, negotiations, and discussions.</w:t>
      </w:r>
    </w:p>
    <w:p w14:paraId="28020746" w14:textId="77FF2B44"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14.4. Amendment and Waiver: No amendment, modification, or waiver of any provision of this Agreement shall be valid unless in writing and signed by the duly authorized representatives of both Parties. The failure of either Party to enforce any right or provision shall not constitute a waiver of such right or provision.</w:t>
      </w:r>
    </w:p>
    <w:p w14:paraId="0672D9F7" w14:textId="132BB622"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lastRenderedPageBreak/>
        <w:t>14.5. Assignment: Neither Party shall assign or transfer any of its rights or obligations under this Agreement without the prior written consent of the other Party, which consent shall not be unreasonably withheld.</w:t>
      </w:r>
    </w:p>
    <w:p w14:paraId="1DE0A83D" w14:textId="0EF6F585"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14.6. Severability: If any provision of this Agreement is held to be invalid, illegal, or unenforceable by a court of competent jurisdiction, the validity, legality, and enforceability of the remaining provisions shall not in any way be affected or impaired thereby.</w:t>
      </w:r>
    </w:p>
    <w:p w14:paraId="60507D36" w14:textId="3335A784"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14.7. Counterparts: This Agreement may be executed in two or more counterparts, each of which shall be deemed an original, but all of which together shall constitute one and the same instrument.</w:t>
      </w:r>
    </w:p>
    <w:p w14:paraId="5EC3EC1A" w14:textId="3E80BE57" w:rsidR="00000B4C" w:rsidRPr="00C026A1" w:rsidRDefault="000729DC" w:rsidP="00C026A1">
      <w:pPr>
        <w:jc w:val="both"/>
        <w:rPr>
          <w:rFonts w:ascii="Times New Roman" w:hAnsi="Times New Roman" w:cs="Times New Roman"/>
          <w:sz w:val="24"/>
          <w:szCs w:val="24"/>
        </w:rPr>
      </w:pPr>
      <w:r w:rsidRPr="00C026A1">
        <w:rPr>
          <w:rFonts w:ascii="Times New Roman" w:hAnsi="Times New Roman" w:cs="Times New Roman"/>
          <w:sz w:val="24"/>
          <w:szCs w:val="24"/>
        </w:rPr>
        <w:t>T</w:t>
      </w:r>
      <w:r w:rsidR="00000B4C" w:rsidRPr="00C026A1">
        <w:rPr>
          <w:rFonts w:ascii="Times New Roman" w:hAnsi="Times New Roman" w:cs="Times New Roman"/>
          <w:sz w:val="24"/>
          <w:szCs w:val="24"/>
        </w:rPr>
        <w:t>he Parties hereto, through their duly authorized representatives, have executed this Master Service Agreement as of the Effective Date first above written.</w:t>
      </w:r>
    </w:p>
    <w:p w14:paraId="5E429A5F" w14:textId="77777777" w:rsidR="00690123" w:rsidRDefault="00690123" w:rsidP="00C026A1">
      <w:pPr>
        <w:jc w:val="both"/>
        <w:rPr>
          <w:rFonts w:ascii="Times New Roman" w:hAnsi="Times New Roman" w:cs="Times New Roman"/>
          <w:sz w:val="24"/>
          <w:szCs w:val="24"/>
        </w:rPr>
      </w:pPr>
    </w:p>
    <w:p w14:paraId="0F971A2D" w14:textId="2510AE1B" w:rsidR="00000B4C" w:rsidRPr="00C026A1" w:rsidRDefault="00466B1B" w:rsidP="00C026A1">
      <w:pPr>
        <w:jc w:val="both"/>
        <w:rPr>
          <w:rFonts w:ascii="Times New Roman" w:hAnsi="Times New Roman" w:cs="Times New Roman"/>
          <w:sz w:val="24"/>
          <w:szCs w:val="24"/>
        </w:rPr>
      </w:pPr>
      <w:r w:rsidRPr="00466B1B">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0DC927B2" wp14:editId="12D34139">
                <wp:simplePos x="0" y="0"/>
                <wp:positionH relativeFrom="column">
                  <wp:posOffset>3054350</wp:posOffset>
                </wp:positionH>
                <wp:positionV relativeFrom="paragraph">
                  <wp:posOffset>5715</wp:posOffset>
                </wp:positionV>
                <wp:extent cx="3346450" cy="2482850"/>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0" cy="2482850"/>
                        </a:xfrm>
                        <a:prstGeom prst="rect">
                          <a:avLst/>
                        </a:prstGeom>
                        <a:solidFill>
                          <a:srgbClr val="FFFFFF"/>
                        </a:solidFill>
                        <a:ln w="9525">
                          <a:noFill/>
                          <a:miter lim="800000"/>
                          <a:headEnd/>
                          <a:tailEnd/>
                        </a:ln>
                      </wps:spPr>
                      <wps:txbx>
                        <w:txbxContent>
                          <w:p w14:paraId="4E8F8793" w14:textId="3970D236" w:rsidR="00466B1B" w:rsidRPr="00C026A1"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Pr="00C026A1">
                              <w:rPr>
                                <w:rFonts w:ascii="Times New Roman" w:hAnsi="Times New Roman" w:cs="Times New Roman"/>
                                <w:sz w:val="24"/>
                                <w:szCs w:val="24"/>
                              </w:rPr>
                              <w:t>FOR AND ON BEHALF OF:</w:t>
                            </w:r>
                          </w:p>
                          <w:p w14:paraId="045B42FD" w14:textId="3D2E96B6" w:rsidR="00466B1B" w:rsidRPr="00C026A1"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Pr="00C026A1">
                              <w:rPr>
                                <w:rFonts w:ascii="Times New Roman" w:hAnsi="Times New Roman" w:cs="Times New Roman"/>
                                <w:sz w:val="24"/>
                                <w:szCs w:val="24"/>
                              </w:rPr>
                              <w:t>Vanguard Tech Private Limited (Second Party)</w:t>
                            </w:r>
                          </w:p>
                          <w:p w14:paraId="43151BDA" w14:textId="77777777" w:rsidR="00466B1B"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p>
                          <w:p w14:paraId="24A5B227" w14:textId="77777777" w:rsidR="00690123"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p>
                          <w:p w14:paraId="3C25A5C6" w14:textId="6E2A32B0" w:rsidR="00466B1B" w:rsidRPr="00C026A1" w:rsidRDefault="00690123"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00466B1B">
                              <w:rPr>
                                <w:rFonts w:ascii="Times New Roman" w:hAnsi="Times New Roman" w:cs="Times New Roman"/>
                                <w:sz w:val="24"/>
                                <w:szCs w:val="24"/>
                              </w:rPr>
                              <w:t xml:space="preserve">  </w:t>
                            </w:r>
                            <w:r w:rsidR="00466B1B" w:rsidRPr="00C026A1">
                              <w:rPr>
                                <w:rFonts w:ascii="Times New Roman" w:hAnsi="Times New Roman" w:cs="Times New Roman"/>
                                <w:sz w:val="24"/>
                                <w:szCs w:val="24"/>
                              </w:rPr>
                              <w:t>_________________________</w:t>
                            </w:r>
                          </w:p>
                          <w:p w14:paraId="0B5569CF" w14:textId="0DB518A6" w:rsidR="00466B1B" w:rsidRPr="00C026A1"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Pr="00C026A1">
                              <w:rPr>
                                <w:rFonts w:ascii="Times New Roman" w:hAnsi="Times New Roman" w:cs="Times New Roman"/>
                                <w:sz w:val="24"/>
                                <w:szCs w:val="24"/>
                              </w:rPr>
                              <w:t>Signature</w:t>
                            </w:r>
                          </w:p>
                          <w:p w14:paraId="66C8EB9C" w14:textId="4483A1F6" w:rsidR="00466B1B" w:rsidRPr="00C026A1"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Pr="00C026A1">
                              <w:rPr>
                                <w:rFonts w:ascii="Times New Roman" w:hAnsi="Times New Roman" w:cs="Times New Roman"/>
                                <w:sz w:val="24"/>
                                <w:szCs w:val="24"/>
                              </w:rPr>
                              <w:t>Name: Himanshu Ghimire</w:t>
                            </w:r>
                          </w:p>
                          <w:p w14:paraId="4503AF77" w14:textId="469A721A" w:rsidR="00466B1B" w:rsidRPr="00C026A1"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Pr="00C026A1">
                              <w:rPr>
                                <w:rFonts w:ascii="Times New Roman" w:hAnsi="Times New Roman" w:cs="Times New Roman"/>
                                <w:sz w:val="24"/>
                                <w:szCs w:val="24"/>
                              </w:rPr>
                              <w:t>Designation: Chief Executive Officer</w:t>
                            </w:r>
                          </w:p>
                          <w:p w14:paraId="64AC447A" w14:textId="30633737" w:rsidR="00466B1B" w:rsidRDefault="00466B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DC927B2" id="_x0000_t202" coordsize="21600,21600" o:spt="202" path="m,l,21600r21600,l21600,xe">
                <v:stroke joinstyle="miter"/>
                <v:path gradientshapeok="t" o:connecttype="rect"/>
              </v:shapetype>
              <v:shape id="Text Box 2" o:spid="_x0000_s1026" type="#_x0000_t202" style="position:absolute;left:0;text-align:left;margin-left:240.5pt;margin-top:.45pt;width:263.5pt;height:19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" stroked="f">
                <v:textbox>
                  <w:txbxContent>
                    <w:p w14:paraId="4E8F8793" w14:textId="3970D236" w:rsidR="00466B1B" w:rsidRPr="00C026A1"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Pr="00C026A1">
                        <w:rPr>
                          <w:rFonts w:ascii="Times New Roman" w:hAnsi="Times New Roman" w:cs="Times New Roman"/>
                          <w:sz w:val="24"/>
                          <w:szCs w:val="24"/>
                        </w:rPr>
                        <w:t>FOR AND ON BEHALF OF:</w:t>
                      </w:r>
                    </w:p>
                    <w:p w14:paraId="045B42FD" w14:textId="3D2E96B6" w:rsidR="00466B1B" w:rsidRPr="00C026A1"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Pr="00C026A1">
                        <w:rPr>
                          <w:rFonts w:ascii="Times New Roman" w:hAnsi="Times New Roman" w:cs="Times New Roman"/>
                          <w:sz w:val="24"/>
                          <w:szCs w:val="24"/>
                        </w:rPr>
                        <w:t>Vanguard Tech Private Limited (Second Party)</w:t>
                      </w:r>
                    </w:p>
                    <w:p w14:paraId="43151BDA" w14:textId="77777777" w:rsidR="00466B1B"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p>
                    <w:p w14:paraId="24A5B227" w14:textId="77777777" w:rsidR="00690123"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p>
                    <w:p w14:paraId="3C25A5C6" w14:textId="6E2A32B0" w:rsidR="00466B1B" w:rsidRPr="00C026A1" w:rsidRDefault="00690123"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00466B1B">
                        <w:rPr>
                          <w:rFonts w:ascii="Times New Roman" w:hAnsi="Times New Roman" w:cs="Times New Roman"/>
                          <w:sz w:val="24"/>
                          <w:szCs w:val="24"/>
                        </w:rPr>
                        <w:t xml:space="preserve">  </w:t>
                      </w:r>
                      <w:r w:rsidR="00466B1B" w:rsidRPr="00C026A1">
                        <w:rPr>
                          <w:rFonts w:ascii="Times New Roman" w:hAnsi="Times New Roman" w:cs="Times New Roman"/>
                          <w:sz w:val="24"/>
                          <w:szCs w:val="24"/>
                        </w:rPr>
                        <w:t>_________________________</w:t>
                      </w:r>
                    </w:p>
                    <w:p w14:paraId="0B5569CF" w14:textId="0DB518A6" w:rsidR="00466B1B" w:rsidRPr="00C026A1"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Pr="00C026A1">
                        <w:rPr>
                          <w:rFonts w:ascii="Times New Roman" w:hAnsi="Times New Roman" w:cs="Times New Roman"/>
                          <w:sz w:val="24"/>
                          <w:szCs w:val="24"/>
                        </w:rPr>
                        <w:t>Signature</w:t>
                      </w:r>
                    </w:p>
                    <w:p w14:paraId="66C8EB9C" w14:textId="4483A1F6" w:rsidR="00466B1B" w:rsidRPr="00C026A1"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Pr="00C026A1">
                        <w:rPr>
                          <w:rFonts w:ascii="Times New Roman" w:hAnsi="Times New Roman" w:cs="Times New Roman"/>
                          <w:sz w:val="24"/>
                          <w:szCs w:val="24"/>
                        </w:rPr>
                        <w:t>Name: Himanshu Ghimire</w:t>
                      </w:r>
                    </w:p>
                    <w:p w14:paraId="4503AF77" w14:textId="469A721A" w:rsidR="00466B1B" w:rsidRPr="00C026A1" w:rsidRDefault="00466B1B" w:rsidP="00466B1B">
                      <w:pPr>
                        <w:jc w:val="both"/>
                        <w:rPr>
                          <w:rFonts w:ascii="Times New Roman" w:hAnsi="Times New Roman" w:cs="Times New Roman"/>
                          <w:sz w:val="24"/>
                          <w:szCs w:val="24"/>
                        </w:rPr>
                      </w:pPr>
                      <w:r>
                        <w:rPr>
                          <w:rFonts w:ascii="Times New Roman" w:hAnsi="Times New Roman" w:cs="Times New Roman"/>
                          <w:sz w:val="24"/>
                          <w:szCs w:val="24"/>
                        </w:rPr>
                        <w:t xml:space="preserve">     </w:t>
                      </w:r>
                      <w:r w:rsidRPr="00C026A1">
                        <w:rPr>
                          <w:rFonts w:ascii="Times New Roman" w:hAnsi="Times New Roman" w:cs="Times New Roman"/>
                          <w:sz w:val="24"/>
                          <w:szCs w:val="24"/>
                        </w:rPr>
                        <w:t>Designation: Chief Executive Officer</w:t>
                      </w:r>
                    </w:p>
                    <w:p w14:paraId="64AC447A" w14:textId="30633737" w:rsidR="00466B1B" w:rsidRDefault="00466B1B"/>
                  </w:txbxContent>
                </v:textbox>
                <w10:wrap type="square"/>
              </v:shape>
            </w:pict>
          </mc:Fallback>
        </mc:AlternateContent>
      </w:r>
      <w:r w:rsidR="00000B4C" w:rsidRPr="00C026A1">
        <w:rPr>
          <w:rFonts w:ascii="Times New Roman" w:hAnsi="Times New Roman" w:cs="Times New Roman"/>
          <w:sz w:val="24"/>
          <w:szCs w:val="24"/>
        </w:rPr>
        <w:t>FOR AND ON BEHALF OF:</w:t>
      </w:r>
    </w:p>
    <w:p w14:paraId="492CBFC2" w14:textId="78FF3689" w:rsidR="00466B1B"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Samanyayik Legal Service</w:t>
      </w:r>
      <w:r w:rsidR="00466B1B">
        <w:rPr>
          <w:rFonts w:ascii="Times New Roman" w:hAnsi="Times New Roman" w:cs="Times New Roman"/>
          <w:sz w:val="24"/>
          <w:szCs w:val="24"/>
        </w:rPr>
        <w:t xml:space="preserve">                                      </w:t>
      </w:r>
    </w:p>
    <w:p w14:paraId="0514701F" w14:textId="228FE3D6"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and Research Center Pvt. Ltd. (First Party)</w:t>
      </w:r>
    </w:p>
    <w:p w14:paraId="7644FC9B" w14:textId="77777777" w:rsidR="00690123" w:rsidRDefault="00690123" w:rsidP="00C026A1">
      <w:pPr>
        <w:jc w:val="both"/>
        <w:rPr>
          <w:rFonts w:ascii="Times New Roman" w:hAnsi="Times New Roman" w:cs="Times New Roman"/>
          <w:sz w:val="24"/>
          <w:szCs w:val="24"/>
        </w:rPr>
      </w:pPr>
    </w:p>
    <w:p w14:paraId="7C1E13F9" w14:textId="7074C33A"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____</w:t>
      </w:r>
      <w:r w:rsidR="00A3058E">
        <w:rPr>
          <w:noProof/>
        </w:rPr>
        <w:drawing>
          <wp:inline distT="0" distB="0" distL="0" distR="0" wp14:anchorId="419DAC8F" wp14:editId="3020A74D">
            <wp:extent cx="1070820" cy="495300"/>
            <wp:effectExtent l="0" t="0" r="0" b="0"/>
            <wp:docPr id="102908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6589" cy="576601"/>
                    </a:xfrm>
                    <a:prstGeom prst="rect">
                      <a:avLst/>
                    </a:prstGeom>
                    <a:noFill/>
                    <a:ln>
                      <a:noFill/>
                    </a:ln>
                  </pic:spPr>
                </pic:pic>
              </a:graphicData>
            </a:graphic>
          </wp:inline>
        </w:drawing>
      </w:r>
      <w:r w:rsidRPr="00C026A1">
        <w:rPr>
          <w:rFonts w:ascii="Times New Roman" w:hAnsi="Times New Roman" w:cs="Times New Roman"/>
          <w:sz w:val="24"/>
          <w:szCs w:val="24"/>
        </w:rPr>
        <w:t>_______________</w:t>
      </w:r>
    </w:p>
    <w:p w14:paraId="28F138EF"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Signature</w:t>
      </w:r>
    </w:p>
    <w:p w14:paraId="4921FDD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Name: Jiwan Kumar Acharya</w:t>
      </w:r>
    </w:p>
    <w:p w14:paraId="7F31DA67" w14:textId="0A483459"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Designation: Managing Director</w:t>
      </w:r>
    </w:p>
    <w:p w14:paraId="0CF05444" w14:textId="77777777" w:rsidR="00690123" w:rsidRDefault="00690123" w:rsidP="00466B1B">
      <w:pPr>
        <w:pStyle w:val="Heading3"/>
        <w:jc w:val="both"/>
        <w:rPr>
          <w:rFonts w:ascii="Times New Roman" w:hAnsi="Times New Roman" w:cs="Times New Roman"/>
          <w:sz w:val="24"/>
          <w:szCs w:val="24"/>
        </w:rPr>
      </w:pPr>
    </w:p>
    <w:p w14:paraId="1C3EBAF4" w14:textId="77777777" w:rsidR="00690123" w:rsidRDefault="00690123" w:rsidP="00466B1B">
      <w:pPr>
        <w:pStyle w:val="Heading3"/>
        <w:jc w:val="both"/>
        <w:rPr>
          <w:rFonts w:ascii="Times New Roman" w:hAnsi="Times New Roman" w:cs="Times New Roman"/>
          <w:sz w:val="24"/>
          <w:szCs w:val="24"/>
        </w:rPr>
      </w:pPr>
    </w:p>
    <w:p w14:paraId="0FC64162" w14:textId="77777777" w:rsidR="00690123" w:rsidRDefault="00690123" w:rsidP="00466B1B">
      <w:pPr>
        <w:pStyle w:val="Heading3"/>
        <w:jc w:val="both"/>
        <w:rPr>
          <w:rFonts w:ascii="Times New Roman" w:hAnsi="Times New Roman" w:cs="Times New Roman"/>
          <w:sz w:val="24"/>
          <w:szCs w:val="24"/>
        </w:rPr>
      </w:pPr>
    </w:p>
    <w:p w14:paraId="5660DF3C" w14:textId="731B6FA5" w:rsidR="00690123" w:rsidRDefault="00690123" w:rsidP="00466B1B">
      <w:pPr>
        <w:pStyle w:val="Heading3"/>
        <w:jc w:val="both"/>
        <w:rPr>
          <w:rFonts w:ascii="Times New Roman" w:hAnsi="Times New Roman" w:cs="Times New Roman"/>
          <w:sz w:val="24"/>
          <w:szCs w:val="24"/>
        </w:rPr>
      </w:pPr>
      <w:r>
        <w:rPr>
          <w:rFonts w:ascii="Times New Roman" w:hAnsi="Times New Roman" w:cs="Times New Roman"/>
          <w:sz w:val="24"/>
          <w:szCs w:val="24"/>
        </w:rPr>
        <w:t xml:space="preserve">                                                 </w:t>
      </w:r>
    </w:p>
    <w:p w14:paraId="0330BE28" w14:textId="77777777" w:rsidR="00690123" w:rsidRPr="00690123" w:rsidRDefault="00690123" w:rsidP="00690123"/>
    <w:p w14:paraId="414429D1" w14:textId="77777777" w:rsidR="00690123" w:rsidRDefault="00690123" w:rsidP="00466B1B">
      <w:pPr>
        <w:pStyle w:val="Heading3"/>
        <w:jc w:val="both"/>
        <w:rPr>
          <w:rFonts w:ascii="Times New Roman" w:hAnsi="Times New Roman" w:cs="Times New Roman"/>
          <w:sz w:val="24"/>
          <w:szCs w:val="24"/>
        </w:rPr>
      </w:pPr>
    </w:p>
    <w:p w14:paraId="62F01B4B" w14:textId="4713AF05" w:rsidR="00000B4C" w:rsidRPr="00C026A1" w:rsidRDefault="00690123" w:rsidP="00466B1B">
      <w:pPr>
        <w:pStyle w:val="Heading3"/>
        <w:jc w:val="both"/>
        <w:rPr>
          <w:rFonts w:ascii="Times New Roman" w:hAnsi="Times New Roman" w:cs="Times New Roman"/>
          <w:sz w:val="24"/>
          <w:szCs w:val="24"/>
        </w:rPr>
      </w:pPr>
      <w:r>
        <w:rPr>
          <w:rFonts w:ascii="Times New Roman" w:hAnsi="Times New Roman" w:cs="Times New Roman"/>
          <w:sz w:val="24"/>
          <w:szCs w:val="24"/>
        </w:rPr>
        <w:t xml:space="preserve">                                                                                                                                                                            </w:t>
      </w:r>
      <w:r w:rsidR="00000B4C" w:rsidRPr="00C026A1">
        <w:rPr>
          <w:rFonts w:ascii="Times New Roman" w:hAnsi="Times New Roman" w:cs="Times New Roman"/>
          <w:sz w:val="24"/>
          <w:szCs w:val="24"/>
        </w:rPr>
        <w:t>ANNEXURE A</w:t>
      </w:r>
    </w:p>
    <w:p w14:paraId="20214F79" w14:textId="7BE408B3"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TERMS OF REFERENCE (TOR) AND TECHNICAL SPECIFICATIONS</w:t>
      </w:r>
    </w:p>
    <w:p w14:paraId="4EB0363B" w14:textId="762EAC64"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(This Annexure forms an integral part of the Master Service Agreement dated October 9, 2025)</w:t>
      </w:r>
    </w:p>
    <w:p w14:paraId="580918FA" w14:textId="779871C9"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 Background</w:t>
      </w:r>
    </w:p>
    <w:p w14:paraId="312C1873" w14:textId="2E5216CB"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lastRenderedPageBreak/>
        <w:t>Samanyayik Legal Service and Research Center Pvt. Ltd. (hereinafter referred to as “the Company”) is a professional consultancy, legal service, and research institution. To enhance public outreach, service accessibility, and professional credibility, the Company intends to establish an official bilingual website. This Terms of Reference (TOR) defines the technical, functional, and operational parameters for the Project.</w:t>
      </w:r>
    </w:p>
    <w:p w14:paraId="7A569CCC" w14:textId="1E413D72"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2. Objectives</w:t>
      </w:r>
    </w:p>
    <w:p w14:paraId="67CA2AFA"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The primary objective is the design and implementation of a fully responsive, accessible, secure, and bilingual (English/Nepali) website that:</w:t>
      </w:r>
    </w:p>
    <w:p w14:paraId="51DFB62D"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Represents the Company’s professional identity.</w:t>
      </w:r>
    </w:p>
    <w:p w14:paraId="0E5CB1C5"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Enables dynamic client interaction through appointment booking and specialized calculators.</w:t>
      </w:r>
    </w:p>
    <w:p w14:paraId="151C88B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Serves as a repository for research and publications.</w:t>
      </w:r>
    </w:p>
    <w:p w14:paraId="334BCE93" w14:textId="47DEEDC5"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Ensures full accessibility for all users, including persons with disabilities, in compliance with WCAG 2.1 Level AA.</w:t>
      </w:r>
    </w:p>
    <w:p w14:paraId="140A8AF8" w14:textId="4E54709D"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 Scope of Work &amp; Key Deliverables</w:t>
      </w:r>
    </w:p>
    <w:p w14:paraId="73820244"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3.1. Website Design &amp; Accessibility</w:t>
      </w:r>
    </w:p>
    <w:p w14:paraId="5D9DD10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Professional, minimalist, and trustworthy UI/UX layout.</w:t>
      </w:r>
    </w:p>
    <w:p w14:paraId="0A69E4B9"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Fully responsive design optimized for desktop, tablet, and mobile devices.</w:t>
      </w:r>
    </w:p>
    <w:p w14:paraId="1B78507F"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Strict compliance with WCAG 2.1 Level AA accessibility standards.</w:t>
      </w:r>
    </w:p>
    <w:p w14:paraId="409AD035" w14:textId="18710CE8"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Cross-browser compatibility (latest versions of Chrome, Firefox, Safari, Edge).</w:t>
      </w:r>
    </w:p>
    <w:p w14:paraId="0E3251C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3.2. Core Pages and Site Structure</w:t>
      </w:r>
    </w:p>
    <w:p w14:paraId="3B79096D"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1.  Home Page: Dynamic landing page with service overview, featured publications, and calls to action.</w:t>
      </w:r>
    </w:p>
    <w:p w14:paraId="2D6B8047"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2.  About Us: Mission, vision, objectives, and organizational history.</w:t>
      </w:r>
    </w:p>
    <w:p w14:paraId="1024E9E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  Our Team: Professional profiles with photos, designations, and expertise.</w:t>
      </w:r>
    </w:p>
    <w:p w14:paraId="732F0389"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4.  Services: Detailed descriptions of consultancy, legal, and research services.</w:t>
      </w:r>
    </w:p>
    <w:p w14:paraId="6DA781D3"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5.  Research &amp; Publications: A searchable and filterable repository for documents (PDF).</w:t>
      </w:r>
    </w:p>
    <w:p w14:paraId="4E2C5A96"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6.  Blog / News &amp; Updates: Section for articles with categorization and archive functions.</w:t>
      </w:r>
    </w:p>
    <w:p w14:paraId="7B7AB33C" w14:textId="4408D9E7" w:rsidR="00000B4C" w:rsidRPr="00C026A1" w:rsidRDefault="00AA7CC7" w:rsidP="00C026A1">
      <w:pPr>
        <w:jc w:val="both"/>
        <w:rPr>
          <w:rFonts w:ascii="Times New Roman" w:hAnsi="Times New Roman" w:cs="Times New Roman"/>
          <w:sz w:val="24"/>
          <w:szCs w:val="24"/>
        </w:rPr>
      </w:pPr>
      <w:r w:rsidRPr="00C026A1">
        <w:rPr>
          <w:rFonts w:ascii="Times New Roman" w:hAnsi="Times New Roman" w:cs="Times New Roman"/>
          <w:sz w:val="24"/>
          <w:szCs w:val="24"/>
        </w:rPr>
        <w:t>7. Contact Us: Secure form (with reCAPTCHA v3 or hCaptcha), Google Maps integration, contact details, and an option to send a voice message of up to 5 minutes using an integrated recording button.</w:t>
      </w:r>
    </w:p>
    <w:p w14:paraId="2D3B0EB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3.3. Functional Modules</w:t>
      </w:r>
    </w:p>
    <w:p w14:paraId="4DB151EF"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lastRenderedPageBreak/>
        <w:t>1.  Fee Calculators Section:</w:t>
      </w:r>
    </w:p>
    <w:p w14:paraId="26A11F88"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A dedicated module featuring multiple calculators. The formulas, variables, and calculation logic for all calculators shall be provided by the Company. The Service Provider shall implement these with real-time computation and validation.</w:t>
      </w:r>
    </w:p>
    <w:p w14:paraId="0E4378DB"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Calculators to include: Share Calculator, Consultation Fee Calculator, Service Fee Calculator, and other custom calculators as defined by the Company.</w:t>
      </w:r>
    </w:p>
    <w:p w14:paraId="4D8011DF"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Results must be instantly displayed and integrated into the CMS for future updates.</w:t>
      </w:r>
    </w:p>
    <w:p w14:paraId="453A6736"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2.  Appointment Booking System:</w:t>
      </w:r>
    </w:p>
    <w:p w14:paraId="6C965C3B"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Interactive scheduling interface for clients.</w:t>
      </w:r>
    </w:p>
    <w:p w14:paraId="5F5D2690"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Automated email confirmations, reminders, and cancellations for both administrator and client.</w:t>
      </w:r>
    </w:p>
    <w:p w14:paraId="139D4825"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Secure backend calendar management.</w:t>
      </w:r>
    </w:p>
    <w:p w14:paraId="13E56127"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  Bilingual System (English/Nepali):</w:t>
      </w:r>
    </w:p>
    <w:p w14:paraId="61CCC100"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Seamless language toggle feature accessible on all pages.</w:t>
      </w:r>
    </w:p>
    <w:p w14:paraId="071500CF"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The CMS must fully support dual-language content entry and management for all static and dynamic content.</w:t>
      </w:r>
    </w:p>
    <w:p w14:paraId="07851A25" w14:textId="229C408C"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SEO optimization (URLs, meta tags) shall be implemented independently for each language. The Company will provide all content in both languages.</w:t>
      </w:r>
    </w:p>
    <w:p w14:paraId="1848B0C5"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3.4. Content Management System (CMS)</w:t>
      </w:r>
    </w:p>
    <w:p w14:paraId="37B2394D" w14:textId="1B9C8433"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A secure, intuitive Admin Panel</w:t>
      </w:r>
      <w:r w:rsidR="00AA7CC7" w:rsidRPr="00C026A1">
        <w:rPr>
          <w:rFonts w:ascii="Times New Roman" w:hAnsi="Times New Roman" w:cs="Times New Roman"/>
          <w:sz w:val="24"/>
          <w:szCs w:val="24"/>
        </w:rPr>
        <w:t xml:space="preserve"> </w:t>
      </w:r>
    </w:p>
    <w:p w14:paraId="4B4D209B"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Role-based access control (Admin, Editor, Contributor).</w:t>
      </w:r>
    </w:p>
    <w:p w14:paraId="40799CD1" w14:textId="5F64F53A"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Secure login with password encryption.</w:t>
      </w:r>
    </w:p>
    <w:p w14:paraId="1481CCC1"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3.5. SEO, Analytics, and Performance</w:t>
      </w:r>
    </w:p>
    <w:p w14:paraId="5298BEE3"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On-page SEO implementation (meta tags, clean URLs, sitemap.xml, robots.txt).</w:t>
      </w:r>
    </w:p>
    <w:p w14:paraId="48DFDBD6"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Schema markup for rich search results.</w:t>
      </w:r>
    </w:p>
    <w:p w14:paraId="4F01849F"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Image optimization and lazy loading.</w:t>
      </w:r>
    </w:p>
    <w:p w14:paraId="0849A67A"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Google Analytics (GA4) integration.</w:t>
      </w:r>
    </w:p>
    <w:p w14:paraId="47BA03AE" w14:textId="3F209F04"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Optimization for fast page load times (target &lt; 3 seconds).</w:t>
      </w:r>
    </w:p>
    <w:p w14:paraId="462C10CA"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3.6. Security</w:t>
      </w:r>
    </w:p>
    <w:p w14:paraId="238CE269"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SSL/TLS (HTTPS) encryption across the entire site.</w:t>
      </w:r>
    </w:p>
    <w:p w14:paraId="6ED6A57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lastRenderedPageBreak/>
        <w:t>* Implementation of a Web Application Firewall (WAF) and brute-force attack protection.</w:t>
      </w:r>
    </w:p>
    <w:p w14:paraId="46D3DD31" w14:textId="61813A56"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Secure coding practices to prevent common vulnerabilities (e.g., SQL injection, XSS).</w:t>
      </w:r>
    </w:p>
    <w:p w14:paraId="48D96EE0"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4. Project Timeline &amp; Milestones</w:t>
      </w:r>
    </w:p>
    <w:p w14:paraId="587F6B8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Total Project Duration: October 9, 2025, to October 31, 2025.</w:t>
      </w:r>
    </w:p>
    <w:p w14:paraId="2B4DFACF"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Milestones:</w:t>
      </w:r>
    </w:p>
    <w:p w14:paraId="699B90F7"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Week 1 (Oct 9 - Oct 15): UI/UX Design, Wireframing, and Sitemap Approval.</w:t>
      </w:r>
    </w:p>
    <w:p w14:paraId="101555A9"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Week 2 (Oct 16 - Oct 22): Backend Development, CMS integration, and module coding (Calculators, Booking).</w:t>
      </w:r>
    </w:p>
    <w:p w14:paraId="682F6A02" w14:textId="35A7E5EF"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xml:space="preserve">    * Week 3 (Oct 23 - Oct 31): Content Integration, Testing, UAT, Deployment, and Handover.</w:t>
      </w:r>
    </w:p>
    <w:p w14:paraId="7E02CBE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5. Training, Documentation, and Support</w:t>
      </w:r>
    </w:p>
    <w:p w14:paraId="4C56574E"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One virtual training session for Company staff on using the CMS.</w:t>
      </w:r>
    </w:p>
    <w:p w14:paraId="27603044"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A comprehensive user manual for content management.</w:t>
      </w:r>
    </w:p>
    <w:p w14:paraId="30286DE1"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 One (1) year of post-launch technical support for bug fixes, security patches, and performance optimization. This support does not include new feature development.</w:t>
      </w:r>
    </w:p>
    <w:p w14:paraId="604E7B7D" w14:textId="77777777"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6. Intellectual Property</w:t>
      </w:r>
    </w:p>
    <w:p w14:paraId="796019D1" w14:textId="052CE2DC" w:rsidR="00000B4C" w:rsidRPr="00C026A1"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Upon full and final payment, all intellectual property rights, including the full Source Code, design files, and documentation, shall be the exclusive property of the Company.</w:t>
      </w:r>
    </w:p>
    <w:p w14:paraId="244CADDC" w14:textId="322F5855" w:rsidR="002644AA" w:rsidRDefault="00000B4C" w:rsidP="00C026A1">
      <w:pPr>
        <w:jc w:val="both"/>
        <w:rPr>
          <w:rFonts w:ascii="Times New Roman" w:hAnsi="Times New Roman" w:cs="Times New Roman"/>
          <w:sz w:val="24"/>
          <w:szCs w:val="24"/>
        </w:rPr>
      </w:pPr>
      <w:r w:rsidRPr="00C026A1">
        <w:rPr>
          <w:rFonts w:ascii="Times New Roman" w:hAnsi="Times New Roman" w:cs="Times New Roman"/>
          <w:sz w:val="24"/>
          <w:szCs w:val="24"/>
        </w:rPr>
        <w:t>[End of Annexure A]</w:t>
      </w:r>
    </w:p>
    <w:p w14:paraId="41B6C7B5" w14:textId="77777777" w:rsidR="004F23D0" w:rsidRPr="004F23D0" w:rsidRDefault="004F23D0" w:rsidP="00C026A1">
      <w:pPr>
        <w:jc w:val="both"/>
        <w:rPr>
          <w:rFonts w:ascii="Times New Roman" w:hAnsi="Times New Roman" w:cs="Times New Roman"/>
          <w:sz w:val="24"/>
          <w:szCs w:val="24"/>
        </w:rPr>
      </w:pPr>
    </w:p>
    <w:sectPr w:rsidR="004F23D0" w:rsidRPr="004F23D0" w:rsidSect="00826A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6542"/>
    <w:multiLevelType w:val="multilevel"/>
    <w:tmpl w:val="0409001D"/>
    <w:numStyleLink w:val="Style2"/>
  </w:abstractNum>
  <w:abstractNum w:abstractNumId="1" w15:restartNumberingAfterBreak="0">
    <w:nsid w:val="06F94151"/>
    <w:multiLevelType w:val="multilevel"/>
    <w:tmpl w:val="10A267F8"/>
    <w:numStyleLink w:val="Style1"/>
  </w:abstractNum>
  <w:abstractNum w:abstractNumId="2" w15:restartNumberingAfterBreak="0">
    <w:nsid w:val="0BA14E39"/>
    <w:multiLevelType w:val="multilevel"/>
    <w:tmpl w:val="04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FE5518A"/>
    <w:multiLevelType w:val="multilevel"/>
    <w:tmpl w:val="10A267F8"/>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F82491"/>
    <w:multiLevelType w:val="multilevel"/>
    <w:tmpl w:val="1562C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F3366B"/>
    <w:multiLevelType w:val="hybridMultilevel"/>
    <w:tmpl w:val="C0DC425E"/>
    <w:lvl w:ilvl="0" w:tplc="B914BEBC">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15:restartNumberingAfterBreak="0">
    <w:nsid w:val="514F13D3"/>
    <w:multiLevelType w:val="multilevel"/>
    <w:tmpl w:val="80E0B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2A2AAD"/>
    <w:multiLevelType w:val="multilevel"/>
    <w:tmpl w:val="ECF0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594223">
    <w:abstractNumId w:val="4"/>
  </w:num>
  <w:num w:numId="2" w16cid:durableId="1309749799">
    <w:abstractNumId w:val="7"/>
  </w:num>
  <w:num w:numId="3" w16cid:durableId="538050600">
    <w:abstractNumId w:val="6"/>
  </w:num>
  <w:num w:numId="4" w16cid:durableId="831800884">
    <w:abstractNumId w:val="1"/>
  </w:num>
  <w:num w:numId="5" w16cid:durableId="895972638">
    <w:abstractNumId w:val="5"/>
  </w:num>
  <w:num w:numId="6" w16cid:durableId="1764691072">
    <w:abstractNumId w:val="3"/>
  </w:num>
  <w:num w:numId="7" w16cid:durableId="1972323866">
    <w:abstractNumId w:val="2"/>
  </w:num>
  <w:num w:numId="8" w16cid:durableId="1065489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B83"/>
    <w:rsid w:val="00000B4C"/>
    <w:rsid w:val="00020365"/>
    <w:rsid w:val="000729DC"/>
    <w:rsid w:val="00132D5F"/>
    <w:rsid w:val="00187C4E"/>
    <w:rsid w:val="00195262"/>
    <w:rsid w:val="002644AA"/>
    <w:rsid w:val="002C7A8E"/>
    <w:rsid w:val="00305CB3"/>
    <w:rsid w:val="003E7FC3"/>
    <w:rsid w:val="00466B1B"/>
    <w:rsid w:val="004F23D0"/>
    <w:rsid w:val="005551B7"/>
    <w:rsid w:val="005718C3"/>
    <w:rsid w:val="00690123"/>
    <w:rsid w:val="00826A10"/>
    <w:rsid w:val="008A713C"/>
    <w:rsid w:val="009079F4"/>
    <w:rsid w:val="00A3058E"/>
    <w:rsid w:val="00AA7CC7"/>
    <w:rsid w:val="00AC1509"/>
    <w:rsid w:val="00B34C9A"/>
    <w:rsid w:val="00B6664C"/>
    <w:rsid w:val="00C026A1"/>
    <w:rsid w:val="00CA14C4"/>
    <w:rsid w:val="00D61B83"/>
    <w:rsid w:val="00ED09C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E4F7F"/>
  <w15:chartTrackingRefBased/>
  <w15:docId w15:val="{7C7F180A-BAF5-4151-8EE8-A1A205F40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B83"/>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D61B83"/>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466B1B"/>
    <w:pPr>
      <w:keepNext/>
      <w:keepLines/>
      <w:spacing w:before="160" w:after="80"/>
      <w:outlineLvl w:val="2"/>
    </w:pPr>
    <w:rPr>
      <w:rFonts w:eastAsiaTheme="majorEastAsia" w:cstheme="majorBidi"/>
      <w:color w:val="000000" w:themeColor="text1"/>
      <w:sz w:val="28"/>
      <w:szCs w:val="25"/>
    </w:rPr>
  </w:style>
  <w:style w:type="paragraph" w:styleId="Heading4">
    <w:name w:val="heading 4"/>
    <w:basedOn w:val="Normal"/>
    <w:next w:val="Normal"/>
    <w:link w:val="Heading4Char"/>
    <w:uiPriority w:val="9"/>
    <w:semiHidden/>
    <w:unhideWhenUsed/>
    <w:qFormat/>
    <w:rsid w:val="00D61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B83"/>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D61B83"/>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466B1B"/>
    <w:rPr>
      <w:rFonts w:eastAsiaTheme="majorEastAsia" w:cstheme="majorBidi"/>
      <w:color w:val="000000" w:themeColor="text1"/>
      <w:sz w:val="28"/>
      <w:szCs w:val="25"/>
    </w:rPr>
  </w:style>
  <w:style w:type="character" w:customStyle="1" w:styleId="Heading4Char">
    <w:name w:val="Heading 4 Char"/>
    <w:basedOn w:val="DefaultParagraphFont"/>
    <w:link w:val="Heading4"/>
    <w:uiPriority w:val="9"/>
    <w:semiHidden/>
    <w:rsid w:val="00D61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B83"/>
    <w:rPr>
      <w:rFonts w:eastAsiaTheme="majorEastAsia" w:cstheme="majorBidi"/>
      <w:color w:val="272727" w:themeColor="text1" w:themeTint="D8"/>
    </w:rPr>
  </w:style>
  <w:style w:type="paragraph" w:styleId="Title">
    <w:name w:val="Title"/>
    <w:basedOn w:val="Normal"/>
    <w:next w:val="Normal"/>
    <w:link w:val="TitleChar"/>
    <w:uiPriority w:val="10"/>
    <w:qFormat/>
    <w:rsid w:val="00D61B8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61B8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61B8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61B8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61B83"/>
    <w:pPr>
      <w:spacing w:before="160"/>
      <w:jc w:val="center"/>
    </w:pPr>
    <w:rPr>
      <w:i/>
      <w:iCs/>
      <w:color w:val="404040" w:themeColor="text1" w:themeTint="BF"/>
    </w:rPr>
  </w:style>
  <w:style w:type="character" w:customStyle="1" w:styleId="QuoteChar">
    <w:name w:val="Quote Char"/>
    <w:basedOn w:val="DefaultParagraphFont"/>
    <w:link w:val="Quote"/>
    <w:uiPriority w:val="29"/>
    <w:rsid w:val="00D61B83"/>
    <w:rPr>
      <w:i/>
      <w:iCs/>
      <w:color w:val="404040" w:themeColor="text1" w:themeTint="BF"/>
    </w:rPr>
  </w:style>
  <w:style w:type="paragraph" w:styleId="ListParagraph">
    <w:name w:val="List Paragraph"/>
    <w:basedOn w:val="Normal"/>
    <w:uiPriority w:val="34"/>
    <w:qFormat/>
    <w:rsid w:val="00D61B83"/>
    <w:pPr>
      <w:ind w:left="720"/>
      <w:contextualSpacing/>
    </w:pPr>
  </w:style>
  <w:style w:type="character" w:styleId="IntenseEmphasis">
    <w:name w:val="Intense Emphasis"/>
    <w:basedOn w:val="DefaultParagraphFont"/>
    <w:uiPriority w:val="21"/>
    <w:qFormat/>
    <w:rsid w:val="00D61B83"/>
    <w:rPr>
      <w:i/>
      <w:iCs/>
      <w:color w:val="2F5496" w:themeColor="accent1" w:themeShade="BF"/>
    </w:rPr>
  </w:style>
  <w:style w:type="paragraph" w:styleId="IntenseQuote">
    <w:name w:val="Intense Quote"/>
    <w:basedOn w:val="Normal"/>
    <w:next w:val="Normal"/>
    <w:link w:val="IntenseQuoteChar"/>
    <w:uiPriority w:val="30"/>
    <w:qFormat/>
    <w:rsid w:val="00D61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B83"/>
    <w:rPr>
      <w:i/>
      <w:iCs/>
      <w:color w:val="2F5496" w:themeColor="accent1" w:themeShade="BF"/>
    </w:rPr>
  </w:style>
  <w:style w:type="character" w:styleId="IntenseReference">
    <w:name w:val="Intense Reference"/>
    <w:basedOn w:val="DefaultParagraphFont"/>
    <w:uiPriority w:val="32"/>
    <w:qFormat/>
    <w:rsid w:val="00D61B83"/>
    <w:rPr>
      <w:b/>
      <w:bCs/>
      <w:smallCaps/>
      <w:color w:val="2F5496" w:themeColor="accent1" w:themeShade="BF"/>
      <w:spacing w:val="5"/>
    </w:rPr>
  </w:style>
  <w:style w:type="character" w:styleId="Hyperlink">
    <w:name w:val="Hyperlink"/>
    <w:basedOn w:val="DefaultParagraphFont"/>
    <w:uiPriority w:val="99"/>
    <w:unhideWhenUsed/>
    <w:rsid w:val="00D61B83"/>
    <w:rPr>
      <w:color w:val="0563C1" w:themeColor="hyperlink"/>
      <w:u w:val="single"/>
    </w:rPr>
  </w:style>
  <w:style w:type="character" w:styleId="UnresolvedMention">
    <w:name w:val="Unresolved Mention"/>
    <w:basedOn w:val="DefaultParagraphFont"/>
    <w:uiPriority w:val="99"/>
    <w:semiHidden/>
    <w:unhideWhenUsed/>
    <w:rsid w:val="00D61B83"/>
    <w:rPr>
      <w:color w:val="605E5C"/>
      <w:shd w:val="clear" w:color="auto" w:fill="E1DFDD"/>
    </w:rPr>
  </w:style>
  <w:style w:type="numbering" w:customStyle="1" w:styleId="Style1">
    <w:name w:val="Style1"/>
    <w:uiPriority w:val="99"/>
    <w:rsid w:val="00C026A1"/>
    <w:pPr>
      <w:numPr>
        <w:numId w:val="6"/>
      </w:numPr>
    </w:pPr>
  </w:style>
  <w:style w:type="numbering" w:customStyle="1" w:styleId="Style2">
    <w:name w:val="Style2"/>
    <w:uiPriority w:val="99"/>
    <w:rsid w:val="00C026A1"/>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13</Pages>
  <Words>4739</Words>
  <Characters>27016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Thapa</dc:creator>
  <cp:keywords/>
  <dc:description/>
  <cp:lastModifiedBy>Sandeep Thapa</cp:lastModifiedBy>
  <cp:revision>8</cp:revision>
  <dcterms:created xsi:type="dcterms:W3CDTF">2025-10-08T12:35:00Z</dcterms:created>
  <dcterms:modified xsi:type="dcterms:W3CDTF">2025-10-08T16:53:00Z</dcterms:modified>
</cp:coreProperties>
</file>