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u w:val="single"/>
        </w:rPr>
      </w:pPr>
      <w:bookmarkStart w:colFirst="0" w:colLast="0" w:name="_r0xsgubsk3y3" w:id="0"/>
      <w:bookmarkEnd w:id="0"/>
      <w:r w:rsidDel="00000000" w:rsidR="00000000" w:rsidRPr="00000000">
        <w:rPr>
          <w:u w:val="single"/>
          <w:rtl w:val="0"/>
        </w:rPr>
        <w:t xml:space="preserve">TaskList VMWare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Single-instance all instances of the following Script’s code (and similar) using a single vRO Workflow: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Remove the hardcoded JSON in the following Script’s code (and similar) by leveraging vRA Configuration functionality, in the exact same manner as has been done with “PSS Ansible Base Create”.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Duplicate the following Avnet RemedyForce vRO Actions similar to the existing two duplicated vRO Actions into the “com.prudential.pss” folder &amp; modify them in the same manner (i.e. simple 3-retries logic):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RemedyForce_GetRecord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RemedyForce_GetAllRecords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RemedyForce_CreateRecord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RemedyForce_DeleteRecord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Then replace all references to those vRO Actions in vRO Workflows in the “pss” folder to the improved vRO Actions. Any existing (redundant-resulting) retry logic contained in vRO Workflows is to be removed. For example: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Advanced - Replace each of the 4 types of vRO Workflow with a single vRO Action maintaining the same Input, Output &amp; Functionality (this will result in much faster execution of Dynamic Types vRO Inventory population):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All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… </w:t>
        <w:tab/>
        <w:t xml:space="preserve">By Id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</w:t>
        <w:tab/>
        <w:t xml:space="preserve">Relation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Has … </w:t>
        <w:tab/>
        <w:t xml:space="preserve">Children in Relation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>
          <w:rtl w:val="0"/>
        </w:rPr>
        <w:t xml:space="preserve">In general: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Prefix any </w:t>
        <w:tab/>
        <w:t xml:space="preserve">System.debug or System.log output with the name of the vRO Workflow </w:t>
        <w:tab/>
        <w:t xml:space="preserve">(aids with tracking where the code is, which has generated the log </w:t>
        <w:tab/>
        <w:t xml:space="preserve">entry). Please modify where not the case.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Remain </w:t>
        <w:tab/>
        <w:t xml:space="preserve">strictly aligned with the existing prevailing naming convention &amp; </w:t>
        <w:tab/>
        <w:t xml:space="preserve">coding format (e.g. Use of upper- &amp; lower-case, code spacing &amp; </w:t>
        <w:tab/>
        <w:t xml:space="preserve">indenting, bracketing, new-lines)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Only vRO </w:t>
        <w:tab/>
        <w:t xml:space="preserve">Workflows in the following sub-folders (within “PSS”) are to be </w:t>
        <w:tab/>
        <w:t xml:space="preserve">modified (others are deprecated or system-generated, etc.):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  <w:t xml:space="preserve">Ansible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Dynamic </w:t>
        <w:tab/>
        <w:tab/>
        <w:t xml:space="preserve">Types (only for RemedyForce vRO Action replacement)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Remedy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59.20000000000005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</w:t>
        <w:tab/>
        <w:t xml:space="preserve">note that Arrays are in use in various places where best practices </w:t>
        <w:tab/>
        <w:t xml:space="preserve">would dictate one should use JSON or Properties. This is due to </w:t>
        <w:tab/>
        <w:t xml:space="preserve">vRO’s requirement in using an Array to perform Workflow execution </w:t>
        <w:tab/>
        <w:t xml:space="preserve">repetition.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9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</w:t>
        <w:tab/>
        <w:t xml:space="preserve">make a note of any other code, which would benefit from refactoring, </w:t>
        <w:tab/>
        <w:t xml:space="preserve">while keeping in mind the target audience for future Code </w:t>
        <w:tab/>
        <w:t xml:space="preserve">maintenance/understanding/troubleshooting does have an Operations </w:t>
        <w:tab/>
        <w:t xml:space="preserve">background (not Development background).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