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Evidence gaps</w:t>
      </w:r>
    </w:p>
    <w:p>
      <w:r>
        <w:t xml:space="preserve">Need OS evidence in EGFR NSCLC after second-line failure.</w:t>
      </w:r>
    </w:p>
    <w:p>
      <w:r>
        <w:t xml:space="preserve">Chart review in EU5 centres for pneumonitis signals.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2026-09-23T16:19:41.937Z</dcterms:created>
  <dcterms:modified xsi:type="dcterms:W3CDTF">2026-09-23T16:19:41.937Z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