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200"/>
        <w:jc w:val="center"/>
      </w:pPr>
      <w:r>
        <w:rPr>
          <w:b/>
          <w:bCs/>
          <w:color w:val="0D1F3F"/>
          <w:sz w:val="72"/>
          <w:szCs w:val="72"/>
        </w:rPr>
        <w:t xml:space="preserve">FUSIONIQ</w:t>
      </w:r>
    </w:p>
    <w:p>
      <w:pPr>
        <w:spacing w:after="100"/>
        <w:jc w:val="center"/>
      </w:pPr>
      <w:r>
        <w:rPr>
          <w:b/>
          <w:bCs/>
          <w:color w:val="2563C9"/>
          <w:sz w:val="30"/>
          <w:szCs w:val="30"/>
        </w:rPr>
        <w:t xml:space="preserve">AI-Powered Industrial Safety Intelligence Platform</w:t>
      </w:r>
    </w:p>
    <w:p>
      <w:pPr>
        <w:spacing w:after="500"/>
        <w:jc w:val="center"/>
      </w:pPr>
      <w:r>
        <w:rPr>
          <w:b w:val="false"/>
          <w:bCs w:val="false"/>
          <w:color w:val="5A6B85"/>
          <w:sz w:val="24"/>
          <w:szCs w:val="24"/>
        </w:rPr>
        <w:t xml:space="preserve">Enterprise Software Architecture</w:t>
      </w:r>
    </w:p>
    <w:p>
      <w:pPr>
        <w:pBdr>
          <w:bottom w:val="single" w:color="C7D3E6" w:sz="6" w:space="1"/>
        </w:pBdr>
        <w:spacing w:after="500"/>
      </w:pPr>
    </w:p>
    <w:p>
      <w:pPr>
        <w:spacing w:after="800"/>
        <w:jc w:val="center"/>
      </w:pPr>
      <w:r>
        <w:rPr>
          <w:b w:val="false"/>
          <w:bCs w:val="false"/>
          <w:color w:val="3B4A63"/>
          <w:sz w:val="22"/>
          <w:szCs w:val="22"/>
        </w:rPr>
        <w:t xml:space="preserve">Real-Time Compound Hazard Detection Using Multi-Agent AI and Explainable Intelligence</w:t>
      </w:r>
    </w:p>
    <w:p>
      <w:pPr>
        <w:spacing w:before="1600"/>
        <w:jc w:val="center"/>
      </w:pPr>
      <w:r>
        <w:rPr>
          <w:i/>
          <w:iCs/>
          <w:color w:val="5A6B85"/>
          <w:sz w:val="22"/>
          <w:szCs w:val="22"/>
        </w:rPr>
        <w:t xml:space="preserve">ET AI Hackathon 2026</w:t>
      </w:r>
    </w:p>
    <w:p>
      <w:pPr>
        <w:spacing w:before="2400"/>
        <w:jc w:val="center"/>
      </w:pPr>
      <w:r>
        <w:rPr>
          <w:color w:val="6F7E97"/>
          <w:sz w:val="18"/>
          <w:szCs w:val="18"/>
        </w:rPr>
        <w:t xml:space="preserve">Full enterprise architecture diagram on the following page — rendered as a single continuous system map from industrial data sources through compound hazard intelligence to emergency response.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jc w:val="center"/>
      </w:pPr>
      <w:r>
        <w:drawing>
          <wp:inline distT="0" distB="0" distL="0" distR="0">
            <wp:extent cx="6953250" cy="1058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0" cy="1058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528" w:h="18252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7df843464119b02621a56142fed2e5c582d1ef0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2026-07-21T16:49:12.777Z</dcterms:created>
  <dcterms:modified xsi:type="dcterms:W3CDTF">2026-07-21T16:49:12.786Z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