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52"/>
        </w:rPr>
        <w:t>FusionIQ — Comprehensive Project Summary &amp; Technical Report</w:t>
      </w:r>
    </w:p>
    <w:p>
      <w:pPr>
        <w:spacing w:after="400"/>
        <w:jc w:val="center"/>
      </w:pPr>
      <w:r>
        <w:rPr>
          <w:rFonts w:ascii="Calibri" w:hAnsi="Calibri"/>
          <w:i/>
          <w:color w:val="2563EB"/>
          <w:sz w:val="28"/>
        </w:rPr>
        <w:t>AI-Powered Industrial Safety Intelligence for Zero-Harm Operations | ET AI Hackathon 2026</w:t>
      </w:r>
    </w:p>
    <w:tbl>
      <w:tblPr>
        <w:tblW w:type="auto" w:w="0"/>
        <w:jc w:val="center"/>
        <w:tblLook w:firstColumn="1" w:firstRow="1" w:lastColumn="0" w:lastRow="0" w:noHBand="0" w:noVBand="1" w:val="04A0"/>
      </w:tblPr>
      <w:tblGrid>
        <w:gridCol w:w="4680"/>
        <w:gridCol w:w="4680"/>
      </w:tblGrid>
      <w:tr>
        <w:tc>
          <w:tcPr>
            <w:tcW w:type="dxa" w:w="2880"/>
            <w:shd w:fill="F8FAFC"/>
            <w:tcMar>
              <w:top w:w="80" w:type="dxa"/>
              <w:bottom w:w="80" w:type="dxa"/>
              <w:left w:w="100" w:type="dxa"/>
              <w:right w:w="100" w:type="dxa"/>
            </w:tcMar>
          </w:tcPr>
          <w:p>
            <w:r>
              <w:rPr>
                <w:b/>
                <w:color w:val="0F172A"/>
                <w:sz w:val="20"/>
              </w:rPr>
              <w:t>Event / Submission:</w:t>
            </w:r>
          </w:p>
        </w:tc>
        <w:tc>
          <w:tcPr>
            <w:tcW w:type="dxa" w:w="6480"/>
            <w:shd w:fill="FFFFFF"/>
            <w:tcMar>
              <w:top w:w="80" w:type="dxa"/>
              <w:bottom w:w="80" w:type="dxa"/>
              <w:left w:w="100" w:type="dxa"/>
              <w:right w:w="100" w:type="dxa"/>
            </w:tcMar>
          </w:tcPr>
          <w:p>
            <w:r>
              <w:rPr>
                <w:sz w:val="20"/>
              </w:rPr>
              <w:t>ET AI Hackathon 2026</w:t>
            </w:r>
          </w:p>
        </w:tc>
      </w:tr>
      <w:tr>
        <w:tc>
          <w:tcPr>
            <w:tcW w:type="dxa" w:w="2880"/>
            <w:shd w:fill="F8FAFC"/>
            <w:tcMar>
              <w:top w:w="80" w:type="dxa"/>
              <w:bottom w:w="80" w:type="dxa"/>
              <w:left w:w="100" w:type="dxa"/>
              <w:right w:w="100" w:type="dxa"/>
            </w:tcMar>
          </w:tcPr>
          <w:p>
            <w:r>
              <w:rPr>
                <w:b/>
                <w:color w:val="0F172A"/>
                <w:sz w:val="20"/>
              </w:rPr>
              <w:t>Track:</w:t>
            </w:r>
          </w:p>
        </w:tc>
        <w:tc>
          <w:tcPr>
            <w:tcW w:type="dxa" w:w="6480"/>
            <w:shd w:fill="FFFFFF"/>
            <w:tcMar>
              <w:top w:w="80" w:type="dxa"/>
              <w:bottom w:w="80" w:type="dxa"/>
              <w:left w:w="100" w:type="dxa"/>
              <w:right w:w="100" w:type="dxa"/>
            </w:tcMar>
          </w:tcPr>
          <w:p>
            <w:r>
              <w:rPr>
                <w:sz w:val="20"/>
              </w:rPr>
              <w:t>Industrial Intelligence / Worker Safety / Geospatial Safety Analytics</w:t>
            </w:r>
          </w:p>
        </w:tc>
      </w:tr>
      <w:tr>
        <w:tc>
          <w:tcPr>
            <w:tcW w:type="dxa" w:w="2880"/>
            <w:shd w:fill="F8FAFC"/>
            <w:tcMar>
              <w:top w:w="80" w:type="dxa"/>
              <w:bottom w:w="80" w:type="dxa"/>
              <w:left w:w="100" w:type="dxa"/>
              <w:right w:w="100" w:type="dxa"/>
            </w:tcMar>
          </w:tcPr>
          <w:p>
            <w:r>
              <w:rPr>
                <w:b/>
                <w:color w:val="0F172A"/>
                <w:sz w:val="20"/>
              </w:rPr>
              <w:t>Problem Statement:</w:t>
            </w:r>
          </w:p>
        </w:tc>
        <w:tc>
          <w:tcPr>
            <w:tcW w:type="dxa" w:w="6480"/>
            <w:shd w:fill="FFFFFF"/>
            <w:tcMar>
              <w:top w:w="80" w:type="dxa"/>
              <w:bottom w:w="80" w:type="dxa"/>
              <w:left w:w="100" w:type="dxa"/>
              <w:right w:w="100" w:type="dxa"/>
            </w:tcMar>
          </w:tcPr>
          <w:p>
            <w:r>
              <w:rPr>
                <w:sz w:val="20"/>
              </w:rPr>
              <w:t>AI-Powered Industrial Safety Intelligence for Zero-Harm Operations</w:t>
            </w:r>
          </w:p>
        </w:tc>
      </w:tr>
      <w:tr>
        <w:tc>
          <w:tcPr>
            <w:tcW w:type="dxa" w:w="2880"/>
            <w:shd w:fill="F8FAFC"/>
            <w:tcMar>
              <w:top w:w="80" w:type="dxa"/>
              <w:bottom w:w="80" w:type="dxa"/>
              <w:left w:w="100" w:type="dxa"/>
              <w:right w:w="100" w:type="dxa"/>
            </w:tcMar>
          </w:tcPr>
          <w:p>
            <w:r>
              <w:rPr>
                <w:b/>
                <w:color w:val="0F172A"/>
                <w:sz w:val="20"/>
              </w:rPr>
              <w:t>Live Frontend Demo:</w:t>
            </w:r>
          </w:p>
        </w:tc>
        <w:tc>
          <w:tcPr>
            <w:tcW w:type="dxa" w:w="6480"/>
            <w:shd w:fill="FFFFFF"/>
            <w:tcMar>
              <w:top w:w="80" w:type="dxa"/>
              <w:bottom w:w="80" w:type="dxa"/>
              <w:left w:w="100" w:type="dxa"/>
              <w:right w:w="100" w:type="dxa"/>
            </w:tcMar>
          </w:tcPr>
          <w:p>
            <w:r>
              <w:rPr>
                <w:color w:val="2563EB"/>
                <w:sz w:val="20"/>
                <w:u w:val="single"/>
              </w:rPr>
              <w:t>https://fusioniq-frontend.vercel.app/</w:t>
            </w:r>
          </w:p>
        </w:tc>
      </w:tr>
      <w:tr>
        <w:tc>
          <w:tcPr>
            <w:tcW w:type="dxa" w:w="2880"/>
            <w:shd w:fill="F8FAFC"/>
            <w:tcMar>
              <w:top w:w="80" w:type="dxa"/>
              <w:bottom w:w="80" w:type="dxa"/>
              <w:left w:w="100" w:type="dxa"/>
              <w:right w:w="100" w:type="dxa"/>
            </w:tcMar>
          </w:tcPr>
          <w:p>
            <w:r>
              <w:rPr>
                <w:b/>
                <w:color w:val="0F172A"/>
                <w:sz w:val="20"/>
              </w:rPr>
              <w:t>Live Backend API Docs:</w:t>
            </w:r>
          </w:p>
        </w:tc>
        <w:tc>
          <w:tcPr>
            <w:tcW w:type="dxa" w:w="6480"/>
            <w:shd w:fill="FFFFFF"/>
            <w:tcMar>
              <w:top w:w="80" w:type="dxa"/>
              <w:bottom w:w="80" w:type="dxa"/>
              <w:left w:w="100" w:type="dxa"/>
              <w:right w:w="100" w:type="dxa"/>
            </w:tcMar>
          </w:tcPr>
          <w:p>
            <w:r>
              <w:rPr>
                <w:color w:val="2563EB"/>
                <w:sz w:val="20"/>
                <w:u w:val="single"/>
              </w:rPr>
              <w:t>https://fusioniq-backend.onrender.com/docs</w:t>
            </w:r>
          </w:p>
        </w:tc>
      </w:tr>
    </w:tbl>
    <w:p>
      <w:pPr>
        <w:spacing w:after="240"/>
      </w:pPr>
    </w:p>
    <w:p>
      <w:pPr>
        <w:keepNext/>
        <w:spacing w:before="360" w:after="160"/>
      </w:pPr>
      <w:r>
        <w:rPr>
          <w:rFonts w:ascii="Arial" w:hAnsi="Arial"/>
          <w:b/>
          <w:color w:val="0F172A"/>
          <w:sz w:val="36"/>
        </w:rPr>
        <w:t>1. Executive Summary &amp; Problem Context</w:t>
      </w:r>
    </w:p>
    <w:p>
      <w:pPr>
        <w:keepNext/>
        <w:spacing w:before="280" w:after="120"/>
      </w:pPr>
      <w:r>
        <w:rPr>
          <w:rFonts w:ascii="Arial" w:hAnsi="Arial"/>
          <w:b/>
          <w:color w:val="2563EB"/>
          <w:sz w:val="28"/>
        </w:rPr>
        <w:t>The Industrial Reality</w:t>
      </w:r>
    </w:p>
    <w:p>
      <w:pPr>
        <w:spacing w:after="120" w:line="276" w:lineRule="auto"/>
      </w:pPr>
      <w:r>
        <w:t>According to official DGFASLI statistics, India's heavy industrial sector experiences over 6,500 fatal workplace accidents annually (excluding most unorganized mining and construction sectors). In January 2025, eight workers tragically lost their lives at the Visakhapatnam Steel Plant due to a toxic gas explosion in a coke oven battery. Investigation records revealed that functioning safety systems (gas detectors, permits-to-work, SCADA) were present, and gas sensors had logged elevated pressure warnings—yet no unified intelligence layer connected these separate readings to operational decisions in time.</w:t>
      </w:r>
    </w:p>
    <w:p>
      <w:pPr>
        <w:spacing w:after="120" w:line="276" w:lineRule="auto"/>
      </w:pPr>
      <w:r>
        <w:t>A 2024 FICCI survey of over 600 large industrial facilities revealed that 60%+ of facilities rely on fragmented, manual handoffs to coordinate safety tools, worker telemetry, and permit approvals. Data is present, but unacted upon.</w:t>
      </w:r>
    </w:p>
    <w:p>
      <w:pPr>
        <w:keepNext/>
        <w:spacing w:before="280" w:after="120"/>
      </w:pPr>
      <w:r>
        <w:rPr>
          <w:rFonts w:ascii="Arial" w:hAnsi="Arial"/>
          <w:b/>
          <w:color w:val="2563EB"/>
          <w:sz w:val="28"/>
        </w:rPr>
        <w:t>The FusionIQ Solution</w:t>
      </w:r>
    </w:p>
    <w:p>
      <w:pPr>
        <w:spacing w:after="120" w:line="276" w:lineRule="auto"/>
      </w:pPr>
      <w:r>
        <w:t>Traditional SCADA systems monitor isolated sensors and alert only when an individual reading breaches a hardcoded limit. However, industrial disasters rarely result from a single failure; they are triggered by compound risk factors that are individually 'sub-alarm' or 'safe', but collectively catastrophic:</w:t>
      </w:r>
    </w:p>
    <w:p>
      <w:pPr>
        <w:pStyle w:val="ListBullet"/>
        <w:spacing w:after="80" w:line="276" w:lineRule="auto"/>
      </w:pPr>
      <w:r>
        <w:t>Gas concentration at 85 PPM (Safe on its own; hard alarm threshold is 100 PPM).</w:t>
      </w:r>
    </w:p>
    <w:p>
      <w:pPr>
        <w:pStyle w:val="ListBullet"/>
        <w:spacing w:after="80" w:line="276" w:lineRule="auto"/>
      </w:pPr>
      <w:r>
        <w:t>Active Hot-Work Permit in the immediate vicinity (Standard maintenance with open flame/sparks).</w:t>
      </w:r>
    </w:p>
    <w:p>
      <w:pPr>
        <w:pStyle w:val="ListBullet"/>
        <w:spacing w:after="80" w:line="276" w:lineRule="auto"/>
      </w:pPr>
      <w:r>
        <w:t>Confined-Space Entry active (Worker trapped inside with limited evacuation routes).</w:t>
      </w:r>
    </w:p>
    <w:p>
      <w:pPr>
        <w:pStyle w:val="ListBullet"/>
        <w:spacing w:after="80" w:line="276" w:lineRule="auto"/>
      </w:pPr>
      <w:r>
        <w:t>Active Maintenance Team (Additional ignition sources and operational complexity).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E11D48"/>
              <w:top w:val="none"/>
              <w:right w:val="none"/>
              <w:bottom w:val="none"/>
            </w:tcBorders>
          </w:tcPr>
          <w:p>
            <w:pPr>
              <w:spacing w:after="0" w:line="276" w:lineRule="auto"/>
            </w:pPr>
            <w:r>
              <w:rPr>
                <w:rFonts w:ascii="Arial" w:hAnsi="Arial"/>
                <w:b/>
                <w:color w:val="E11D48"/>
                <w:sz w:val="22"/>
              </w:rPr>
              <w:t>The FusionIQ Insight</w:t>
              <w:br/>
            </w:r>
            <w:r>
              <w:rPr>
                <w:i/>
                <w:sz w:val="21"/>
              </w:rPr>
              <w:t>Individually, these four indicators trigger zero SCADA alarms. Together, they create a ticking time bomb. FusionIQ integrates disparate data streams into a unified predictive hazard engine that evaluates facility compound risk, explains threats in natural language via AI, matches historical incident patterns, and automates emergency compliance protocols.</w:t>
            </w:r>
          </w:p>
        </w:tc>
      </w:tr>
    </w:tbl>
    <w:p>
      <w:pPr>
        <w:spacing w:after="120"/>
      </w:pPr>
    </w:p>
    <w:p>
      <w:pPr>
        <w:keepNext/>
        <w:spacing w:before="360" w:after="160"/>
      </w:pPr>
      <w:r>
        <w:rPr>
          <w:rFonts w:ascii="Arial" w:hAnsi="Arial"/>
          <w:b/>
          <w:color w:val="0F172A"/>
          <w:sz w:val="36"/>
        </w:rPr>
        <w:t>2. Core Technological Innovation: The Compound Hazard Engine</w:t>
      </w:r>
    </w:p>
    <w:p>
      <w:pPr>
        <w:spacing w:after="120" w:line="276" w:lineRule="auto"/>
      </w:pPr>
      <w:r>
        <w:t>The central innovation of FusionIQ lies in backend/app/hazard_engine.py, which bypasses naive isolated thresholds to evaluate super-linear compound risk interaction across 4 specialized signal agents.</w:t>
      </w:r>
    </w:p>
    <w:p>
      <w:pPr>
        <w:keepNext/>
        <w:spacing w:before="280" w:after="120"/>
      </w:pPr>
      <w:r>
        <w:rPr>
          <w:rFonts w:ascii="Arial" w:hAnsi="Arial"/>
          <w:b/>
          <w:color w:val="2563EB"/>
          <w:sz w:val="28"/>
        </w:rPr>
        <w:t>Mathematical Scoring Algorithm</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after="0" w:line="264" w:lineRule="auto"/>
            </w:pPr>
            <w:r>
              <w:rPr>
                <w:rFonts w:ascii="Consolas" w:hAnsi="Consolas"/>
                <w:color w:val="E2E8F0"/>
                <w:sz w:val="19"/>
              </w:rPr>
              <w:t># 1. Independent Partial Risk Scores from 4 Signal Agents</w:t>
              <w:br/>
              <w:t>gas_score          = min(60.0, (gas_ppm / gas_threshold) * 60.0)  # Capped at 60 (gas alone cannot reach 'High')</w:t>
              <w:br/>
              <w:t>permit_score       = 15.0 if hot_work_permit else 0.0              # Hot-work ignition risk</w:t>
              <w:br/>
              <w:t>worker_score       = 15.0 if confined_space_entry else 0.0          # Trapped worker / escape bottleneck</w:t>
              <w:br/>
              <w:t>maintenance_score  = 10.0 if maintenance_active else 0.0          # Tool spark &amp; complexity risk</w:t>
              <w:br/>
              <w:br/>
              <w:t>base_score = gas_score + permit_score + worker_score + maintenance_score</w:t>
              <w:br/>
              <w:br/>
              <w:t># 2. Non-Linear Compound Interaction Bonus</w:t>
              <w:br/>
              <w:t># Fires ONLY when gas &gt; 75% LEL AND &gt;= 2 operational risk factors co-occur</w:t>
              <w:br/>
              <w:t>active_operational_factors = sum([hot_work_permit, confined_space_entry, maintenance_active])</w:t>
              <w:br/>
              <w:br/>
              <w:t>if (gas_ppm / gas_threshold) &gt; 0.75 and active_operational_factors &gt;= 2:</w:t>
              <w:br/>
              <w:t xml:space="preserve">    interaction_bonus = 15.0 * active_operational_factors</w:t>
              <w:br/>
              <w:t>else:</w:t>
              <w:br/>
              <w:t xml:space="preserve">    interaction_bonus = 0.0</w:t>
              <w:br/>
              <w:br/>
              <w:t># 3. Clamped Final Compound Score (0 - 100)</w:t>
              <w:br/>
              <w:t>final_score = min(100.0, base_score + interaction_bonus)</w:t>
            </w:r>
          </w:p>
        </w:tc>
      </w:tr>
    </w:tbl>
    <w:p>
      <w:pPr>
        <w:spacing w:after="120"/>
      </w:pPr>
    </w:p>
    <w:p>
      <w:pPr>
        <w:keepNext/>
        <w:spacing w:before="280" w:after="120"/>
      </w:pPr>
      <w:r>
        <w:rPr>
          <w:rFonts w:ascii="Arial" w:hAnsi="Arial"/>
          <w:b/>
          <w:color w:val="2563EB"/>
          <w:sz w:val="28"/>
        </w:rPr>
        <w:t>Hazard Level Classifications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00" w:type="dxa"/>
              <w:right w:w="100" w:type="dxa"/>
            </w:tcMar>
          </w:tcPr>
          <w:p>
            <w:r>
              <w:rPr>
                <w:b/>
                <w:color w:val="FFFFFF"/>
              </w:rPr>
              <w:t>Hazard Level</w:t>
            </w:r>
          </w:p>
        </w:tc>
        <w:tc>
          <w:tcPr>
            <w:tcW w:type="dxa" w:w="3120"/>
            <w:shd w:fill="0F172A"/>
            <w:tcMar>
              <w:top w:w="100" w:type="dxa"/>
              <w:bottom w:w="100" w:type="dxa"/>
              <w:left w:w="100" w:type="dxa"/>
              <w:right w:w="100" w:type="dxa"/>
            </w:tcMar>
          </w:tcPr>
          <w:p>
            <w:r>
              <w:rPr>
                <w:b/>
                <w:color w:val="FFFFFF"/>
              </w:rPr>
              <w:t>Score Range</w:t>
            </w:r>
          </w:p>
        </w:tc>
        <w:tc>
          <w:tcPr>
            <w:tcW w:type="dxa" w:w="3120"/>
            <w:shd w:fill="0F172A"/>
            <w:tcMar>
              <w:top w:w="100" w:type="dxa"/>
              <w:bottom w:w="100" w:type="dxa"/>
              <w:left w:w="100" w:type="dxa"/>
              <w:right w:w="100" w:type="dxa"/>
            </w:tcMar>
          </w:tcPr>
          <w:p>
            <w:r>
              <w:rPr>
                <w:b/>
                <w:color w:val="FFFFFF"/>
              </w:rPr>
              <w:t>Operational Meaning &amp; Response</w:t>
            </w:r>
          </w:p>
        </w:tc>
      </w:tr>
      <w:tr>
        <w:tc>
          <w:tcPr>
            <w:tcW w:type="dxa" w:w="3120"/>
            <w:shd w:fill="FFFFFF"/>
            <w:tcMar>
              <w:top w:w="80" w:type="dxa"/>
              <w:bottom w:w="80" w:type="dxa"/>
              <w:left w:w="100" w:type="dxa"/>
              <w:right w:w="100" w:type="dxa"/>
            </w:tcMar>
          </w:tcPr>
          <w:p>
            <w:r>
              <w:rPr>
                <w:b/>
              </w:rPr>
              <w:t>Safe</w:t>
            </w:r>
          </w:p>
        </w:tc>
        <w:tc>
          <w:tcPr>
            <w:tcW w:type="dxa" w:w="3120"/>
            <w:shd w:fill="FFFFFF"/>
            <w:tcMar>
              <w:top w:w="80" w:type="dxa"/>
              <w:bottom w:w="80" w:type="dxa"/>
              <w:left w:w="100" w:type="dxa"/>
              <w:right w:w="100" w:type="dxa"/>
            </w:tcMar>
          </w:tcPr>
          <w:p>
            <w:r>
              <w:t>0.0 – 34.9</w:t>
            </w:r>
          </w:p>
        </w:tc>
        <w:tc>
          <w:tcPr>
            <w:tcW w:type="dxa" w:w="3120"/>
            <w:shd w:fill="FFFFFF"/>
            <w:tcMar>
              <w:top w:w="80" w:type="dxa"/>
              <w:bottom w:w="80" w:type="dxa"/>
              <w:left w:w="100" w:type="dxa"/>
              <w:right w:w="100" w:type="dxa"/>
            </w:tcMar>
          </w:tcPr>
          <w:p>
            <w:r>
              <w:t>Nominal operating conditions. Routine monitoring active.</w:t>
            </w:r>
          </w:p>
        </w:tc>
      </w:tr>
      <w:tr>
        <w:tc>
          <w:tcPr>
            <w:tcW w:type="dxa" w:w="3120"/>
            <w:shd w:fill="F8FAFC"/>
            <w:tcMar>
              <w:top w:w="80" w:type="dxa"/>
              <w:bottom w:w="80" w:type="dxa"/>
              <w:left w:w="100" w:type="dxa"/>
              <w:right w:w="100" w:type="dxa"/>
            </w:tcMar>
          </w:tcPr>
          <w:p>
            <w:r>
              <w:rPr>
                <w:b/>
              </w:rPr>
              <w:t>Elevated</w:t>
            </w:r>
          </w:p>
        </w:tc>
        <w:tc>
          <w:tcPr>
            <w:tcW w:type="dxa" w:w="3120"/>
            <w:shd w:fill="F8FAFC"/>
            <w:tcMar>
              <w:top w:w="80" w:type="dxa"/>
              <w:bottom w:w="80" w:type="dxa"/>
              <w:left w:w="100" w:type="dxa"/>
              <w:right w:w="100" w:type="dxa"/>
            </w:tcMar>
          </w:tcPr>
          <w:p>
            <w:r>
              <w:t>35.0 – 59.9</w:t>
            </w:r>
          </w:p>
        </w:tc>
        <w:tc>
          <w:tcPr>
            <w:tcW w:type="dxa" w:w="3120"/>
            <w:shd w:fill="F8FAFC"/>
            <w:tcMar>
              <w:top w:w="80" w:type="dxa"/>
              <w:bottom w:w="80" w:type="dxa"/>
              <w:left w:w="100" w:type="dxa"/>
              <w:right w:w="100" w:type="dxa"/>
            </w:tcMar>
          </w:tcPr>
          <w:p>
            <w:r>
              <w:t>Precautionary review required. Elevated gas or active work permits.</w:t>
            </w:r>
          </w:p>
        </w:tc>
      </w:tr>
      <w:tr>
        <w:tc>
          <w:tcPr>
            <w:tcW w:type="dxa" w:w="3120"/>
            <w:shd w:fill="FFFFFF"/>
            <w:tcMar>
              <w:top w:w="80" w:type="dxa"/>
              <w:bottom w:w="80" w:type="dxa"/>
              <w:left w:w="100" w:type="dxa"/>
              <w:right w:w="100" w:type="dxa"/>
            </w:tcMar>
          </w:tcPr>
          <w:p>
            <w:r>
              <w:rPr>
                <w:b/>
              </w:rPr>
              <w:t>High</w:t>
            </w:r>
          </w:p>
        </w:tc>
        <w:tc>
          <w:tcPr>
            <w:tcW w:type="dxa" w:w="3120"/>
            <w:shd w:fill="FFFFFF"/>
            <w:tcMar>
              <w:top w:w="80" w:type="dxa"/>
              <w:bottom w:w="80" w:type="dxa"/>
              <w:left w:w="100" w:type="dxa"/>
              <w:right w:w="100" w:type="dxa"/>
            </w:tcMar>
          </w:tcPr>
          <w:p>
            <w:r>
              <w:t>60.0 – 79.9</w:t>
            </w:r>
          </w:p>
        </w:tc>
        <w:tc>
          <w:tcPr>
            <w:tcW w:type="dxa" w:w="3120"/>
            <w:shd w:fill="FFFFFF"/>
            <w:tcMar>
              <w:top w:w="80" w:type="dxa"/>
              <w:bottom w:w="80" w:type="dxa"/>
              <w:left w:w="100" w:type="dxa"/>
              <w:right w:w="100" w:type="dxa"/>
            </w:tcMar>
          </w:tcPr>
          <w:p>
            <w:r>
              <w:t>High risk threshold breached. Hot-work reviews &amp; worker warnings initiated.</w:t>
            </w:r>
          </w:p>
        </w:tc>
      </w:tr>
      <w:tr>
        <w:tc>
          <w:tcPr>
            <w:tcW w:type="dxa" w:w="3120"/>
            <w:shd w:fill="F8FAFC"/>
            <w:tcMar>
              <w:top w:w="80" w:type="dxa"/>
              <w:bottom w:w="80" w:type="dxa"/>
              <w:left w:w="100" w:type="dxa"/>
              <w:right w:w="100" w:type="dxa"/>
            </w:tcMar>
          </w:tcPr>
          <w:p>
            <w:r>
              <w:rPr>
                <w:b/>
              </w:rPr>
              <w:t>Critical</w:t>
            </w:r>
          </w:p>
        </w:tc>
        <w:tc>
          <w:tcPr>
            <w:tcW w:type="dxa" w:w="3120"/>
            <w:shd w:fill="F8FAFC"/>
            <w:tcMar>
              <w:top w:w="80" w:type="dxa"/>
              <w:bottom w:w="80" w:type="dxa"/>
              <w:left w:w="100" w:type="dxa"/>
              <w:right w:w="100" w:type="dxa"/>
            </w:tcMar>
          </w:tcPr>
          <w:p>
            <w:r>
              <w:t>80.0 – 100.0</w:t>
            </w:r>
          </w:p>
        </w:tc>
        <w:tc>
          <w:tcPr>
            <w:tcW w:type="dxa" w:w="3120"/>
            <w:shd w:fill="F8FAFC"/>
            <w:tcMar>
              <w:top w:w="80" w:type="dxa"/>
              <w:bottom w:w="80" w:type="dxa"/>
              <w:left w:w="100" w:type="dxa"/>
              <w:right w:w="100" w:type="dxa"/>
            </w:tcMar>
          </w:tcPr>
          <w:p>
            <w:r>
              <w:t>Catastrophic risk level. Compound bonus active. Immediate evacuation &amp; permit revocation.</w:t>
            </w:r>
          </w:p>
        </w:tc>
      </w:tr>
    </w:tbl>
    <w:p>
      <w:pPr>
        <w:spacing w:after="200"/>
      </w:pPr>
    </w:p>
    <w:p>
      <w:pPr>
        <w:keepNext/>
        <w:spacing w:before="280" w:after="120"/>
      </w:pPr>
      <w:r>
        <w:rPr>
          <w:rFonts w:ascii="Arial" w:hAnsi="Arial"/>
          <w:b/>
          <w:color w:val="2563EB"/>
          <w:sz w:val="28"/>
        </w:rPr>
        <w:t>Case Study: The 45.4-Point Intelligence Delta</w:t>
      </w:r>
    </w:p>
    <w:p>
      <w:pPr>
        <w:spacing w:after="120" w:line="276" w:lineRule="auto"/>
      </w:pPr>
      <w:r>
        <w:t>Consider an operational scenario in Zone Alpha (Compressor Hall):</w:t>
        <w:br/>
        <w:t>• Gas Concentration: 91 PPM (Threshold = 100 PPM). SCADA flags this as sub-alarm / non-critical.</w:t>
        <w:br/>
        <w:t>• Hot-Work Permit: Active (Permit P-2026-042).</w:t>
        <w:br/>
        <w:t>• Confined-Space Entry: Active (Worker W-102 inside).</w:t>
        <w:br/>
        <w:br/>
        <w:t>Scoring Breakdown:</w:t>
        <w:br/>
        <w:t>• Gas Agent Score: 54.6 pts</w:t>
        <w:br/>
        <w:t>• Permit Agent Score: 15.0 pts</w:t>
        <w:br/>
        <w:t>• Worker Agent Score: 15.0 pts</w:t>
        <w:br/>
        <w:t>• Base Score: 84.6 pts</w:t>
        <w:br/>
        <w:t>• Interaction Bonus: 15.0 * 2 = 30.0 pts (Triggered because gas is 91% &gt; 75% and 2 risk factors are active)</w:t>
        <w:br/>
        <w:t>• Final Compound Score: 100.0 (Critical) [Clamped]</w:t>
        <w:br/>
        <w:br/>
        <w:t>The 45.4-point delta between raw gas scoring (54.6) and compound risk (100.0) represents the compound safety intelligence signal that prevents disasters before they happen.</w:t>
      </w:r>
    </w:p>
    <w:p>
      <w:pPr>
        <w:keepNext/>
        <w:spacing w:before="360" w:after="160"/>
      </w:pPr>
      <w:r>
        <w:rPr>
          <w:rFonts w:ascii="Arial" w:hAnsi="Arial"/>
          <w:b/>
          <w:color w:val="0F172A"/>
          <w:sz w:val="36"/>
        </w:rPr>
        <w:t>3. Multi-Agent System Architecture &amp; Data Flow</w:t>
      </w:r>
    </w:p>
    <w:p>
      <w:pPr>
        <w:spacing w:after="120" w:line="276" w:lineRule="auto"/>
      </w:pPr>
      <w:r>
        <w:t>FusionIQ utilizes a decoupled, asynchronous multi-agent architecture to process high-frequency data streams, evaluate risk models, generate natural-language explanations, and present interactive UI visualizers.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after="0" w:line="264" w:lineRule="auto"/>
            </w:pPr>
            <w:r>
              <w:rPr>
                <w:rFonts w:ascii="Consolas" w:hAnsi="Consolas"/>
                <w:color w:val="E2E8F0"/>
                <w:sz w:val="19"/>
              </w:rPr>
              <w:t xml:space="preserve"> Data Streams          Hazard Intelligence           Cognitive &amp; RAG           UI Dashboard</w:t>
              <w:br/>
              <w:t xml:space="preserve"> ────────────          ───────────────────           ───────────────           ────────────</w:t>
              <w:br/>
              <w:t xml:space="preserve"> [IoT Gas] ────────► [Compound Orchestrator] ──────► [Gemini 2.0 Flash] ────► [SVG Heatmap Grid]</w:t>
              <w:br/>
              <w:t xml:space="preserve"> [Permits] ────────►   (hazard_engine.py)             (explainability.py)     (HeatmapGrid.jsx)</w:t>
              <w:br/>
              <w:t xml:space="preserve"> [Telemetry] ──────►  ├── gas_agent                  [Historical RAG]  ────► [React Flow Graph]</w:t>
              <w:br/>
              <w:t xml:space="preserve"> [Maintenance] ────►  ├── permit_agent                 (rag.py)               (KnowledgeGraph.jsx)</w:t>
              <w:br/>
              <w:t xml:space="preserve">                      ├── worker_agent                [Compliance Audit] ───► [7-Section Report]</w:t>
              <w:br/>
              <w:t xml:space="preserve">                      └── maint_agent                  (report_gen.py)        (Incident Report)</w:t>
            </w:r>
          </w:p>
        </w:tc>
      </w:tr>
    </w:tbl>
    <w:p>
      <w:pPr>
        <w:spacing w:after="120"/>
      </w:pPr>
    </w:p>
    <w:p>
      <w:pPr>
        <w:keepNext/>
        <w:spacing w:before="360" w:after="160"/>
      </w:pPr>
      <w:r>
        <w:rPr>
          <w:rFonts w:ascii="Arial" w:hAnsi="Arial"/>
          <w:b/>
          <w:color w:val="0F172A"/>
          <w:sz w:val="36"/>
        </w:rPr>
        <w:t>4. Key Functional Modules &amp; Technical Implementation</w:t>
      </w:r>
    </w:p>
    <w:p>
      <w:pPr>
        <w:keepNext/>
        <w:spacing w:before="280" w:after="120"/>
      </w:pPr>
      <w:r>
        <w:rPr>
          <w:rFonts w:ascii="Arial" w:hAnsi="Arial"/>
          <w:b/>
          <w:color w:val="2563EB"/>
          <w:sz w:val="28"/>
        </w:rPr>
        <w:t>1. Asynchronous REST API Backend (main.py)</w:t>
      </w:r>
    </w:p>
    <w:p>
      <w:pPr>
        <w:spacing w:after="120" w:line="276" w:lineRule="auto"/>
      </w:pPr>
      <w:r>
        <w:t>Built on Python 3.11 and FastAPI v0.8.0, the backend exposes 10 REST endpoints. It handles cross-origin resource sharing (CORS), asynchronous context management, and ORM database binding.</w:t>
      </w:r>
    </w:p>
    <w:p>
      <w:pPr>
        <w:keepNext/>
        <w:spacing w:before="280" w:after="120"/>
      </w:pPr>
      <w:r>
        <w:rPr>
          <w:rFonts w:ascii="Arial" w:hAnsi="Arial"/>
          <w:b/>
          <w:color w:val="2563EB"/>
          <w:sz w:val="28"/>
        </w:rPr>
        <w:t>2. Real-Time Telemetry Data Simulator (simulator.py)</w:t>
      </w:r>
    </w:p>
    <w:p>
      <w:pPr>
        <w:spacing w:after="120" w:line="276" w:lineRule="auto"/>
      </w:pPr>
      <w:r>
        <w:t>Simulates a live industrial environment using scenario keyframes from data/scenario.json. The simulator linear-interpolates gas PPM between timestamps, injects ±2 PPM random noise, and controls start/pause/reset scenario clocks.</w:t>
      </w:r>
    </w:p>
    <w:p>
      <w:pPr>
        <w:keepNext/>
        <w:spacing w:before="280" w:after="120"/>
      </w:pPr>
      <w:r>
        <w:rPr>
          <w:rFonts w:ascii="Arial" w:hAnsi="Arial"/>
          <w:b/>
          <w:color w:val="2563EB"/>
          <w:sz w:val="28"/>
        </w:rPr>
        <w:t>3. Gemini-Powered AI Explainability (explainability.py)</w:t>
      </w:r>
    </w:p>
    <w:p>
      <w:pPr>
        <w:spacing w:after="120" w:line="276" w:lineRule="auto"/>
      </w:pPr>
      <w:r>
        <w:t>Integrates Google Gemini 2.0 Flash to evaluate real-time signals and return structured JSON containing root causes, AI confidence metrics, and three prioritized emergency steps. Features daemon threading with 5-second execution timeouts and in-memory event-id caching to avoid redundant API consumption during 2-second UI polling.</w:t>
      </w:r>
    </w:p>
    <w:p>
      <w:pPr>
        <w:keepNext/>
        <w:spacing w:before="280" w:after="120"/>
      </w:pPr>
      <w:r>
        <w:rPr>
          <w:rFonts w:ascii="Arial" w:hAnsi="Arial"/>
          <w:b/>
          <w:color w:val="2563EB"/>
          <w:sz w:val="28"/>
        </w:rPr>
        <w:t>4. Incident Pattern Intelligence &amp; RAG (rag.py)</w:t>
      </w:r>
    </w:p>
    <w:p>
      <w:pPr>
        <w:spacing w:after="120" w:line="276" w:lineRule="auto"/>
      </w:pPr>
      <w:r>
        <w:t>Extracts dynamic hazard tags (gas, hot_work, confined_space, maintenance) from telemetry and executes a tag-overlap search against a 15-entry historical incident corpus (data/incidents.json). Provides instant historical context and root-cause matching.</w:t>
      </w:r>
    </w:p>
    <w:p>
      <w:pPr>
        <w:keepNext/>
        <w:spacing w:before="280" w:after="120"/>
      </w:pPr>
      <w:r>
        <w:rPr>
          <w:rFonts w:ascii="Arial" w:hAnsi="Arial"/>
          <w:b/>
          <w:color w:val="2563EB"/>
          <w:sz w:val="28"/>
        </w:rPr>
        <w:t>5. Regulatory Audit &amp; Incident Report Generator (report_generator.py)</w:t>
      </w:r>
    </w:p>
    <w:p>
      <w:pPr>
        <w:spacing w:after="120" w:line="276" w:lineRule="auto"/>
      </w:pPr>
      <w:r>
        <w:t>Compiles structured 7-section compliance audit reports covering immediate actions, root cause analyses, follow-up steps, and statutory references under Section 36/36A of The Factories Act 1948, OISD Standards 105/116/117, and DGMS Circular 04/2023.</w:t>
      </w:r>
    </w:p>
    <w:p>
      <w:pPr>
        <w:keepNext/>
        <w:spacing w:before="280" w:after="120"/>
      </w:pPr>
      <w:r>
        <w:rPr>
          <w:rFonts w:ascii="Arial" w:hAnsi="Arial"/>
          <w:b/>
          <w:color w:val="2563EB"/>
          <w:sz w:val="28"/>
        </w:rPr>
        <w:t>6. Real-Time React Dashboard (App.jsx &amp; Components)</w:t>
      </w:r>
    </w:p>
    <w:p>
      <w:pPr>
        <w:spacing w:after="120" w:line="276" w:lineRule="auto"/>
      </w:pPr>
      <w:r>
        <w:t>Built with React 18, Vite, and Tailwind CSS. Features an interactive SVG Geospatial Heatmap (HeatmapGrid.jsx), an interactive React Flow Knowledge Graph (KnowledgeGraph.jsx), real-time SIMOPs permit conflict panels, worker location tracking, and modal report viewers.</w:t>
      </w:r>
    </w:p>
    <w:p>
      <w:pPr>
        <w:keepNext/>
        <w:spacing w:before="360" w:after="160"/>
      </w:pPr>
      <w:r>
        <w:rPr>
          <w:rFonts w:ascii="Arial" w:hAnsi="Arial"/>
          <w:b/>
          <w:color w:val="0F172A"/>
          <w:sz w:val="36"/>
        </w:rPr>
        <w:t>5. Live Demo Scenario Timeline (Zone Alpha Progression)</w:t>
      </w:r>
    </w:p>
    <w:p>
      <w:pPr>
        <w:spacing w:after="120" w:line="276" w:lineRule="auto"/>
      </w:pPr>
      <w:r>
        <w:t>The backend simulator executes a 160-second arc demonstrating the escalation of an emergency in Zone Alpha (Compressor Hall):</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80" w:type="dxa"/>
              <w:bottom w:w="80" w:type="dxa"/>
              <w:left w:w="60" w:type="dxa"/>
              <w:right w:w="60" w:type="dxa"/>
            </w:tcMar>
          </w:tcPr>
          <w:p>
            <w:r>
              <w:rPr>
                <w:b/>
                <w:color w:val="FFFFFF"/>
              </w:rPr>
              <w:t>Time</w:t>
            </w:r>
          </w:p>
        </w:tc>
        <w:tc>
          <w:tcPr>
            <w:tcW w:type="dxa" w:w="1337"/>
            <w:shd w:fill="0F172A"/>
            <w:tcMar>
              <w:top w:w="80" w:type="dxa"/>
              <w:bottom w:w="80" w:type="dxa"/>
              <w:left w:w="60" w:type="dxa"/>
              <w:right w:w="60" w:type="dxa"/>
            </w:tcMar>
          </w:tcPr>
          <w:p>
            <w:r>
              <w:rPr>
                <w:b/>
                <w:color w:val="FFFFFF"/>
              </w:rPr>
              <w:t>Gas (PPM)</w:t>
            </w:r>
          </w:p>
        </w:tc>
        <w:tc>
          <w:tcPr>
            <w:tcW w:type="dxa" w:w="1337"/>
            <w:shd w:fill="0F172A"/>
            <w:tcMar>
              <w:top w:w="80" w:type="dxa"/>
              <w:bottom w:w="80" w:type="dxa"/>
              <w:left w:w="60" w:type="dxa"/>
              <w:right w:w="60" w:type="dxa"/>
            </w:tcMar>
          </w:tcPr>
          <w:p>
            <w:r>
              <w:rPr>
                <w:b/>
                <w:color w:val="FFFFFF"/>
              </w:rPr>
              <w:t>Hot-Work</w:t>
            </w:r>
          </w:p>
        </w:tc>
        <w:tc>
          <w:tcPr>
            <w:tcW w:type="dxa" w:w="1337"/>
            <w:shd w:fill="0F172A"/>
            <w:tcMar>
              <w:top w:w="80" w:type="dxa"/>
              <w:bottom w:w="80" w:type="dxa"/>
              <w:left w:w="60" w:type="dxa"/>
              <w:right w:w="60" w:type="dxa"/>
            </w:tcMar>
          </w:tcPr>
          <w:p>
            <w:r>
              <w:rPr>
                <w:b/>
                <w:color w:val="FFFFFF"/>
              </w:rPr>
              <w:t>Confined</w:t>
            </w:r>
          </w:p>
        </w:tc>
        <w:tc>
          <w:tcPr>
            <w:tcW w:type="dxa" w:w="1337"/>
            <w:shd w:fill="0F172A"/>
            <w:tcMar>
              <w:top w:w="80" w:type="dxa"/>
              <w:bottom w:w="80" w:type="dxa"/>
              <w:left w:w="60" w:type="dxa"/>
              <w:right w:w="60" w:type="dxa"/>
            </w:tcMar>
          </w:tcPr>
          <w:p>
            <w:r>
              <w:rPr>
                <w:b/>
                <w:color w:val="FFFFFF"/>
              </w:rPr>
              <w:t>Maint.</w:t>
            </w:r>
          </w:p>
        </w:tc>
        <w:tc>
          <w:tcPr>
            <w:tcW w:type="dxa" w:w="1337"/>
            <w:shd w:fill="0F172A"/>
            <w:tcMar>
              <w:top w:w="80" w:type="dxa"/>
              <w:bottom w:w="80" w:type="dxa"/>
              <w:left w:w="60" w:type="dxa"/>
              <w:right w:w="60" w:type="dxa"/>
            </w:tcMar>
          </w:tcPr>
          <w:p>
            <w:r>
              <w:rPr>
                <w:b/>
                <w:color w:val="FFFFFF"/>
              </w:rPr>
              <w:t>Score</w:t>
            </w:r>
          </w:p>
        </w:tc>
        <w:tc>
          <w:tcPr>
            <w:tcW w:type="dxa" w:w="1337"/>
            <w:shd w:fill="0F172A"/>
            <w:tcMar>
              <w:top w:w="80" w:type="dxa"/>
              <w:bottom w:w="80" w:type="dxa"/>
              <w:left w:w="60" w:type="dxa"/>
              <w:right w:w="60" w:type="dxa"/>
            </w:tcMar>
          </w:tcPr>
          <w:p>
            <w:r>
              <w:rPr>
                <w:b/>
                <w:color w:val="FFFFFF"/>
              </w:rPr>
              <w:t>Level &amp; Reaction</w:t>
            </w:r>
          </w:p>
        </w:tc>
      </w:tr>
      <w:tr>
        <w:tc>
          <w:tcPr>
            <w:tcW w:type="dxa" w:w="1337"/>
            <w:shd w:fill="FFFFFF"/>
            <w:tcMar>
              <w:top w:w="60" w:type="dxa"/>
              <w:bottom w:w="60" w:type="dxa"/>
              <w:left w:w="60" w:type="dxa"/>
              <w:right w:w="60" w:type="dxa"/>
            </w:tcMar>
          </w:tcPr>
          <w:p>
            <w:r>
              <w:rPr>
                <w:b/>
              </w:rPr>
              <w:t>0:00</w:t>
            </w:r>
          </w:p>
        </w:tc>
        <w:tc>
          <w:tcPr>
            <w:tcW w:type="dxa" w:w="1337"/>
            <w:shd w:fill="FFFFFF"/>
            <w:tcMar>
              <w:top w:w="60" w:type="dxa"/>
              <w:bottom w:w="60" w:type="dxa"/>
              <w:left w:w="60" w:type="dxa"/>
              <w:right w:w="60" w:type="dxa"/>
            </w:tcMar>
          </w:tcPr>
          <w:p>
            <w:r>
              <w:t>40 PPM</w:t>
            </w:r>
          </w:p>
        </w:tc>
        <w:tc>
          <w:tcPr>
            <w:tcW w:type="dxa" w:w="1337"/>
            <w:shd w:fill="FFFFFF"/>
            <w:tcMar>
              <w:top w:w="60" w:type="dxa"/>
              <w:bottom w:w="60" w:type="dxa"/>
              <w:left w:w="60" w:type="dxa"/>
              <w:right w:w="60" w:type="dxa"/>
            </w:tcMar>
          </w:tcPr>
          <w:p>
            <w:r>
              <w:t>No</w:t>
            </w:r>
          </w:p>
        </w:tc>
        <w:tc>
          <w:tcPr>
            <w:tcW w:type="dxa" w:w="1337"/>
            <w:shd w:fill="FFFFFF"/>
            <w:tcMar>
              <w:top w:w="60" w:type="dxa"/>
              <w:bottom w:w="60" w:type="dxa"/>
              <w:left w:w="60" w:type="dxa"/>
              <w:right w:w="60" w:type="dxa"/>
            </w:tcMar>
          </w:tcPr>
          <w:p>
            <w:r>
              <w:t>No</w:t>
            </w:r>
          </w:p>
        </w:tc>
        <w:tc>
          <w:tcPr>
            <w:tcW w:type="dxa" w:w="1337"/>
            <w:shd w:fill="FFFFFF"/>
            <w:tcMar>
              <w:top w:w="60" w:type="dxa"/>
              <w:bottom w:w="60" w:type="dxa"/>
              <w:left w:w="60" w:type="dxa"/>
              <w:right w:w="60" w:type="dxa"/>
            </w:tcMar>
          </w:tcPr>
          <w:p>
            <w:r>
              <w:t>No</w:t>
            </w:r>
          </w:p>
        </w:tc>
        <w:tc>
          <w:tcPr>
            <w:tcW w:type="dxa" w:w="1337"/>
            <w:shd w:fill="FFFFFF"/>
            <w:tcMar>
              <w:top w:w="60" w:type="dxa"/>
              <w:bottom w:w="60" w:type="dxa"/>
              <w:left w:w="60" w:type="dxa"/>
              <w:right w:w="60" w:type="dxa"/>
            </w:tcMar>
          </w:tcPr>
          <w:p>
            <w:r>
              <w:rPr>
                <w:b/>
              </w:rPr>
              <w:t>8.0</w:t>
            </w:r>
          </w:p>
        </w:tc>
        <w:tc>
          <w:tcPr>
            <w:tcW w:type="dxa" w:w="1337"/>
            <w:shd w:fill="FFFFFF"/>
            <w:tcMar>
              <w:top w:w="60" w:type="dxa"/>
              <w:bottom w:w="60" w:type="dxa"/>
              <w:left w:w="60" w:type="dxa"/>
              <w:right w:w="60" w:type="dxa"/>
            </w:tcMar>
          </w:tcPr>
          <w:p>
            <w:r>
              <w:t>Safe — Green SVG Grid; normal operations.</w:t>
            </w:r>
          </w:p>
        </w:tc>
      </w:tr>
      <w:tr>
        <w:tc>
          <w:tcPr>
            <w:tcW w:type="dxa" w:w="1337"/>
            <w:shd w:fill="F8FAFC"/>
            <w:tcMar>
              <w:top w:w="60" w:type="dxa"/>
              <w:bottom w:w="60" w:type="dxa"/>
              <w:left w:w="60" w:type="dxa"/>
              <w:right w:w="60" w:type="dxa"/>
            </w:tcMar>
          </w:tcPr>
          <w:p>
            <w:r>
              <w:rPr>
                <w:b/>
              </w:rPr>
              <w:t>0:50</w:t>
            </w:r>
          </w:p>
        </w:tc>
        <w:tc>
          <w:tcPr>
            <w:tcW w:type="dxa" w:w="1337"/>
            <w:shd w:fill="F8FAFC"/>
            <w:tcMar>
              <w:top w:w="60" w:type="dxa"/>
              <w:bottom w:w="60" w:type="dxa"/>
              <w:left w:w="60" w:type="dxa"/>
              <w:right w:w="60" w:type="dxa"/>
            </w:tcMar>
          </w:tcPr>
          <w:p>
            <w:r>
              <w:t>82 PPM</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rPr>
                <w:b/>
              </w:rPr>
              <w:t>22.0</w:t>
            </w:r>
          </w:p>
        </w:tc>
        <w:tc>
          <w:tcPr>
            <w:tcW w:type="dxa" w:w="1337"/>
            <w:shd w:fill="F8FAFC"/>
            <w:tcMar>
              <w:top w:w="60" w:type="dxa"/>
              <w:bottom w:w="60" w:type="dxa"/>
              <w:left w:w="60" w:type="dxa"/>
              <w:right w:w="60" w:type="dxa"/>
            </w:tcMar>
          </w:tcPr>
          <w:p>
            <w:r>
              <w:t>Safe — Gas rising; SVG heatmap opacity shifts.</w:t>
            </w:r>
          </w:p>
        </w:tc>
      </w:tr>
      <w:tr>
        <w:tc>
          <w:tcPr>
            <w:tcW w:type="dxa" w:w="1337"/>
            <w:shd w:fill="FFFFFF"/>
            <w:tcMar>
              <w:top w:w="60" w:type="dxa"/>
              <w:bottom w:w="60" w:type="dxa"/>
              <w:left w:w="60" w:type="dxa"/>
              <w:right w:w="60" w:type="dxa"/>
            </w:tcMar>
          </w:tcPr>
          <w:p>
            <w:r>
              <w:rPr>
                <w:b/>
              </w:rPr>
              <w:t>1:20</w:t>
            </w:r>
          </w:p>
        </w:tc>
        <w:tc>
          <w:tcPr>
            <w:tcW w:type="dxa" w:w="1337"/>
            <w:shd w:fill="FFFFFF"/>
            <w:tcMar>
              <w:top w:w="60" w:type="dxa"/>
              <w:bottom w:w="60" w:type="dxa"/>
              <w:left w:w="60" w:type="dxa"/>
              <w:right w:w="60" w:type="dxa"/>
            </w:tcMar>
          </w:tcPr>
          <w:p>
            <w:r>
              <w:t>85 PPM</w:t>
            </w:r>
          </w:p>
        </w:tc>
        <w:tc>
          <w:tcPr>
            <w:tcW w:type="dxa" w:w="1337"/>
            <w:shd w:fill="FFFFFF"/>
            <w:tcMar>
              <w:top w:w="60" w:type="dxa"/>
              <w:bottom w:w="60" w:type="dxa"/>
              <w:left w:w="60" w:type="dxa"/>
              <w:right w:w="60" w:type="dxa"/>
            </w:tcMar>
          </w:tcPr>
          <w:p>
            <w:r>
              <w:t>Yes</w:t>
            </w:r>
          </w:p>
        </w:tc>
        <w:tc>
          <w:tcPr>
            <w:tcW w:type="dxa" w:w="1337"/>
            <w:shd w:fill="FFFFFF"/>
            <w:tcMar>
              <w:top w:w="60" w:type="dxa"/>
              <w:bottom w:w="60" w:type="dxa"/>
              <w:left w:w="60" w:type="dxa"/>
              <w:right w:w="60" w:type="dxa"/>
            </w:tcMar>
          </w:tcPr>
          <w:p>
            <w:r>
              <w:t>No</w:t>
            </w:r>
          </w:p>
        </w:tc>
        <w:tc>
          <w:tcPr>
            <w:tcW w:type="dxa" w:w="1337"/>
            <w:shd w:fill="FFFFFF"/>
            <w:tcMar>
              <w:top w:w="60" w:type="dxa"/>
              <w:bottom w:w="60" w:type="dxa"/>
              <w:left w:w="60" w:type="dxa"/>
              <w:right w:w="60" w:type="dxa"/>
            </w:tcMar>
          </w:tcPr>
          <w:p>
            <w:r>
              <w:t>No</w:t>
            </w:r>
          </w:p>
        </w:tc>
        <w:tc>
          <w:tcPr>
            <w:tcW w:type="dxa" w:w="1337"/>
            <w:shd w:fill="FFFFFF"/>
            <w:tcMar>
              <w:top w:w="60" w:type="dxa"/>
              <w:bottom w:w="60" w:type="dxa"/>
              <w:left w:w="60" w:type="dxa"/>
              <w:right w:w="60" w:type="dxa"/>
            </w:tcMar>
          </w:tcPr>
          <w:p>
            <w:r>
              <w:rPr>
                <w:b/>
              </w:rPr>
              <w:t>41.0</w:t>
            </w:r>
          </w:p>
        </w:tc>
        <w:tc>
          <w:tcPr>
            <w:tcW w:type="dxa" w:w="1337"/>
            <w:shd w:fill="FFFFFF"/>
            <w:tcMar>
              <w:top w:w="60" w:type="dxa"/>
              <w:bottom w:w="60" w:type="dxa"/>
              <w:left w:w="60" w:type="dxa"/>
              <w:right w:w="60" w:type="dxa"/>
            </w:tcMar>
          </w:tcPr>
          <w:p>
            <w:r>
              <w:t>Elevated — Hot-work permit issued; SIMOPs warning.</w:t>
            </w:r>
          </w:p>
        </w:tc>
      </w:tr>
      <w:tr>
        <w:tc>
          <w:tcPr>
            <w:tcW w:type="dxa" w:w="1337"/>
            <w:shd w:fill="F8FAFC"/>
            <w:tcMar>
              <w:top w:w="60" w:type="dxa"/>
              <w:bottom w:w="60" w:type="dxa"/>
              <w:left w:w="60" w:type="dxa"/>
              <w:right w:w="60" w:type="dxa"/>
            </w:tcMar>
          </w:tcPr>
          <w:p>
            <w:r>
              <w:rPr>
                <w:b/>
              </w:rPr>
              <w:t>1:50</w:t>
            </w:r>
          </w:p>
        </w:tc>
        <w:tc>
          <w:tcPr>
            <w:tcW w:type="dxa" w:w="1337"/>
            <w:shd w:fill="F8FAFC"/>
            <w:tcMar>
              <w:top w:w="60" w:type="dxa"/>
              <w:bottom w:w="60" w:type="dxa"/>
              <w:left w:w="60" w:type="dxa"/>
              <w:right w:w="60" w:type="dxa"/>
            </w:tcMar>
          </w:tcPr>
          <w:p>
            <w:r>
              <w:t>88 PPM</w:t>
            </w:r>
          </w:p>
        </w:tc>
        <w:tc>
          <w:tcPr>
            <w:tcW w:type="dxa" w:w="1337"/>
            <w:shd w:fill="F8FAFC"/>
            <w:tcMar>
              <w:top w:w="60" w:type="dxa"/>
              <w:bottom w:w="60" w:type="dxa"/>
              <w:left w:w="60" w:type="dxa"/>
              <w:right w:w="60" w:type="dxa"/>
            </w:tcMar>
          </w:tcPr>
          <w:p>
            <w:r>
              <w:t>Yes</w:t>
            </w:r>
          </w:p>
        </w:tc>
        <w:tc>
          <w:tcPr>
            <w:tcW w:type="dxa" w:w="1337"/>
            <w:shd w:fill="F8FAFC"/>
            <w:tcMar>
              <w:top w:w="60" w:type="dxa"/>
              <w:bottom w:w="60" w:type="dxa"/>
              <w:left w:w="60" w:type="dxa"/>
              <w:right w:w="60" w:type="dxa"/>
            </w:tcMar>
          </w:tcPr>
          <w:p>
            <w:r>
              <w:t>Yes</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rPr>
                <w:b/>
              </w:rPr>
              <w:t>68.0</w:t>
            </w:r>
          </w:p>
        </w:tc>
        <w:tc>
          <w:tcPr>
            <w:tcW w:type="dxa" w:w="1337"/>
            <w:shd w:fill="F8FAFC"/>
            <w:tcMar>
              <w:top w:w="60" w:type="dxa"/>
              <w:bottom w:w="60" w:type="dxa"/>
              <w:left w:w="60" w:type="dxa"/>
              <w:right w:w="60" w:type="dxa"/>
            </w:tcMar>
          </w:tcPr>
          <w:p>
            <w:r>
              <w:t>High — Confined entry; Knowledge Graph links worker.</w:t>
            </w:r>
          </w:p>
        </w:tc>
      </w:tr>
      <w:tr>
        <w:tc>
          <w:tcPr>
            <w:tcW w:type="dxa" w:w="1337"/>
            <w:shd w:fill="FFFFFF"/>
            <w:tcMar>
              <w:top w:w="60" w:type="dxa"/>
              <w:bottom w:w="60" w:type="dxa"/>
              <w:left w:w="60" w:type="dxa"/>
              <w:right w:w="60" w:type="dxa"/>
            </w:tcMar>
          </w:tcPr>
          <w:p>
            <w:r>
              <w:rPr>
                <w:b/>
              </w:rPr>
              <w:t>2:20</w:t>
            </w:r>
          </w:p>
        </w:tc>
        <w:tc>
          <w:tcPr>
            <w:tcW w:type="dxa" w:w="1337"/>
            <w:shd w:fill="FFFFFF"/>
            <w:tcMar>
              <w:top w:w="60" w:type="dxa"/>
              <w:bottom w:w="60" w:type="dxa"/>
              <w:left w:w="60" w:type="dxa"/>
              <w:right w:w="60" w:type="dxa"/>
            </w:tcMar>
          </w:tcPr>
          <w:p>
            <w:r>
              <w:t>91 PPM</w:t>
            </w:r>
          </w:p>
        </w:tc>
        <w:tc>
          <w:tcPr>
            <w:tcW w:type="dxa" w:w="1337"/>
            <w:shd w:fill="FFFFFF"/>
            <w:tcMar>
              <w:top w:w="60" w:type="dxa"/>
              <w:bottom w:w="60" w:type="dxa"/>
              <w:left w:w="60" w:type="dxa"/>
              <w:right w:w="60" w:type="dxa"/>
            </w:tcMar>
          </w:tcPr>
          <w:p>
            <w:r>
              <w:t>Yes</w:t>
            </w:r>
          </w:p>
        </w:tc>
        <w:tc>
          <w:tcPr>
            <w:tcW w:type="dxa" w:w="1337"/>
            <w:shd w:fill="FFFFFF"/>
            <w:tcMar>
              <w:top w:w="60" w:type="dxa"/>
              <w:bottom w:w="60" w:type="dxa"/>
              <w:left w:w="60" w:type="dxa"/>
              <w:right w:w="60" w:type="dxa"/>
            </w:tcMar>
          </w:tcPr>
          <w:p>
            <w:r>
              <w:t>Yes</w:t>
            </w:r>
          </w:p>
        </w:tc>
        <w:tc>
          <w:tcPr>
            <w:tcW w:type="dxa" w:w="1337"/>
            <w:shd w:fill="FFFFFF"/>
            <w:tcMar>
              <w:top w:w="60" w:type="dxa"/>
              <w:bottom w:w="60" w:type="dxa"/>
              <w:left w:w="60" w:type="dxa"/>
              <w:right w:w="60" w:type="dxa"/>
            </w:tcMar>
          </w:tcPr>
          <w:p>
            <w:r>
              <w:t>Yes</w:t>
            </w:r>
          </w:p>
        </w:tc>
        <w:tc>
          <w:tcPr>
            <w:tcW w:type="dxa" w:w="1337"/>
            <w:shd w:fill="FFFFFF"/>
            <w:tcMar>
              <w:top w:w="60" w:type="dxa"/>
              <w:bottom w:w="60" w:type="dxa"/>
              <w:left w:w="60" w:type="dxa"/>
              <w:right w:w="60" w:type="dxa"/>
            </w:tcMar>
          </w:tcPr>
          <w:p>
            <w:r>
              <w:rPr>
                <w:b/>
              </w:rPr>
              <w:t>100.0</w:t>
            </w:r>
          </w:p>
        </w:tc>
        <w:tc>
          <w:tcPr>
            <w:tcW w:type="dxa" w:w="1337"/>
            <w:shd w:fill="FFFFFF"/>
            <w:tcMar>
              <w:top w:w="60" w:type="dxa"/>
              <w:bottom w:w="60" w:type="dxa"/>
              <w:left w:w="60" w:type="dxa"/>
              <w:right w:w="60" w:type="dxa"/>
            </w:tcMar>
          </w:tcPr>
          <w:p>
            <w:r>
              <w:t>Critical — Compound Bonus (+30); Gemini XAI fires.</w:t>
            </w:r>
          </w:p>
        </w:tc>
      </w:tr>
      <w:tr>
        <w:tc>
          <w:tcPr>
            <w:tcW w:type="dxa" w:w="1337"/>
            <w:shd w:fill="F8FAFC"/>
            <w:tcMar>
              <w:top w:w="60" w:type="dxa"/>
              <w:bottom w:w="60" w:type="dxa"/>
              <w:left w:w="60" w:type="dxa"/>
              <w:right w:w="60" w:type="dxa"/>
            </w:tcMar>
          </w:tcPr>
          <w:p>
            <w:r>
              <w:rPr>
                <w:b/>
              </w:rPr>
              <w:t>2:40</w:t>
            </w:r>
          </w:p>
        </w:tc>
        <w:tc>
          <w:tcPr>
            <w:tcW w:type="dxa" w:w="1337"/>
            <w:shd w:fill="F8FAFC"/>
            <w:tcMar>
              <w:top w:w="60" w:type="dxa"/>
              <w:bottom w:w="60" w:type="dxa"/>
              <w:left w:w="60" w:type="dxa"/>
              <w:right w:w="60" w:type="dxa"/>
            </w:tcMar>
          </w:tcPr>
          <w:p>
            <w:r>
              <w:t>Reset</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t>No</w:t>
            </w:r>
          </w:p>
        </w:tc>
        <w:tc>
          <w:tcPr>
            <w:tcW w:type="dxa" w:w="1337"/>
            <w:shd w:fill="F8FAFC"/>
            <w:tcMar>
              <w:top w:w="60" w:type="dxa"/>
              <w:bottom w:w="60" w:type="dxa"/>
              <w:left w:w="60" w:type="dxa"/>
              <w:right w:w="60" w:type="dxa"/>
            </w:tcMar>
          </w:tcPr>
          <w:p>
            <w:r>
              <w:rPr>
                <w:b/>
              </w:rPr>
              <w:t>8.0</w:t>
            </w:r>
          </w:p>
        </w:tc>
        <w:tc>
          <w:tcPr>
            <w:tcW w:type="dxa" w:w="1337"/>
            <w:shd w:fill="F8FAFC"/>
            <w:tcMar>
              <w:top w:w="60" w:type="dxa"/>
              <w:bottom w:w="60" w:type="dxa"/>
              <w:left w:w="60" w:type="dxa"/>
              <w:right w:w="60" w:type="dxa"/>
            </w:tcMar>
          </w:tcPr>
          <w:p>
            <w:r>
              <w:t>Safe — Clock auto-resets back to baseline nominal state.</w:t>
            </w:r>
          </w:p>
        </w:tc>
      </w:tr>
    </w:tbl>
    <w:p>
      <w:pPr>
        <w:spacing w:after="200"/>
      </w:pPr>
    </w:p>
    <w:p>
      <w:pPr>
        <w:keepNext/>
        <w:spacing w:before="360" w:after="160"/>
      </w:pPr>
      <w:r>
        <w:rPr>
          <w:rFonts w:ascii="Arial" w:hAnsi="Arial"/>
          <w:b/>
          <w:color w:val="0F172A"/>
          <w:sz w:val="36"/>
        </w:rPr>
        <w:t>6. Technology Stack Summary</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rPr>
              <w:t>Component</w:t>
            </w:r>
          </w:p>
        </w:tc>
        <w:tc>
          <w:tcPr>
            <w:tcW w:type="dxa" w:w="3120"/>
            <w:shd w:fill="0F172A"/>
            <w:tcMar>
              <w:top w:w="80" w:type="dxa"/>
              <w:bottom w:w="80" w:type="dxa"/>
              <w:left w:w="100" w:type="dxa"/>
              <w:right w:w="100" w:type="dxa"/>
            </w:tcMar>
          </w:tcPr>
          <w:p>
            <w:r>
              <w:rPr>
                <w:b/>
                <w:color w:val="FFFFFF"/>
              </w:rPr>
              <w:t>Technology</w:t>
            </w:r>
          </w:p>
        </w:tc>
        <w:tc>
          <w:tcPr>
            <w:tcW w:type="dxa" w:w="3120"/>
            <w:shd w:fill="0F172A"/>
            <w:tcMar>
              <w:top w:w="80" w:type="dxa"/>
              <w:bottom w:w="80" w:type="dxa"/>
              <w:left w:w="100" w:type="dxa"/>
              <w:right w:w="100" w:type="dxa"/>
            </w:tcMar>
          </w:tcPr>
          <w:p>
            <w:r>
              <w:rPr>
                <w:b/>
                <w:color w:val="FFFFFF"/>
              </w:rPr>
              <w:t>Purpose &amp; Architectural Role</w:t>
            </w:r>
          </w:p>
        </w:tc>
      </w:tr>
      <w:tr>
        <w:tc>
          <w:tcPr>
            <w:tcW w:type="dxa" w:w="3120"/>
            <w:shd w:fill="FFFFFF"/>
            <w:tcMar>
              <w:top w:w="60" w:type="dxa"/>
              <w:bottom w:w="60" w:type="dxa"/>
              <w:left w:w="100" w:type="dxa"/>
              <w:right w:w="100" w:type="dxa"/>
            </w:tcMar>
          </w:tcPr>
          <w:p>
            <w:r>
              <w:rPr>
                <w:b/>
              </w:rPr>
              <w:t>Backend Framework</w:t>
            </w:r>
          </w:p>
        </w:tc>
        <w:tc>
          <w:tcPr>
            <w:tcW w:type="dxa" w:w="3120"/>
            <w:shd w:fill="FFFFFF"/>
            <w:tcMar>
              <w:top w:w="60" w:type="dxa"/>
              <w:bottom w:w="60" w:type="dxa"/>
              <w:left w:w="100" w:type="dxa"/>
              <w:right w:w="100" w:type="dxa"/>
            </w:tcMar>
          </w:tcPr>
          <w:p>
            <w:r>
              <w:t>Python 3.11 / FastAPI</w:t>
            </w:r>
          </w:p>
        </w:tc>
        <w:tc>
          <w:tcPr>
            <w:tcW w:type="dxa" w:w="3120"/>
            <w:shd w:fill="FFFFFF"/>
            <w:tcMar>
              <w:top w:w="60" w:type="dxa"/>
              <w:bottom w:w="60" w:type="dxa"/>
              <w:left w:w="100" w:type="dxa"/>
              <w:right w:w="100" w:type="dxa"/>
            </w:tcMar>
          </w:tcPr>
          <w:p>
            <w:r>
              <w:t>Asynchronous REST API backend &amp; Swagger documentation</w:t>
            </w:r>
          </w:p>
        </w:tc>
      </w:tr>
      <w:tr>
        <w:tc>
          <w:tcPr>
            <w:tcW w:type="dxa" w:w="3120"/>
            <w:shd w:fill="F8FAFC"/>
            <w:tcMar>
              <w:top w:w="60" w:type="dxa"/>
              <w:bottom w:w="60" w:type="dxa"/>
              <w:left w:w="100" w:type="dxa"/>
              <w:right w:w="100" w:type="dxa"/>
            </w:tcMar>
          </w:tcPr>
          <w:p>
            <w:r>
              <w:rPr>
                <w:b/>
              </w:rPr>
              <w:t>Database &amp; ORM</w:t>
            </w:r>
          </w:p>
        </w:tc>
        <w:tc>
          <w:tcPr>
            <w:tcW w:type="dxa" w:w="3120"/>
            <w:shd w:fill="F8FAFC"/>
            <w:tcMar>
              <w:top w:w="60" w:type="dxa"/>
              <w:bottom w:w="60" w:type="dxa"/>
              <w:left w:w="100" w:type="dxa"/>
              <w:right w:w="100" w:type="dxa"/>
            </w:tcMar>
          </w:tcPr>
          <w:p>
            <w:r>
              <w:t>SQLite + SQLAlchemy</w:t>
            </w:r>
          </w:p>
        </w:tc>
        <w:tc>
          <w:tcPr>
            <w:tcW w:type="dxa" w:w="3120"/>
            <w:shd w:fill="F8FAFC"/>
            <w:tcMar>
              <w:top w:w="60" w:type="dxa"/>
              <w:bottom w:w="60" w:type="dxa"/>
              <w:left w:w="100" w:type="dxa"/>
              <w:right w:w="100" w:type="dxa"/>
            </w:tcMar>
          </w:tcPr>
          <w:p>
            <w:r>
              <w:t>Audit logging of hazard level-change events &amp; plant state</w:t>
            </w:r>
          </w:p>
        </w:tc>
      </w:tr>
      <w:tr>
        <w:tc>
          <w:tcPr>
            <w:tcW w:type="dxa" w:w="3120"/>
            <w:shd w:fill="FFFFFF"/>
            <w:tcMar>
              <w:top w:w="60" w:type="dxa"/>
              <w:bottom w:w="60" w:type="dxa"/>
              <w:left w:w="100" w:type="dxa"/>
              <w:right w:w="100" w:type="dxa"/>
            </w:tcMar>
          </w:tcPr>
          <w:p>
            <w:r>
              <w:rPr>
                <w:b/>
              </w:rPr>
              <w:t>Data Schema</w:t>
            </w:r>
          </w:p>
        </w:tc>
        <w:tc>
          <w:tcPr>
            <w:tcW w:type="dxa" w:w="3120"/>
            <w:shd w:fill="FFFFFF"/>
            <w:tcMar>
              <w:top w:w="60" w:type="dxa"/>
              <w:bottom w:w="60" w:type="dxa"/>
              <w:left w:w="100" w:type="dxa"/>
              <w:right w:w="100" w:type="dxa"/>
            </w:tcMar>
          </w:tcPr>
          <w:p>
            <w:r>
              <w:t>Pydantic v2</w:t>
            </w:r>
          </w:p>
        </w:tc>
        <w:tc>
          <w:tcPr>
            <w:tcW w:type="dxa" w:w="3120"/>
            <w:shd w:fill="FFFFFF"/>
            <w:tcMar>
              <w:top w:w="60" w:type="dxa"/>
              <w:bottom w:w="60" w:type="dxa"/>
              <w:left w:w="100" w:type="dxa"/>
              <w:right w:w="100" w:type="dxa"/>
            </w:tcMar>
          </w:tcPr>
          <w:p>
            <w:r>
              <w:t>Strict schema validation across requests and response payloads</w:t>
            </w:r>
          </w:p>
        </w:tc>
      </w:tr>
      <w:tr>
        <w:tc>
          <w:tcPr>
            <w:tcW w:type="dxa" w:w="3120"/>
            <w:shd w:fill="F8FAFC"/>
            <w:tcMar>
              <w:top w:w="60" w:type="dxa"/>
              <w:bottom w:w="60" w:type="dxa"/>
              <w:left w:w="100" w:type="dxa"/>
              <w:right w:w="100" w:type="dxa"/>
            </w:tcMar>
          </w:tcPr>
          <w:p>
            <w:r>
              <w:rPr>
                <w:b/>
              </w:rPr>
              <w:t>AI / LLM XAI Engine</w:t>
            </w:r>
          </w:p>
        </w:tc>
        <w:tc>
          <w:tcPr>
            <w:tcW w:type="dxa" w:w="3120"/>
            <w:shd w:fill="F8FAFC"/>
            <w:tcMar>
              <w:top w:w="60" w:type="dxa"/>
              <w:bottom w:w="60" w:type="dxa"/>
              <w:left w:w="100" w:type="dxa"/>
              <w:right w:w="100" w:type="dxa"/>
            </w:tcMar>
          </w:tcPr>
          <w:p>
            <w:r>
              <w:t>Google Gemini 2.0 Flash</w:t>
            </w:r>
          </w:p>
        </w:tc>
        <w:tc>
          <w:tcPr>
            <w:tcW w:type="dxa" w:w="3120"/>
            <w:shd w:fill="F8FAFC"/>
            <w:tcMar>
              <w:top w:w="60" w:type="dxa"/>
              <w:bottom w:w="60" w:type="dxa"/>
              <w:left w:w="100" w:type="dxa"/>
              <w:right w:w="100" w:type="dxa"/>
            </w:tcMar>
          </w:tcPr>
          <w:p>
            <w:r>
              <w:t>Natural-language root cause &amp; emergency action generation</w:t>
            </w:r>
          </w:p>
        </w:tc>
      </w:tr>
      <w:tr>
        <w:tc>
          <w:tcPr>
            <w:tcW w:type="dxa" w:w="3120"/>
            <w:shd w:fill="FFFFFF"/>
            <w:tcMar>
              <w:top w:w="60" w:type="dxa"/>
              <w:bottom w:w="60" w:type="dxa"/>
              <w:left w:w="100" w:type="dxa"/>
              <w:right w:w="100" w:type="dxa"/>
            </w:tcMar>
          </w:tcPr>
          <w:p>
            <w:r>
              <w:rPr>
                <w:b/>
              </w:rPr>
              <w:t>Frontend UI Framework</w:t>
            </w:r>
          </w:p>
        </w:tc>
        <w:tc>
          <w:tcPr>
            <w:tcW w:type="dxa" w:w="3120"/>
            <w:shd w:fill="FFFFFF"/>
            <w:tcMar>
              <w:top w:w="60" w:type="dxa"/>
              <w:bottom w:w="60" w:type="dxa"/>
              <w:left w:w="100" w:type="dxa"/>
              <w:right w:w="100" w:type="dxa"/>
            </w:tcMar>
          </w:tcPr>
          <w:p>
            <w:r>
              <w:t>React 18 + Vite</w:t>
            </w:r>
          </w:p>
        </w:tc>
        <w:tc>
          <w:tcPr>
            <w:tcW w:type="dxa" w:w="3120"/>
            <w:shd w:fill="FFFFFF"/>
            <w:tcMar>
              <w:top w:w="60" w:type="dxa"/>
              <w:bottom w:w="60" w:type="dxa"/>
              <w:left w:w="100" w:type="dxa"/>
              <w:right w:w="100" w:type="dxa"/>
            </w:tcMar>
          </w:tcPr>
          <w:p>
            <w:r>
              <w:t>Single Page Application with 2-second real-time polling</w:t>
            </w:r>
          </w:p>
        </w:tc>
      </w:tr>
      <w:tr>
        <w:tc>
          <w:tcPr>
            <w:tcW w:type="dxa" w:w="3120"/>
            <w:shd w:fill="F8FAFC"/>
            <w:tcMar>
              <w:top w:w="60" w:type="dxa"/>
              <w:bottom w:w="60" w:type="dxa"/>
              <w:left w:w="100" w:type="dxa"/>
              <w:right w:w="100" w:type="dxa"/>
            </w:tcMar>
          </w:tcPr>
          <w:p>
            <w:r>
              <w:rPr>
                <w:b/>
              </w:rPr>
              <w:t>UI Design &amp; Styling</w:t>
            </w:r>
          </w:p>
        </w:tc>
        <w:tc>
          <w:tcPr>
            <w:tcW w:type="dxa" w:w="3120"/>
            <w:shd w:fill="F8FAFC"/>
            <w:tcMar>
              <w:top w:w="60" w:type="dxa"/>
              <w:bottom w:w="60" w:type="dxa"/>
              <w:left w:w="100" w:type="dxa"/>
              <w:right w:w="100" w:type="dxa"/>
            </w:tcMar>
          </w:tcPr>
          <w:p>
            <w:r>
              <w:t>Tailwind CSS</w:t>
            </w:r>
          </w:p>
        </w:tc>
        <w:tc>
          <w:tcPr>
            <w:tcW w:type="dxa" w:w="3120"/>
            <w:shd w:fill="F8FAFC"/>
            <w:tcMar>
              <w:top w:w="60" w:type="dxa"/>
              <w:bottom w:w="60" w:type="dxa"/>
              <w:left w:w="100" w:type="dxa"/>
              <w:right w:w="100" w:type="dxa"/>
            </w:tcMar>
          </w:tcPr>
          <w:p>
            <w:r>
              <w:t>Modern, sleek dark-mode industrial safety visual identity</w:t>
            </w:r>
          </w:p>
        </w:tc>
      </w:tr>
      <w:tr>
        <w:tc>
          <w:tcPr>
            <w:tcW w:type="dxa" w:w="3120"/>
            <w:shd w:fill="FFFFFF"/>
            <w:tcMar>
              <w:top w:w="60" w:type="dxa"/>
              <w:bottom w:w="60" w:type="dxa"/>
              <w:left w:w="100" w:type="dxa"/>
              <w:right w:w="100" w:type="dxa"/>
            </w:tcMar>
          </w:tcPr>
          <w:p>
            <w:r>
              <w:rPr>
                <w:b/>
              </w:rPr>
              <w:t>Geospatial UI</w:t>
            </w:r>
          </w:p>
        </w:tc>
        <w:tc>
          <w:tcPr>
            <w:tcW w:type="dxa" w:w="3120"/>
            <w:shd w:fill="FFFFFF"/>
            <w:tcMar>
              <w:top w:w="60" w:type="dxa"/>
              <w:bottom w:w="60" w:type="dxa"/>
              <w:left w:w="100" w:type="dxa"/>
              <w:right w:w="100" w:type="dxa"/>
            </w:tcMar>
          </w:tcPr>
          <w:p>
            <w:r>
              <w:t>Custom SVG Grid</w:t>
            </w:r>
          </w:p>
        </w:tc>
        <w:tc>
          <w:tcPr>
            <w:tcW w:type="dxa" w:w="3120"/>
            <w:shd w:fill="FFFFFF"/>
            <w:tcMar>
              <w:top w:w="60" w:type="dxa"/>
              <w:bottom w:w="60" w:type="dxa"/>
              <w:left w:w="100" w:type="dxa"/>
              <w:right w:w="100" w:type="dxa"/>
            </w:tcMar>
          </w:tcPr>
          <w:p>
            <w:r>
              <w:t>Live geospatial risk zone heatmap visualization</w:t>
            </w:r>
          </w:p>
        </w:tc>
      </w:tr>
      <w:tr>
        <w:tc>
          <w:tcPr>
            <w:tcW w:type="dxa" w:w="3120"/>
            <w:shd w:fill="F8FAFC"/>
            <w:tcMar>
              <w:top w:w="60" w:type="dxa"/>
              <w:bottom w:w="60" w:type="dxa"/>
              <w:left w:w="100" w:type="dxa"/>
              <w:right w:w="100" w:type="dxa"/>
            </w:tcMar>
          </w:tcPr>
          <w:p>
            <w:r>
              <w:rPr>
                <w:b/>
              </w:rPr>
              <w:t>Knowledge Graph</w:t>
            </w:r>
          </w:p>
        </w:tc>
        <w:tc>
          <w:tcPr>
            <w:tcW w:type="dxa" w:w="3120"/>
            <w:shd w:fill="F8FAFC"/>
            <w:tcMar>
              <w:top w:w="60" w:type="dxa"/>
              <w:bottom w:w="60" w:type="dxa"/>
              <w:left w:w="100" w:type="dxa"/>
              <w:right w:w="100" w:type="dxa"/>
            </w:tcMar>
          </w:tcPr>
          <w:p>
            <w:r>
              <w:t>React Flow</w:t>
            </w:r>
          </w:p>
        </w:tc>
        <w:tc>
          <w:tcPr>
            <w:tcW w:type="dxa" w:w="3120"/>
            <w:shd w:fill="F8FAFC"/>
            <w:tcMar>
              <w:top w:w="60" w:type="dxa"/>
              <w:bottom w:w="60" w:type="dxa"/>
              <w:left w:w="100" w:type="dxa"/>
              <w:right w:w="100" w:type="dxa"/>
            </w:tcMar>
          </w:tcPr>
          <w:p>
            <w:r>
              <w:t>Interactive graph mapping relationships between zones &amp; risks</w:t>
            </w:r>
          </w:p>
        </w:tc>
      </w:tr>
      <w:tr>
        <w:tc>
          <w:tcPr>
            <w:tcW w:type="dxa" w:w="3120"/>
            <w:shd w:fill="FFFFFF"/>
            <w:tcMar>
              <w:top w:w="60" w:type="dxa"/>
              <w:bottom w:w="60" w:type="dxa"/>
              <w:left w:w="100" w:type="dxa"/>
              <w:right w:w="100" w:type="dxa"/>
            </w:tcMar>
          </w:tcPr>
          <w:p>
            <w:r>
              <w:rPr>
                <w:b/>
              </w:rPr>
              <w:t>Automated Testing</w:t>
            </w:r>
          </w:p>
        </w:tc>
        <w:tc>
          <w:tcPr>
            <w:tcW w:type="dxa" w:w="3120"/>
            <w:shd w:fill="FFFFFF"/>
            <w:tcMar>
              <w:top w:w="60" w:type="dxa"/>
              <w:bottom w:w="60" w:type="dxa"/>
              <w:left w:w="100" w:type="dxa"/>
              <w:right w:w="100" w:type="dxa"/>
            </w:tcMar>
          </w:tcPr>
          <w:p>
            <w:r>
              <w:t>pytest (21 tests)</w:t>
            </w:r>
          </w:p>
        </w:tc>
        <w:tc>
          <w:tcPr>
            <w:tcW w:type="dxa" w:w="3120"/>
            <w:shd w:fill="FFFFFF"/>
            <w:tcMar>
              <w:top w:w="60" w:type="dxa"/>
              <w:bottom w:w="60" w:type="dxa"/>
              <w:left w:w="100" w:type="dxa"/>
              <w:right w:w="100" w:type="dxa"/>
            </w:tcMar>
          </w:tcPr>
          <w:p>
            <w:r>
              <w:t>Comprehensive test suite covering 100% of hazard scoring logic</w:t>
            </w:r>
          </w:p>
        </w:tc>
      </w:tr>
    </w:tbl>
    <w:p>
      <w:pPr>
        <w:spacing w:after="200"/>
      </w:pPr>
    </w:p>
    <w:p>
      <w:pPr>
        <w:keepNext/>
        <w:spacing w:before="360" w:after="160"/>
      </w:pPr>
      <w:r>
        <w:rPr>
          <w:rFonts w:ascii="Arial" w:hAnsi="Arial"/>
          <w:b/>
          <w:color w:val="0F172A"/>
          <w:sz w:val="36"/>
        </w:rPr>
        <w:t>7. Automated Testing &amp; Production Roadmap</w:t>
      </w:r>
    </w:p>
    <w:p>
      <w:pPr>
        <w:keepNext/>
        <w:spacing w:before="280" w:after="120"/>
      </w:pPr>
      <w:r>
        <w:rPr>
          <w:rFonts w:ascii="Arial" w:hAnsi="Arial"/>
          <w:b/>
          <w:color w:val="2563EB"/>
          <w:sz w:val="28"/>
        </w:rPr>
        <w:t>Automated Testing Suite</w:t>
      </w:r>
    </w:p>
    <w:p>
      <w:pPr>
        <w:spacing w:after="120" w:line="276" w:lineRule="auto"/>
      </w:pPr>
      <w:r>
        <w:t>The backend includes 21 pytest unit tests (backend/tests/test_hazard_engine.py) providing 100% test coverage for the scoring logic. Tests validate partial agent weights, compound interaction bonus thresholds, score clamping (0-100), and event-driven database persistence.</w:t>
      </w:r>
    </w:p>
    <w:p>
      <w:pPr>
        <w:keepNext/>
        <w:spacing w:before="280" w:after="120"/>
      </w:pPr>
      <w:r>
        <w:rPr>
          <w:rFonts w:ascii="Arial" w:hAnsi="Arial"/>
          <w:b/>
          <w:color w:val="2563EB"/>
          <w:sz w:val="28"/>
        </w:rPr>
        <w:t>Scalability &amp; Production Roadmap</w:t>
      </w:r>
    </w:p>
    <w:p>
      <w:pPr>
        <w:pStyle w:val="ListBullet"/>
        <w:spacing w:after="80" w:line="276" w:lineRule="auto"/>
      </w:pPr>
      <w:r>
        <w:rPr>
          <w:b/>
          <w:color w:val="0F172A"/>
        </w:rPr>
        <w:t xml:space="preserve">1. Streaming Architecture: </w:t>
      </w:r>
      <w:r>
        <w:t>MQTT / Kafka Ingestion: Replace REST polling with high-throughput message streams for 10,000+ IoT sensors/sec.</w:t>
      </w:r>
    </w:p>
    <w:p>
      <w:pPr>
        <w:pStyle w:val="ListBullet"/>
        <w:spacing w:after="80" w:line="276" w:lineRule="auto"/>
      </w:pPr>
      <w:r>
        <w:rPr>
          <w:b/>
          <w:color w:val="0F172A"/>
        </w:rPr>
        <w:t xml:space="preserve">2. Computer Vision: </w:t>
      </w:r>
      <w:r>
        <w:t>CCTV Computer Vision Agent: Incorporate real-time video feeds for automated PPE detection and worker counts.</w:t>
      </w:r>
    </w:p>
    <w:p>
      <w:pPr>
        <w:pStyle w:val="ListBullet"/>
        <w:spacing w:after="80" w:line="276" w:lineRule="auto"/>
      </w:pPr>
      <w:r>
        <w:rPr>
          <w:b/>
          <w:color w:val="0F172A"/>
        </w:rPr>
        <w:t xml:space="preserve">3. Enterprise Vector RAG: </w:t>
      </w:r>
      <w:r>
        <w:t>Vector DB RAG: Transition from tag-overlap matching to ChromaDB sentence embeddings over full OISD/Factory Act PDFs.</w:t>
      </w:r>
    </w:p>
    <w:p>
      <w:pPr>
        <w:pStyle w:val="ListBullet"/>
        <w:spacing w:after="80" w:line="276" w:lineRule="auto"/>
      </w:pPr>
      <w:r>
        <w:rPr>
          <w:b/>
          <w:color w:val="0F172A"/>
        </w:rPr>
        <w:t xml:space="preserve">4. Edge Computing: </w:t>
      </w:r>
      <w:r>
        <w:t>Edge Deployment: Run hazard engines on AWS IoT Greengrass for zero-latency local execution during network blackouts.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