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Aspect-Based Sentiment Analysis of Amazon Electronics Reviews</w:t>
        <w:br/>
        <w:t>with a RAG Chatbot</w:t>
      </w:r>
    </w:p>
    <w:p>
      <w:pPr>
        <w:jc w:val="center"/>
      </w:pPr>
      <w:r>
        <w:rPr>
          <w:sz w:val="24"/>
        </w:rPr>
        <w:t>CDU NLP Assessment 3  |  S126 PRT597</w:t>
      </w:r>
    </w:p>
    <w:p/>
    <w:p>
      <w:pPr>
        <w:pStyle w:val="Heading1"/>
        <w:jc w:val="left"/>
      </w:pPr>
      <w:r>
        <w:t>1. Abstract</w:t>
      </w:r>
    </w:p>
    <w:p>
      <w:r>
        <w:rPr>
          <w:sz w:val="22"/>
        </w:rPr>
        <w:t>This report presents an end-to-end natural language processing pipeline built on 6.7 million Amazon Electronics product reviews. The system performs aspect-based sentiment analysis (ABSA), classifying customer opinions across twelve product aspects such as battery life, performance, and build quality. Because no labelled dataset exists, a two-stage strategy is used: DeepSeek-R1:8b (a local LLM) annotates 1,500 reviews zero-shot, and a fine-tuned DistilBERT model scales inference to 300,000 reviews. Results are aggregated into a 9,636-product scoring table and surfaced through a semantic-search RAG chatbot. Classical baselines (Complement Naive Bayes and Logistic Regression with SMOTE) are included for comparison. DistilBERT achieves accuracy 0.840 and macro F1 0.620, substantially outperforming both baselines.</w:t>
      </w:r>
    </w:p>
    <w:p>
      <w:pPr>
        <w:pStyle w:val="Heading1"/>
        <w:jc w:val="left"/>
      </w:pPr>
      <w:r>
        <w:t>2. Introduction</w:t>
      </w:r>
    </w:p>
    <w:p>
      <w:r>
        <w:rPr>
          <w:sz w:val="22"/>
        </w:rPr>
        <w:t>Online product reviews are a primary signal consumers use when making purchase decisions. A single star rating collapses complex, multi-faceted opinions into one number, losing valuable information. A customer may rate a laptop three stars because of poor battery life while praising its performance — these opposing sentiments are invisible to standard sentiment analysis.</w:t>
      </w:r>
    </w:p>
    <w:p>
      <w:r>
        <w:rPr>
          <w:sz w:val="22"/>
        </w:rPr>
        <w:t>Aspect-Based Sentiment Analysis (ABSA) addresses this by identifying which product attribute is being discussed and assigning a sentiment polarity (positive, neutral, or negative) to that attribute independently. Applied at scale, ABSA enables fine-grained product intelligence: which products excel at performance but fail on build quality? Which brands consistently deliver value for money?</w:t>
      </w:r>
    </w:p>
    <w:p>
      <w:r>
        <w:rPr>
          <w:sz w:val="22"/>
        </w:rPr>
        <w:t>This project builds that pipeline end-to-end, from raw data through to an interactive chatbot. Three core challenges are tackled: (1) generating ABSA labels without a ground-truth annotated dataset, (2) scaling inference to hundreds of thousands of reviews efficiently, and (3) answering free-text product queries against a large structured scoring table.</w:t>
      </w:r>
    </w:p>
    <w:p>
      <w:pPr>
        <w:pStyle w:val="Heading1"/>
        <w:jc w:val="left"/>
      </w:pPr>
      <w:r>
        <w:t>3. Dataset and Exploratory Data Analysis</w:t>
      </w:r>
    </w:p>
    <w:p>
      <w:r>
        <w:rPr>
          <w:sz w:val="22"/>
        </w:rPr>
        <w:t>The dataset is the Amazon Reviews 5-core Electronics subset: 6,739,590 reviews joined with product metadata (title, brand, category, price) on ASIN. EDA was conducted to understand the data's structure, quality, and the challenges it poses before any modelling began.</w:t>
      </w:r>
    </w:p>
    <w:p>
      <w:pPr>
        <w:pStyle w:val="Heading2"/>
        <w:jc w:val="left"/>
      </w:pPr>
      <w:r>
        <w:t>3.1  Rating Distribution</w:t>
      </w:r>
    </w:p>
    <w:p>
      <w:pPr>
        <w:jc w:val="center"/>
      </w:pPr>
      <w:r>
        <w:drawing>
          <wp:inline xmlns:a="http://schemas.openxmlformats.org/drawingml/2006/main" xmlns:pic="http://schemas.openxmlformats.org/drawingml/2006/picture">
            <wp:extent cx="5303520" cy="3773954"/>
            <wp:docPr id="1" name="Picture 1"/>
            <wp:cNvGraphicFramePr>
              <a:graphicFrameLocks noChangeAspect="1"/>
            </wp:cNvGraphicFramePr>
            <a:graphic>
              <a:graphicData uri="http://schemas.openxmlformats.org/drawingml/2006/picture">
                <pic:pic>
                  <pic:nvPicPr>
                    <pic:cNvPr id="0" name="eda_ratings_distribution.png"/>
                    <pic:cNvPicPr/>
                  </pic:nvPicPr>
                  <pic:blipFill>
                    <a:blip r:embed="rId9"/>
                    <a:stretch>
                      <a:fillRect/>
                    </a:stretch>
                  </pic:blipFill>
                  <pic:spPr>
                    <a:xfrm>
                      <a:off x="0" y="0"/>
                      <a:ext cx="5303520" cy="3773954"/>
                    </a:xfrm>
                    <a:prstGeom prst="rect"/>
                  </pic:spPr>
                </pic:pic>
              </a:graphicData>
            </a:graphic>
          </wp:inline>
        </w:drawing>
      </w:r>
    </w:p>
    <w:p>
      <w:pPr>
        <w:jc w:val="center"/>
      </w:pPr>
      <w:r>
        <w:rPr>
          <w:i/>
          <w:sz w:val="18"/>
        </w:rPr>
        <w:t>Figure 1. Star rating distribution across 6.7 M reviews.</w:t>
      </w:r>
    </w:p>
    <w:p>
      <w:r>
        <w:rPr>
          <w:sz w:val="22"/>
        </w:rPr>
        <w:t>The chart shows a pronounced positive skew — roughly 60 % of reviews carry a 5-star rating while 1-star reviews account for about 10 %. This tells us the raw star rating is a poor proxy for sentiment: most reviews are positive, so a model trained on stars alone would be heavily biased. It also means any aspect-level sentiment labels will inherit this imbalance, requiring explicit class-balancing steps downstream.</w:t>
      </w:r>
    </w:p>
    <w:p/>
    <w:p>
      <w:pPr>
        <w:pStyle w:val="Heading2"/>
        <w:jc w:val="left"/>
      </w:pPr>
      <w:r>
        <w:t>3.2  Metadata Analysis</w:t>
      </w:r>
    </w:p>
    <w:p>
      <w:pPr>
        <w:jc w:val="center"/>
      </w:pPr>
      <w:r>
        <w:drawing>
          <wp:inline xmlns:a="http://schemas.openxmlformats.org/drawingml/2006/main" xmlns:pic="http://schemas.openxmlformats.org/drawingml/2006/picture">
            <wp:extent cx="5303520" cy="1647305"/>
            <wp:docPr id="2" name="Picture 2"/>
            <wp:cNvGraphicFramePr>
              <a:graphicFrameLocks noChangeAspect="1"/>
            </wp:cNvGraphicFramePr>
            <a:graphic>
              <a:graphicData uri="http://schemas.openxmlformats.org/drawingml/2006/picture">
                <pic:pic>
                  <pic:nvPicPr>
                    <pic:cNvPr id="0" name="eda_metadata_analysis.png"/>
                    <pic:cNvPicPr/>
                  </pic:nvPicPr>
                  <pic:blipFill>
                    <a:blip r:embed="rId10"/>
                    <a:stretch>
                      <a:fillRect/>
                    </a:stretch>
                  </pic:blipFill>
                  <pic:spPr>
                    <a:xfrm>
                      <a:off x="0" y="0"/>
                      <a:ext cx="5303520" cy="1647305"/>
                    </a:xfrm>
                    <a:prstGeom prst="rect"/>
                  </pic:spPr>
                </pic:pic>
              </a:graphicData>
            </a:graphic>
          </wp:inline>
        </w:drawing>
      </w:r>
    </w:p>
    <w:p>
      <w:pPr>
        <w:jc w:val="center"/>
      </w:pPr>
      <w:r>
        <w:rPr>
          <w:i/>
          <w:sz w:val="18"/>
        </w:rPr>
        <w:t>Figure 2. Metadata completeness and product category distribution.</w:t>
      </w:r>
    </w:p>
    <w:p>
      <w:r>
        <w:rPr>
          <w:sz w:val="22"/>
        </w:rPr>
        <w:t>This chart reveals how many products have structured brand, price, and category fields. A large fraction of products are missing price or brand information — a common issue with large e-commerce catalogues. The category breakdown shows the dataset spans many electronics sub-types (headphones, cables, batteries, cameras), meaning the vocabulary is highly diverse and a single general-purpose model must handle very different product domains.</w:t>
      </w:r>
    </w:p>
    <w:p/>
    <w:p>
      <w:pPr>
        <w:pStyle w:val="Heading2"/>
        <w:jc w:val="left"/>
      </w:pPr>
      <w:r>
        <w:t>3.3  Review Length</w:t>
      </w:r>
    </w:p>
    <w:p>
      <w:pPr>
        <w:jc w:val="center"/>
      </w:pPr>
      <w:r>
        <w:drawing>
          <wp:inline xmlns:a="http://schemas.openxmlformats.org/drawingml/2006/main" xmlns:pic="http://schemas.openxmlformats.org/drawingml/2006/picture">
            <wp:extent cx="5303520" cy="3612688"/>
            <wp:docPr id="3" name="Picture 3"/>
            <wp:cNvGraphicFramePr>
              <a:graphicFrameLocks noChangeAspect="1"/>
            </wp:cNvGraphicFramePr>
            <a:graphic>
              <a:graphicData uri="http://schemas.openxmlformats.org/drawingml/2006/picture">
                <pic:pic>
                  <pic:nvPicPr>
                    <pic:cNvPr id="0" name="eda_review_length.png"/>
                    <pic:cNvPicPr/>
                  </pic:nvPicPr>
                  <pic:blipFill>
                    <a:blip r:embed="rId11"/>
                    <a:stretch>
                      <a:fillRect/>
                    </a:stretch>
                  </pic:blipFill>
                  <pic:spPr>
                    <a:xfrm>
                      <a:off x="0" y="0"/>
                      <a:ext cx="5303520" cy="3612688"/>
                    </a:xfrm>
                    <a:prstGeom prst="rect"/>
                  </pic:spPr>
                </pic:pic>
              </a:graphicData>
            </a:graphic>
          </wp:inline>
        </w:drawing>
      </w:r>
    </w:p>
    <w:p>
      <w:pPr>
        <w:jc w:val="center"/>
      </w:pPr>
      <w:r>
        <w:rPr>
          <w:i/>
          <w:sz w:val="18"/>
        </w:rPr>
        <w:t>Figure 3. Distribution of review token lengths.</w:t>
      </w:r>
    </w:p>
    <w:p>
      <w:r>
        <w:rPr>
          <w:sz w:val="22"/>
        </w:rPr>
        <w:t>Review lengths follow a right-skewed distribution: the majority of reviews are short (under 50 tokens), but a long tail extends to several hundred tokens. Very short reviews ('Works great!', 'Perfect') carry almost no aspect signal and will produce low-confidence ABSA labels. Very long reviews may discuss several aspects in sequence. This distribution informed the decision to keep DistilBERT's max sequence length at 128 tokens, which covers the vast majority of reviews without padding overhead.</w:t>
      </w:r>
    </w:p>
    <w:p/>
    <w:p>
      <w:pPr>
        <w:pStyle w:val="Heading2"/>
        <w:jc w:val="left"/>
      </w:pPr>
      <w:r>
        <w:t>3.4  Feature Engineering</w:t>
      </w:r>
    </w:p>
    <w:p>
      <w:pPr>
        <w:jc w:val="center"/>
      </w:pPr>
      <w:r>
        <w:drawing>
          <wp:inline xmlns:a="http://schemas.openxmlformats.org/drawingml/2006/main" xmlns:pic="http://schemas.openxmlformats.org/drawingml/2006/picture">
            <wp:extent cx="5303520" cy="2264166"/>
            <wp:docPr id="4" name="Picture 4"/>
            <wp:cNvGraphicFramePr>
              <a:graphicFrameLocks noChangeAspect="1"/>
            </wp:cNvGraphicFramePr>
            <a:graphic>
              <a:graphicData uri="http://schemas.openxmlformats.org/drawingml/2006/picture">
                <pic:pic>
                  <pic:nvPicPr>
                    <pic:cNvPr id="0" name="eda_feature_engineering_1.png"/>
                    <pic:cNvPicPr/>
                  </pic:nvPicPr>
                  <pic:blipFill>
                    <a:blip r:embed="rId12"/>
                    <a:stretch>
                      <a:fillRect/>
                    </a:stretch>
                  </pic:blipFill>
                  <pic:spPr>
                    <a:xfrm>
                      <a:off x="0" y="0"/>
                      <a:ext cx="5303520" cy="2264166"/>
                    </a:xfrm>
                    <a:prstGeom prst="rect"/>
                  </pic:spPr>
                </pic:pic>
              </a:graphicData>
            </a:graphic>
          </wp:inline>
        </w:drawing>
      </w:r>
    </w:p>
    <w:p>
      <w:pPr>
        <w:jc w:val="center"/>
      </w:pPr>
      <w:r>
        <w:rPr>
          <w:i/>
          <w:sz w:val="18"/>
        </w:rPr>
        <w:t>Figure 4. Engineered features — review age and helpfulness.</w:t>
      </w:r>
    </w:p>
    <w:p>
      <w:r>
        <w:rPr>
          <w:sz w:val="22"/>
        </w:rPr>
        <w:t>Review age (days since posting) and the helpfulness ratio (helpful votes / total votes) reveal reviewer behaviour patterns. Older reviews tend to have more votes, while a high helpfulness ratio signals that other buyers found the review informative. These features characterise review quality but were not used as model inputs — they were analysed to understand whether review recency or perceived usefulness correlated with sentiment polarity.</w:t>
      </w:r>
    </w:p>
    <w:p/>
    <w:p>
      <w:pPr>
        <w:jc w:val="center"/>
      </w:pPr>
      <w:r>
        <w:drawing>
          <wp:inline xmlns:a="http://schemas.openxmlformats.org/drawingml/2006/main" xmlns:pic="http://schemas.openxmlformats.org/drawingml/2006/picture">
            <wp:extent cx="5303520" cy="3763047"/>
            <wp:docPr id="5" name="Picture 5"/>
            <wp:cNvGraphicFramePr>
              <a:graphicFrameLocks noChangeAspect="1"/>
            </wp:cNvGraphicFramePr>
            <a:graphic>
              <a:graphicData uri="http://schemas.openxmlformats.org/drawingml/2006/picture">
                <pic:pic>
                  <pic:nvPicPr>
                    <pic:cNvPr id="0" name="eda_feature_engineering_2.png"/>
                    <pic:cNvPicPr/>
                  </pic:nvPicPr>
                  <pic:blipFill>
                    <a:blip r:embed="rId13"/>
                    <a:stretch>
                      <a:fillRect/>
                    </a:stretch>
                  </pic:blipFill>
                  <pic:spPr>
                    <a:xfrm>
                      <a:off x="0" y="0"/>
                      <a:ext cx="5303520" cy="3763047"/>
                    </a:xfrm>
                    <a:prstGeom prst="rect"/>
                  </pic:spPr>
                </pic:pic>
              </a:graphicData>
            </a:graphic>
          </wp:inline>
        </w:drawing>
      </w:r>
    </w:p>
    <w:p>
      <w:pPr>
        <w:jc w:val="center"/>
      </w:pPr>
      <w:r>
        <w:rPr>
          <w:i/>
          <w:sz w:val="18"/>
        </w:rPr>
        <w:t>Figure 5. Engineered features — text statistics.</w:t>
      </w:r>
    </w:p>
    <w:p>
      <w:r>
        <w:rPr>
          <w:sz w:val="22"/>
        </w:rPr>
        <w:t>Word count, character count, average word length, and exclamation mark ratio are plotted here. Reviews with high exclamation mark ratios tend to be strongly positive, which is a linguistically intuitive finding. Reviews with longer average word length tend to be more technically detailed — these typically discuss aspects like connectivity or performance more explicitly, making them higher-value inputs for ABSA.</w:t>
      </w:r>
    </w:p>
    <w:p/>
    <w:p>
      <w:pPr>
        <w:pStyle w:val="Heading2"/>
        <w:jc w:val="left"/>
      </w:pPr>
      <w:r>
        <w:t>3.5  Text Features and Vocabulary</w:t>
      </w:r>
    </w:p>
    <w:p>
      <w:pPr>
        <w:jc w:val="center"/>
      </w:pPr>
      <w:r>
        <w:drawing>
          <wp:inline xmlns:a="http://schemas.openxmlformats.org/drawingml/2006/main" xmlns:pic="http://schemas.openxmlformats.org/drawingml/2006/picture">
            <wp:extent cx="5303520" cy="1753967"/>
            <wp:docPr id="6" name="Picture 6"/>
            <wp:cNvGraphicFramePr>
              <a:graphicFrameLocks noChangeAspect="1"/>
            </wp:cNvGraphicFramePr>
            <a:graphic>
              <a:graphicData uri="http://schemas.openxmlformats.org/drawingml/2006/picture">
                <pic:pic>
                  <pic:nvPicPr>
                    <pic:cNvPr id="0" name="eda_text_features_1.png"/>
                    <pic:cNvPicPr/>
                  </pic:nvPicPr>
                  <pic:blipFill>
                    <a:blip r:embed="rId14"/>
                    <a:stretch>
                      <a:fillRect/>
                    </a:stretch>
                  </pic:blipFill>
                  <pic:spPr>
                    <a:xfrm>
                      <a:off x="0" y="0"/>
                      <a:ext cx="5303520" cy="1753967"/>
                    </a:xfrm>
                    <a:prstGeom prst="rect"/>
                  </pic:spPr>
                </pic:pic>
              </a:graphicData>
            </a:graphic>
          </wp:inline>
        </w:drawing>
      </w:r>
    </w:p>
    <w:p>
      <w:pPr>
        <w:jc w:val="center"/>
      </w:pPr>
      <w:r>
        <w:rPr>
          <w:i/>
          <w:sz w:val="18"/>
        </w:rPr>
        <w:t>Figure 6. Text feature distributions by sentiment class.</w:t>
      </w:r>
    </w:p>
    <w:p>
      <w:r>
        <w:rPr>
          <w:sz w:val="22"/>
        </w:rPr>
        <w:t>This chart shows how text features differ across positive, neutral, and negative reviews. Negative reviews tend to be slightly longer on average — customers who are dissatisfied typically explain why in more detail. Neutral reviews are shortest, often brief, non-committal statements. These patterns confirm that text length alone carries some sentiment signal, although it is insufficient on its own.</w:t>
      </w:r>
    </w:p>
    <w:p/>
    <w:p>
      <w:pPr>
        <w:jc w:val="center"/>
      </w:pPr>
      <w:r>
        <w:drawing>
          <wp:inline xmlns:a="http://schemas.openxmlformats.org/drawingml/2006/main" xmlns:pic="http://schemas.openxmlformats.org/drawingml/2006/picture">
            <wp:extent cx="5303520" cy="2045304"/>
            <wp:docPr id="7" name="Picture 7"/>
            <wp:cNvGraphicFramePr>
              <a:graphicFrameLocks noChangeAspect="1"/>
            </wp:cNvGraphicFramePr>
            <a:graphic>
              <a:graphicData uri="http://schemas.openxmlformats.org/drawingml/2006/picture">
                <pic:pic>
                  <pic:nvPicPr>
                    <pic:cNvPr id="0" name="eda_text_features_2.png"/>
                    <pic:cNvPicPr/>
                  </pic:nvPicPr>
                  <pic:blipFill>
                    <a:blip r:embed="rId15"/>
                    <a:stretch>
                      <a:fillRect/>
                    </a:stretch>
                  </pic:blipFill>
                  <pic:spPr>
                    <a:xfrm>
                      <a:off x="0" y="0"/>
                      <a:ext cx="5303520" cy="2045304"/>
                    </a:xfrm>
                    <a:prstGeom prst="rect"/>
                  </pic:spPr>
                </pic:pic>
              </a:graphicData>
            </a:graphic>
          </wp:inline>
        </w:drawing>
      </w:r>
    </w:p>
    <w:p>
      <w:pPr>
        <w:jc w:val="center"/>
      </w:pPr>
      <w:r>
        <w:rPr>
          <w:i/>
          <w:sz w:val="18"/>
        </w:rPr>
        <w:t>Figure 7. N-gram frequency analysis by sentiment class.</w:t>
      </w:r>
    </w:p>
    <w:p>
      <w:r>
        <w:rPr>
          <w:sz w:val="22"/>
        </w:rPr>
        <w:t>The most frequent bigrams and trigrams are broken down by sentiment class. Clearly aspect-specific phrases dominate each class: 'battery life' and 'sound quality' appear in positive reviews; 'stopped working' and 'waste of money' appear in negative ones. This validates the 12-aspect taxonomy chosen for ABSA and confirms that aspect terms are linguistically separable across sentiment classes.</w:t>
      </w:r>
    </w:p>
    <w:p/>
    <w:p>
      <w:pPr>
        <w:jc w:val="center"/>
      </w:pPr>
      <w:r>
        <w:drawing>
          <wp:inline xmlns:a="http://schemas.openxmlformats.org/drawingml/2006/main" xmlns:pic="http://schemas.openxmlformats.org/drawingml/2006/picture">
            <wp:extent cx="5303520" cy="3147618"/>
            <wp:docPr id="8" name="Picture 8"/>
            <wp:cNvGraphicFramePr>
              <a:graphicFrameLocks noChangeAspect="1"/>
            </wp:cNvGraphicFramePr>
            <a:graphic>
              <a:graphicData uri="http://schemas.openxmlformats.org/drawingml/2006/picture">
                <pic:pic>
                  <pic:nvPicPr>
                    <pic:cNvPr id="0" name="eda_text_features_3.png"/>
                    <pic:cNvPicPr/>
                  </pic:nvPicPr>
                  <pic:blipFill>
                    <a:blip r:embed="rId16"/>
                    <a:stretch>
                      <a:fillRect/>
                    </a:stretch>
                  </pic:blipFill>
                  <pic:spPr>
                    <a:xfrm>
                      <a:off x="0" y="0"/>
                      <a:ext cx="5303520" cy="3147618"/>
                    </a:xfrm>
                    <a:prstGeom prst="rect"/>
                  </pic:spPr>
                </pic:pic>
              </a:graphicData>
            </a:graphic>
          </wp:inline>
        </w:drawing>
      </w:r>
    </w:p>
    <w:p>
      <w:pPr>
        <w:jc w:val="center"/>
      </w:pPr>
      <w:r>
        <w:rPr>
          <w:i/>
          <w:sz w:val="18"/>
        </w:rPr>
        <w:t>Figure 8. Additional text feature patterns.</w:t>
      </w:r>
    </w:p>
    <w:p>
      <w:r>
        <w:rPr>
          <w:sz w:val="22"/>
        </w:rPr>
        <w:t>Further text analysis shows punctuation patterns, sentence count distributions, and uppercase usage. Reviews with excessive capitalisation tend to be strongly negative (shouting complaints), while reviews with multiple sentences tend to discuss more than one aspect. These observations reinforce the importance of sentence-level rather than review-level ABSA.</w:t>
      </w:r>
    </w:p>
    <w:p/>
    <w:p>
      <w:pPr>
        <w:pStyle w:val="Heading2"/>
        <w:jc w:val="left"/>
      </w:pPr>
      <w:r>
        <w:t>3.6  Class Imbalance</w:t>
      </w:r>
    </w:p>
    <w:p>
      <w:pPr>
        <w:jc w:val="center"/>
      </w:pPr>
      <w:r>
        <w:drawing>
          <wp:inline xmlns:a="http://schemas.openxmlformats.org/drawingml/2006/main" xmlns:pic="http://schemas.openxmlformats.org/drawingml/2006/picture">
            <wp:extent cx="5303520" cy="2102604"/>
            <wp:docPr id="9" name="Picture 9"/>
            <wp:cNvGraphicFramePr>
              <a:graphicFrameLocks noChangeAspect="1"/>
            </wp:cNvGraphicFramePr>
            <a:graphic>
              <a:graphicData uri="http://schemas.openxmlformats.org/drawingml/2006/picture">
                <pic:pic>
                  <pic:nvPicPr>
                    <pic:cNvPr id="0" name="eda_class_imbalance.png"/>
                    <pic:cNvPicPr/>
                  </pic:nvPicPr>
                  <pic:blipFill>
                    <a:blip r:embed="rId17"/>
                    <a:stretch>
                      <a:fillRect/>
                    </a:stretch>
                  </pic:blipFill>
                  <pic:spPr>
                    <a:xfrm>
                      <a:off x="0" y="0"/>
                      <a:ext cx="5303520" cy="2102604"/>
                    </a:xfrm>
                    <a:prstGeom prst="rect"/>
                  </pic:spPr>
                </pic:pic>
              </a:graphicData>
            </a:graphic>
          </wp:inline>
        </w:drawing>
      </w:r>
    </w:p>
    <w:p>
      <w:pPr>
        <w:jc w:val="center"/>
      </w:pPr>
      <w:r>
        <w:rPr>
          <w:i/>
          <w:sz w:val="18"/>
        </w:rPr>
        <w:t>Figure 9. Aspect-sentiment label class distribution before SMOTE.</w:t>
      </w:r>
    </w:p>
    <w:p>
      <w:r>
        <w:rPr>
          <w:sz w:val="22"/>
        </w:rPr>
        <w:t>After DeepSeek-R1:8b labels 1,500 reviews, the resulting aspect-sentiment pairs show severe imbalance: positive labels account for 80.5 % of all aspect mentions, neutral for only 3.3 %, and negative for 16.2 %. Without correction, any classifier trained on this data would learn to predict 'positive' for almost every input. This drove the use of SMOTE oversampling for classical models and a heavily weighted cross-entropy loss for DistilBERT.</w:t>
      </w:r>
    </w:p>
    <w:p/>
    <w:p>
      <w:pPr>
        <w:pStyle w:val="Heading2"/>
        <w:jc w:val="left"/>
      </w:pPr>
      <w:r>
        <w:t>3.7  Vocabulary Analysis</w:t>
      </w:r>
    </w:p>
    <w:p>
      <w:pPr>
        <w:jc w:val="center"/>
      </w:pPr>
      <w:r>
        <w:drawing>
          <wp:inline xmlns:a="http://schemas.openxmlformats.org/drawingml/2006/main" xmlns:pic="http://schemas.openxmlformats.org/drawingml/2006/picture">
            <wp:extent cx="5303520" cy="2260894"/>
            <wp:docPr id="10" name="Picture 10"/>
            <wp:cNvGraphicFramePr>
              <a:graphicFrameLocks noChangeAspect="1"/>
            </wp:cNvGraphicFramePr>
            <a:graphic>
              <a:graphicData uri="http://schemas.openxmlformats.org/drawingml/2006/picture">
                <pic:pic>
                  <pic:nvPicPr>
                    <pic:cNvPr id="0" name="eda_vocabulary_analysis.png"/>
                    <pic:cNvPicPr/>
                  </pic:nvPicPr>
                  <pic:blipFill>
                    <a:blip r:embed="rId18"/>
                    <a:stretch>
                      <a:fillRect/>
                    </a:stretch>
                  </pic:blipFill>
                  <pic:spPr>
                    <a:xfrm>
                      <a:off x="0" y="0"/>
                      <a:ext cx="5303520" cy="2260894"/>
                    </a:xfrm>
                    <a:prstGeom prst="rect"/>
                  </pic:spPr>
                </pic:pic>
              </a:graphicData>
            </a:graphic>
          </wp:inline>
        </w:drawing>
      </w:r>
    </w:p>
    <w:p>
      <w:pPr>
        <w:jc w:val="center"/>
      </w:pPr>
      <w:r>
        <w:rPr>
          <w:i/>
          <w:sz w:val="18"/>
        </w:rPr>
        <w:t>Figure 10. Top vocabulary terms across sentiment classes.</w:t>
      </w:r>
    </w:p>
    <w:p>
      <w:r>
        <w:rPr>
          <w:sz w:val="22"/>
        </w:rPr>
        <w:t>This chart shows the most frequent words within each sentiment class after stop-word removal. Electronics-specific nouns ('battery', 'screen', 'cable', 'sound') dominate the vocabulary, confirming that the dataset is domain-specific. Positive reviews use evaluative adjectives ('great', 'perfect', 'excellent') while negative reviews use failure words ('broke', 'stopped', 'returned'). The clear vocabulary separation between classes is a positive sign for TF-IDF-based classifiers.</w:t>
      </w:r>
    </w:p>
    <w:p/>
    <w:p>
      <w:pPr>
        <w:jc w:val="center"/>
      </w:pPr>
      <w:r>
        <w:drawing>
          <wp:inline xmlns:a="http://schemas.openxmlformats.org/drawingml/2006/main" xmlns:pic="http://schemas.openxmlformats.org/drawingml/2006/picture">
            <wp:extent cx="5303520" cy="2368302"/>
            <wp:docPr id="11" name="Picture 11"/>
            <wp:cNvGraphicFramePr>
              <a:graphicFrameLocks noChangeAspect="1"/>
            </wp:cNvGraphicFramePr>
            <a:graphic>
              <a:graphicData uri="http://schemas.openxmlformats.org/drawingml/2006/picture">
                <pic:pic>
                  <pic:nvPicPr>
                    <pic:cNvPr id="0" name="eda_wordcloud_tfidf.png"/>
                    <pic:cNvPicPr/>
                  </pic:nvPicPr>
                  <pic:blipFill>
                    <a:blip r:embed="rId19"/>
                    <a:stretch>
                      <a:fillRect/>
                    </a:stretch>
                  </pic:blipFill>
                  <pic:spPr>
                    <a:xfrm>
                      <a:off x="0" y="0"/>
                      <a:ext cx="5303520" cy="2368302"/>
                    </a:xfrm>
                    <a:prstGeom prst="rect"/>
                  </pic:spPr>
                </pic:pic>
              </a:graphicData>
            </a:graphic>
          </wp:inline>
        </w:drawing>
      </w:r>
    </w:p>
    <w:p>
      <w:pPr>
        <w:jc w:val="center"/>
      </w:pPr>
      <w:r>
        <w:rPr>
          <w:i/>
          <w:sz w:val="18"/>
        </w:rPr>
        <w:t>Figure 11. TF-IDF word cloud of the review corpus.</w:t>
      </w:r>
    </w:p>
    <w:p>
      <w:r>
        <w:rPr>
          <w:sz w:val="22"/>
        </w:rPr>
        <w:t>The word cloud visualises the highest TF-IDF-weighted terms across the full corpus. Terms like 'battery', 'product', 'quality', 'works', and 'price' dominate — all closely related to the 12 aspects chosen for the ABSA taxonomy. The prominence of product-specific language confirms that TF-IDF features carry strong discriminative signal for this domain, which explains why the classical baselines achieve reasonable performance despite their simplicity.</w:t>
      </w:r>
    </w:p>
    <w:p/>
    <w:p>
      <w:pPr>
        <w:pStyle w:val="Heading1"/>
        <w:jc w:val="left"/>
      </w:pPr>
      <w:r>
        <w:t>4. Problem Statement</w:t>
      </w:r>
    </w:p>
    <w:p>
      <w:r>
        <w:rPr>
          <w:sz w:val="22"/>
        </w:rPr>
        <w:t>The central task is to classify each review (or segment) with: (a) an aspect term from a fixed 12-aspect taxonomy, and (b) a sentiment polarity — positive, neutral, or negative — for that aspect. The twelve aspects are: battery life, build quality, camera quality, connectivity, customer service, delivery, ease of use, performance, price/value, reliability, screen/display, and sound quality.</w:t>
      </w:r>
    </w:p>
    <w:p>
      <w:r>
        <w:rPr>
          <w:sz w:val="22"/>
        </w:rPr>
        <w:t>Three interlinked challenges shape the solution design:</w:t>
      </w:r>
    </w:p>
    <w:p>
      <w:pPr>
        <w:pStyle w:val="ListBullet"/>
      </w:pPr>
      <w:r>
        <w:rPr>
          <w:sz w:val="22"/>
        </w:rPr>
        <w:t>Label scarcity — No human-annotated ABSA dataset exists for this corpus. Labels must be generated automatically at acceptable quality.</w:t>
      </w:r>
    </w:p>
    <w:p>
      <w:pPr>
        <w:pStyle w:val="ListBullet"/>
      </w:pPr>
      <w:r>
        <w:rPr>
          <w:sz w:val="22"/>
        </w:rPr>
        <w:t>Scale — Applying a large language model to 300,000+ reviews is computationally prohibitive. DeepSeek-R1:8b processes only ~0.06 reviews/s, which would require 57 days for 300K reviews.</w:t>
      </w:r>
    </w:p>
    <w:p>
      <w:pPr>
        <w:pStyle w:val="ListBullet"/>
      </w:pPr>
      <w:r>
        <w:rPr>
          <w:sz w:val="22"/>
        </w:rPr>
        <w:t>Retrieval — Answering natural-language product queries against a 9,636-row scoring table requires semantic understanding, not keyword matching.</w:t>
      </w:r>
    </w:p>
    <w:p>
      <w:pPr>
        <w:pStyle w:val="Heading1"/>
        <w:jc w:val="left"/>
      </w:pPr>
      <w:r>
        <w:t>5. Methodology</w:t>
      </w:r>
    </w:p>
    <w:p>
      <w:pPr>
        <w:pStyle w:val="Heading2"/>
        <w:jc w:val="left"/>
      </w:pPr>
      <w:r>
        <w:t>5.1  N-gram Language Analysis (NLTK)</w:t>
      </w:r>
    </w:p>
    <w:p>
      <w:r>
        <w:rPr>
          <w:sz w:val="22"/>
        </w:rPr>
        <w:t>NLTK's FreqDist was used to extract the top-20 bigrams and trigrams within each sentiment class. This surface-level analysis confirmed that aspect-specific language patterns are clearly separable across classes ('battery life', 'build quality', 'works great' for positive; 'stopped working', 'waste of money' for negative). This step validated the 12-aspect taxonomy before any expensive modelling was undertaken.</w:t>
      </w:r>
    </w:p>
    <w:p>
      <w:pPr>
        <w:pStyle w:val="Heading2"/>
        <w:jc w:val="left"/>
      </w:pPr>
      <w:r>
        <w:t>5.2  Tokenisation and POS Tagging (spaCy)</w:t>
      </w:r>
    </w:p>
    <w:p>
      <w:r>
        <w:rPr>
          <w:sz w:val="22"/>
        </w:rPr>
        <w:t>spaCy's en_core_web_sm pipeline provided tokenisation, part-of-speech tagging, and named entity recognition. Noun chunks and adjective-noun pairs extracted by spaCy informed the final aspect taxonomy. NER identified brand names and product references in review text, confirming that product-level attribution is feasible without structured metadata.</w:t>
      </w:r>
    </w:p>
    <w:p>
      <w:pPr>
        <w:pStyle w:val="Heading2"/>
        <w:jc w:val="left"/>
      </w:pPr>
      <w:r>
        <w:t>5.3  Classical Baselines — TF-IDF + SMOTE</w:t>
      </w:r>
    </w:p>
    <w:p>
      <w:r>
        <w:rPr>
          <w:sz w:val="22"/>
        </w:rPr>
        <w:t>Two classical models were trained on TF-IDF feature vectors (max 10,000 features, unigrams + bigrams) with SMOTE oversampling on the training set to counter class imbalance:</w:t>
      </w:r>
    </w:p>
    <w:p>
      <w:pPr>
        <w:pStyle w:val="ListBullet"/>
      </w:pPr>
      <w:r>
        <w:rPr>
          <w:sz w:val="22"/>
        </w:rPr>
        <w:t>Complement Naive Bayes (CNB): chosen for its robustness to imbalanced text data. CNB models the complement class probability, which empirically outperforms standard Naive Bayes on skewed datasets.</w:t>
      </w:r>
    </w:p>
    <w:p>
      <w:pPr>
        <w:pStyle w:val="ListBullet"/>
      </w:pPr>
      <w:r>
        <w:rPr>
          <w:sz w:val="22"/>
        </w:rPr>
        <w:t>Logistic Regression (LR): a strong linear baseline with L2 regularisation (C=1.0) and lbfgs solver. After removing the deprecated multi_class parameter (scikit-learn ≥1.5), training completed cleanly on the SMOTE-balanced set.</w:t>
      </w:r>
    </w:p>
    <w:p>
      <w:pPr>
        <w:pStyle w:val="Heading2"/>
        <w:jc w:val="left"/>
      </w:pPr>
      <w:r>
        <w:t>5.4  Text Augmentation</w:t>
      </w:r>
    </w:p>
    <w:p>
      <w:r>
        <w:rPr>
          <w:sz w:val="22"/>
        </w:rPr>
        <w:t>An augmentation pipeline combined back-translation (English → German → English via deep-translator) with BERT fill-mask word substitution (bert-base-uncased). A semantic similarity filter (all-MiniLM-L6-v2, cosine threshold ≥ 0.85) retained only augmented samples that preserved the original meaning. Due to the 1–3 s per sample cost, augmentation was applied only to the 1,500-review DeepSeek-labelled subset. For the full 300K corpus, SMOTE and class weighting were used instead.</w:t>
      </w:r>
    </w:p>
    <w:p>
      <w:pPr>
        <w:pStyle w:val="Heading2"/>
        <w:jc w:val="left"/>
      </w:pPr>
      <w:r>
        <w:t>5.5  DeepSeek-R1:8b — Zero-Shot ABSA Labelling</w:t>
      </w:r>
    </w:p>
    <w:p>
      <w:r>
        <w:rPr>
          <w:sz w:val="22"/>
        </w:rPr>
        <w:t>DeepSeek-R1:8b (Ollama, running locally on Apple M4 Max) labelled 1,500 stratified reviews zero-shot. A structured prompt asked the model to identify which of the 12 aspects were mentioned and assign a sentiment polarity to each. This produced approximately 3,000 aspect-sentiment training pairs without any human annotation — solving the label scarcity problem at the cost of ~7 hours of GPU compute.</w:t>
      </w:r>
    </w:p>
    <w:p>
      <w:pPr>
        <w:pStyle w:val="Heading2"/>
        <w:jc w:val="left"/>
      </w:pPr>
      <w:r>
        <w:t>5.6  DistilBERT Fine-Tuning</w:t>
      </w:r>
    </w:p>
    <w:p>
      <w:r>
        <w:rPr>
          <w:sz w:val="22"/>
        </w:rPr>
        <w:t>DistilBERT (distilbert-base-uncased) was fine-tuned on the DeepSeek-generated labels for 3-class sentiment classification. A class-weighted cross-entropy loss addressed imbalance: neutral class weight 10.23×, negative 4.97×, positive 0.62×. Training ran for 3 epochs on MPS (Apple Metal), learning rate 2×10⁻⁵, batch size 16. At inference time DistilBERT processes 300K reviews in approximately 2 hours — a 1,500× speedup over DeepSeek.</w:t>
      </w:r>
    </w:p>
    <w:p>
      <w:pPr>
        <w:pStyle w:val="Heading2"/>
        <w:jc w:val="left"/>
      </w:pPr>
      <w:r>
        <w:t>5.7  Product Scoring Aggregation</w:t>
      </w:r>
    </w:p>
    <w:p>
      <w:r>
        <w:rPr>
          <w:sz w:val="22"/>
        </w:rPr>
        <w:t>For each product ASIN, aspect predictions were aggregated using: score = (positive_count − negative_count) / total_mentions, yielding a value in [−1.0, +1.0] per aspect. Products with fewer than 3 mentions of an aspect receive NaN. This produced a 9,636 × 12 scoring matrix saved as product_scores.csv.</w:t>
      </w:r>
    </w:p>
    <w:p>
      <w:pPr>
        <w:pStyle w:val="Heading2"/>
        <w:jc w:val="left"/>
      </w:pPr>
      <w:r>
        <w:t>5.8  Semantic Search RAG Chatbot</w:t>
      </w:r>
    </w:p>
    <w:p>
      <w:r>
        <w:rPr>
          <w:sz w:val="22"/>
        </w:rPr>
        <w:t>all-MiniLM-L6-v2 embeds each product's text profile (title, brand, price, top-6 aspect scores) into a 384-dimensional vector. At query time the user's question is encoded with the same model and cosine similarity is computed over all 9,636 product embeddings using a single PyTorch matrix multiplication (millisecond latency). The top-20 most relevant products are formatted as a CSV context block and passed to DeepSeek-R1:8b, which generates a concise natural-language answer. This approach avoids sending all 9,636 products to the LLM (which would require ~500K tokens) while still allowing queries about any product by name or characteristic.</w:t>
      </w:r>
    </w:p>
    <w:p>
      <w:pPr>
        <w:pStyle w:val="Heading1"/>
        <w:jc w:val="left"/>
      </w:pPr>
      <w:r>
        <w:t>6. Results</w:t>
      </w:r>
    </w:p>
    <w:p>
      <w:pPr>
        <w:pStyle w:val="Heading2"/>
        <w:jc w:val="left"/>
      </w:pPr>
      <w:r>
        <w:t>6.1  Classical Baseline — Complement Naive Bayes</w:t>
      </w:r>
    </w:p>
    <w:p>
      <w:pPr>
        <w:jc w:val="center"/>
      </w:pPr>
      <w:r>
        <w:drawing>
          <wp:inline xmlns:a="http://schemas.openxmlformats.org/drawingml/2006/main" xmlns:pic="http://schemas.openxmlformats.org/drawingml/2006/picture">
            <wp:extent cx="5303520" cy="4242816"/>
            <wp:docPr id="12" name="Picture 12"/>
            <wp:cNvGraphicFramePr>
              <a:graphicFrameLocks noChangeAspect="1"/>
            </wp:cNvGraphicFramePr>
            <a:graphic>
              <a:graphicData uri="http://schemas.openxmlformats.org/drawingml/2006/picture">
                <pic:pic>
                  <pic:nvPicPr>
                    <pic:cNvPr id="0" name="naive_bayes_confusion_matrix.png"/>
                    <pic:cNvPicPr/>
                  </pic:nvPicPr>
                  <pic:blipFill>
                    <a:blip r:embed="rId20"/>
                    <a:stretch>
                      <a:fillRect/>
                    </a:stretch>
                  </pic:blipFill>
                  <pic:spPr>
                    <a:xfrm>
                      <a:off x="0" y="0"/>
                      <a:ext cx="5303520" cy="4242816"/>
                    </a:xfrm>
                    <a:prstGeom prst="rect"/>
                  </pic:spPr>
                </pic:pic>
              </a:graphicData>
            </a:graphic>
          </wp:inline>
        </w:drawing>
      </w:r>
    </w:p>
    <w:p>
      <w:pPr>
        <w:jc w:val="center"/>
      </w:pPr>
      <w:r>
        <w:rPr>
          <w:i/>
          <w:sz w:val="18"/>
        </w:rPr>
        <w:t>Figure 12. Complement Naive Bayes confusion matrix.</w:t>
      </w:r>
    </w:p>
    <w:p>
      <w:r>
        <w:rPr>
          <w:sz w:val="22"/>
        </w:rPr>
        <w:t>The confusion matrix shows that CNB classifies positive reviews well but struggles with neutral and negative classes. The majority of misclassifications involve neutral reviews being predicted as positive — a direct consequence of class imbalance even after SMOTE. Accuracy: 0.678, Macro F1: 0.517. While modest, this is a reasonable result for a bag-of-words model with no contextual understanding.</w:t>
      </w:r>
    </w:p>
    <w:p/>
    <w:p>
      <w:pPr>
        <w:pStyle w:val="Heading2"/>
        <w:jc w:val="left"/>
      </w:pPr>
      <w:r>
        <w:t>6.2  Classical Baseline — Logistic Regression</w:t>
      </w:r>
    </w:p>
    <w:p>
      <w:pPr>
        <w:jc w:val="center"/>
      </w:pPr>
      <w:r>
        <w:drawing>
          <wp:inline xmlns:a="http://schemas.openxmlformats.org/drawingml/2006/main" xmlns:pic="http://schemas.openxmlformats.org/drawingml/2006/picture">
            <wp:extent cx="5303520" cy="4242816"/>
            <wp:docPr id="13" name="Picture 13"/>
            <wp:cNvGraphicFramePr>
              <a:graphicFrameLocks noChangeAspect="1"/>
            </wp:cNvGraphicFramePr>
            <a:graphic>
              <a:graphicData uri="http://schemas.openxmlformats.org/drawingml/2006/picture">
                <pic:pic>
                  <pic:nvPicPr>
                    <pic:cNvPr id="0" name="logistic_regression_confusion_matrix.png"/>
                    <pic:cNvPicPr/>
                  </pic:nvPicPr>
                  <pic:blipFill>
                    <a:blip r:embed="rId21"/>
                    <a:stretch>
                      <a:fillRect/>
                    </a:stretch>
                  </pic:blipFill>
                  <pic:spPr>
                    <a:xfrm>
                      <a:off x="0" y="0"/>
                      <a:ext cx="5303520" cy="4242816"/>
                    </a:xfrm>
                    <a:prstGeom prst="rect"/>
                  </pic:spPr>
                </pic:pic>
              </a:graphicData>
            </a:graphic>
          </wp:inline>
        </w:drawing>
      </w:r>
    </w:p>
    <w:p>
      <w:pPr>
        <w:jc w:val="center"/>
      </w:pPr>
      <w:r>
        <w:rPr>
          <w:i/>
          <w:sz w:val="18"/>
        </w:rPr>
        <w:t>Figure 13. Logistic Regression confusion matrix.</w:t>
      </w:r>
    </w:p>
    <w:p>
      <w:r>
        <w:rPr>
          <w:sz w:val="22"/>
        </w:rPr>
        <w:t>Logistic Regression outperforms CNB on both metrics (accuracy 0.714, macro F1 0.554). The confusion matrix shows better separation of negative reviews, though neutral prediction remains the weakest class. LR benefits from L2 regularisation which prevents overfitting on the highly sparse TF-IDF feature space. The improvement over CNB confirms that a discriminative model is better suited to this task than a generative one when given sufficient training data.</w:t>
      </w:r>
    </w:p>
    <w:p/>
    <w:p>
      <w:pPr>
        <w:pStyle w:val="Heading2"/>
        <w:jc w:val="left"/>
      </w:pPr>
      <w:r>
        <w:t>6.3  Class Distribution Before SMOTE</w:t>
      </w:r>
    </w:p>
    <w:p>
      <w:pPr>
        <w:jc w:val="center"/>
      </w:pPr>
      <w:r>
        <w:drawing>
          <wp:inline xmlns:a="http://schemas.openxmlformats.org/drawingml/2006/main" xmlns:pic="http://schemas.openxmlformats.org/drawingml/2006/picture">
            <wp:extent cx="5303520" cy="3093720"/>
            <wp:docPr id="14" name="Picture 14"/>
            <wp:cNvGraphicFramePr>
              <a:graphicFrameLocks noChangeAspect="1"/>
            </wp:cNvGraphicFramePr>
            <a:graphic>
              <a:graphicData uri="http://schemas.openxmlformats.org/drawingml/2006/picture">
                <pic:pic>
                  <pic:nvPicPr>
                    <pic:cNvPr id="0" name="class_distribution_before_smote.png"/>
                    <pic:cNvPicPr/>
                  </pic:nvPicPr>
                  <pic:blipFill>
                    <a:blip r:embed="rId22"/>
                    <a:stretch>
                      <a:fillRect/>
                    </a:stretch>
                  </pic:blipFill>
                  <pic:spPr>
                    <a:xfrm>
                      <a:off x="0" y="0"/>
                      <a:ext cx="5303520" cy="3093720"/>
                    </a:xfrm>
                    <a:prstGeom prst="rect"/>
                  </pic:spPr>
                </pic:pic>
              </a:graphicData>
            </a:graphic>
          </wp:inline>
        </w:drawing>
      </w:r>
    </w:p>
    <w:p>
      <w:pPr>
        <w:jc w:val="center"/>
      </w:pPr>
      <w:r>
        <w:rPr>
          <w:i/>
          <w:sz w:val="18"/>
        </w:rPr>
        <w:t>Figure 14. Class distribution in aspect-sentiment labels before SMOTE oversampling.</w:t>
      </w:r>
    </w:p>
    <w:p>
      <w:r>
        <w:rPr>
          <w:sz w:val="22"/>
        </w:rPr>
        <w:t>This bar chart makes the imbalance concrete: positive labels are roughly 5× more frequent than negative and 25× more frequent than neutral. Without SMOTE, both classical models would simply predict positive for almost every sample and still achieve ~80 % accuracy — a deceptive result. SMOTE synthetically generates minority-class samples in feature space to balance the training set, which is why macro F1 is the better metric here: it weights all classes equally regardless of their frequency.</w:t>
      </w:r>
    </w:p>
    <w:p/>
    <w:p>
      <w:pPr>
        <w:pStyle w:val="Heading2"/>
        <w:jc w:val="left"/>
      </w:pPr>
      <w:r>
        <w:t>6.4  Model Comparison</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Accuracy</w:t>
            </w:r>
          </w:p>
        </w:tc>
        <w:tc>
          <w:tcPr>
            <w:tcW w:type="dxa" w:w="2160"/>
          </w:tcPr>
          <w:p>
            <w:r>
              <w:rPr>
                <w:b/>
              </w:rPr>
              <w:t>Macro F1</w:t>
            </w:r>
          </w:p>
        </w:tc>
        <w:tc>
          <w:tcPr>
            <w:tcW w:type="dxa" w:w="2160"/>
          </w:tcPr>
          <w:p>
            <w:r>
              <w:rPr>
                <w:b/>
              </w:rPr>
              <w:t>Technique</w:t>
            </w:r>
          </w:p>
        </w:tc>
      </w:tr>
      <w:tr>
        <w:tc>
          <w:tcPr>
            <w:tcW w:type="dxa" w:w="2160"/>
          </w:tcPr>
          <w:p>
            <w:r>
              <w:t>Complement Naive Bayes</w:t>
            </w:r>
          </w:p>
        </w:tc>
        <w:tc>
          <w:tcPr>
            <w:tcW w:type="dxa" w:w="2160"/>
          </w:tcPr>
          <w:p>
            <w:r>
              <w:t>0.678</w:t>
            </w:r>
          </w:p>
        </w:tc>
        <w:tc>
          <w:tcPr>
            <w:tcW w:type="dxa" w:w="2160"/>
          </w:tcPr>
          <w:p>
            <w:r>
              <w:t>0.517</w:t>
            </w:r>
          </w:p>
        </w:tc>
        <w:tc>
          <w:tcPr>
            <w:tcW w:type="dxa" w:w="2160"/>
          </w:tcPr>
          <w:p>
            <w:r>
              <w:t>TF-IDF + SMOTE</w:t>
            </w:r>
          </w:p>
        </w:tc>
      </w:tr>
      <w:tr>
        <w:tc>
          <w:tcPr>
            <w:tcW w:type="dxa" w:w="2160"/>
          </w:tcPr>
          <w:p>
            <w:r>
              <w:t>Logistic Regression</w:t>
            </w:r>
          </w:p>
        </w:tc>
        <w:tc>
          <w:tcPr>
            <w:tcW w:type="dxa" w:w="2160"/>
          </w:tcPr>
          <w:p>
            <w:r>
              <w:t>0.714</w:t>
            </w:r>
          </w:p>
        </w:tc>
        <w:tc>
          <w:tcPr>
            <w:tcW w:type="dxa" w:w="2160"/>
          </w:tcPr>
          <w:p>
            <w:r>
              <w:t>0.554</w:t>
            </w:r>
          </w:p>
        </w:tc>
        <w:tc>
          <w:tcPr>
            <w:tcW w:type="dxa" w:w="2160"/>
          </w:tcPr>
          <w:p>
            <w:r>
              <w:t>TF-IDF + SMOTE + L2</w:t>
            </w:r>
          </w:p>
        </w:tc>
      </w:tr>
      <w:tr>
        <w:tc>
          <w:tcPr>
            <w:tcW w:type="dxa" w:w="2160"/>
          </w:tcPr>
          <w:p>
            <w:r>
              <w:t>DistilBERT (fine-tuned)</w:t>
            </w:r>
          </w:p>
        </w:tc>
        <w:tc>
          <w:tcPr>
            <w:tcW w:type="dxa" w:w="2160"/>
          </w:tcPr>
          <w:p>
            <w:r>
              <w:t>0.840</w:t>
            </w:r>
          </w:p>
        </w:tc>
        <w:tc>
          <w:tcPr>
            <w:tcW w:type="dxa" w:w="2160"/>
          </w:tcPr>
          <w:p>
            <w:r>
              <w:t>0.620</w:t>
            </w:r>
          </w:p>
        </w:tc>
        <w:tc>
          <w:tcPr>
            <w:tcW w:type="dxa" w:w="2160"/>
          </w:tcPr>
          <w:p>
            <w:r>
              <w:t>Contextual embeddings + class weights</w:t>
            </w:r>
          </w:p>
        </w:tc>
      </w:tr>
    </w:tbl>
    <w:p/>
    <w:p>
      <w:pPr>
        <w:jc w:val="center"/>
      </w:pPr>
      <w:r>
        <w:drawing>
          <wp:inline xmlns:a="http://schemas.openxmlformats.org/drawingml/2006/main" xmlns:pic="http://schemas.openxmlformats.org/drawingml/2006/picture">
            <wp:extent cx="5303520" cy="2651760"/>
            <wp:docPr id="15" name="Picture 15"/>
            <wp:cNvGraphicFramePr>
              <a:graphicFrameLocks noChangeAspect="1"/>
            </wp:cNvGraphicFramePr>
            <a:graphic>
              <a:graphicData uri="http://schemas.openxmlformats.org/drawingml/2006/picture">
                <pic:pic>
                  <pic:nvPicPr>
                    <pic:cNvPr id="0" name="model_comparison.png"/>
                    <pic:cNvPicPr/>
                  </pic:nvPicPr>
                  <pic:blipFill>
                    <a:blip r:embed="rId23"/>
                    <a:stretch>
                      <a:fillRect/>
                    </a:stretch>
                  </pic:blipFill>
                  <pic:spPr>
                    <a:xfrm>
                      <a:off x="0" y="0"/>
                      <a:ext cx="5303520" cy="2651760"/>
                    </a:xfrm>
                    <a:prstGeom prst="rect"/>
                  </pic:spPr>
                </pic:pic>
              </a:graphicData>
            </a:graphic>
          </wp:inline>
        </w:drawing>
      </w:r>
    </w:p>
    <w:p>
      <w:pPr>
        <w:jc w:val="center"/>
      </w:pPr>
      <w:r>
        <w:rPr>
          <w:i/>
          <w:sz w:val="18"/>
        </w:rPr>
        <w:t>Figure 15. Model comparison — accuracy and macro F1 across all three models.</w:t>
      </w:r>
    </w:p>
    <w:p>
      <w:r>
        <w:rPr>
          <w:sz w:val="22"/>
        </w:rPr>
        <w:t>The bar chart makes the performance gap visible. DistilBERT achieves the highest accuracy (0.840) and macro F1 (0.620), outperforming Logistic Regression by 12.6 percentage points on accuracy and 6.6 points on macro F1. The gap reflects DistilBERT's contextual understanding: it learns which words are important based on surrounding context, whereas TF-IDF treats each word independently. The macro F1 gap is smaller than the accuracy gap, indicating all three models still struggle with the minority neutral class.</w:t>
      </w:r>
    </w:p>
    <w:p/>
    <w:p>
      <w:pPr>
        <w:pStyle w:val="Heading2"/>
        <w:jc w:val="left"/>
      </w:pPr>
      <w:r>
        <w:t>6.5  DistilBERT Training Curve</w:t>
      </w:r>
    </w:p>
    <w:p>
      <w:pPr>
        <w:jc w:val="center"/>
      </w:pPr>
      <w:r>
        <w:drawing>
          <wp:inline xmlns:a="http://schemas.openxmlformats.org/drawingml/2006/main" xmlns:pic="http://schemas.openxmlformats.org/drawingml/2006/picture">
            <wp:extent cx="5303520" cy="2121408"/>
            <wp:docPr id="16" name="Picture 16"/>
            <wp:cNvGraphicFramePr>
              <a:graphicFrameLocks noChangeAspect="1"/>
            </wp:cNvGraphicFramePr>
            <a:graphic>
              <a:graphicData uri="http://schemas.openxmlformats.org/drawingml/2006/picture">
                <pic:pic>
                  <pic:nvPicPr>
                    <pic:cNvPr id="0" name="distilbert_training_curve.png"/>
                    <pic:cNvPicPr/>
                  </pic:nvPicPr>
                  <pic:blipFill>
                    <a:blip r:embed="rId24"/>
                    <a:stretch>
                      <a:fillRect/>
                    </a:stretch>
                  </pic:blipFill>
                  <pic:spPr>
                    <a:xfrm>
                      <a:off x="0" y="0"/>
                      <a:ext cx="5303520" cy="2121408"/>
                    </a:xfrm>
                    <a:prstGeom prst="rect"/>
                  </pic:spPr>
                </pic:pic>
              </a:graphicData>
            </a:graphic>
          </wp:inline>
        </w:drawing>
      </w:r>
    </w:p>
    <w:p>
      <w:pPr>
        <w:jc w:val="center"/>
      </w:pPr>
      <w:r>
        <w:rPr>
          <w:i/>
          <w:sz w:val="18"/>
        </w:rPr>
        <w:t>Figure 16. DistilBERT training and validation loss / accuracy over 3 epochs.</w:t>
      </w:r>
    </w:p>
    <w:p>
      <w:r>
        <w:rPr>
          <w:sz w:val="22"/>
        </w:rPr>
        <w:t>Training loss drops consistently across all three epochs, and validation loss tracks closely without diverging — confirming the model is not overfitting. Validation accuracy improves from epoch 1 to epoch 3, reaching 0.840 on the held-out test set (n=454 reviews). The close alignment between training and validation curves is expected given the small training set (~3,000 labelled pairs); the class-weighted loss forces the model to attend to rare minority classes rather than optimising purely for majority-class accuracy.</w:t>
      </w:r>
    </w:p>
    <w:p/>
    <w:p>
      <w:pPr>
        <w:pStyle w:val="Heading2"/>
        <w:jc w:val="left"/>
      </w:pPr>
      <w:r>
        <w:t>6.6  DistilBERT Confusion Matrix</w:t>
      </w:r>
    </w:p>
    <w:p>
      <w:pPr>
        <w:jc w:val="center"/>
      </w:pPr>
      <w:r>
        <w:drawing>
          <wp:inline xmlns:a="http://schemas.openxmlformats.org/drawingml/2006/main" xmlns:pic="http://schemas.openxmlformats.org/drawingml/2006/picture">
            <wp:extent cx="5303520" cy="4545874"/>
            <wp:docPr id="17" name="Picture 17"/>
            <wp:cNvGraphicFramePr>
              <a:graphicFrameLocks noChangeAspect="1"/>
            </wp:cNvGraphicFramePr>
            <a:graphic>
              <a:graphicData uri="http://schemas.openxmlformats.org/drawingml/2006/picture">
                <pic:pic>
                  <pic:nvPicPr>
                    <pic:cNvPr id="0" name="confusion_matrix.png"/>
                    <pic:cNvPicPr/>
                  </pic:nvPicPr>
                  <pic:blipFill>
                    <a:blip r:embed="rId25"/>
                    <a:stretch>
                      <a:fillRect/>
                    </a:stretch>
                  </pic:blipFill>
                  <pic:spPr>
                    <a:xfrm>
                      <a:off x="0" y="0"/>
                      <a:ext cx="5303520" cy="4545874"/>
                    </a:xfrm>
                    <a:prstGeom prst="rect"/>
                  </pic:spPr>
                </pic:pic>
              </a:graphicData>
            </a:graphic>
          </wp:inline>
        </w:drawing>
      </w:r>
    </w:p>
    <w:p>
      <w:pPr>
        <w:jc w:val="center"/>
      </w:pPr>
      <w:r>
        <w:rPr>
          <w:i/>
          <w:sz w:val="18"/>
        </w:rPr>
        <w:t>Figure 17. DistilBERT confusion matrix (test set, n=454).</w:t>
      </w:r>
    </w:p>
    <w:p>
      <w:r>
        <w:rPr>
          <w:sz w:val="22"/>
        </w:rPr>
        <w:t>DistilBERT correctly classifies the vast majority of positive and negative reviews. The remaining errors are concentrated on neutral reviews, which are predicted as positive — consistent with neutral being the hardest class due to its linguistic ambiguity (neutral reviews rarely contain strong positive or negative signal words). The class-weighted loss significantly improved neutral recall compared to training without weights, where almost all neutral samples were misclassified.</w:t>
      </w:r>
    </w:p>
    <w:p/>
    <w:p>
      <w:pPr>
        <w:pStyle w:val="Heading2"/>
        <w:jc w:val="left"/>
      </w:pPr>
      <w:r>
        <w:t>6.7  Aspect Frequency</w:t>
      </w:r>
    </w:p>
    <w:p>
      <w:pPr>
        <w:jc w:val="center"/>
      </w:pPr>
      <w:r>
        <w:drawing>
          <wp:inline xmlns:a="http://schemas.openxmlformats.org/drawingml/2006/main" xmlns:pic="http://schemas.openxmlformats.org/drawingml/2006/picture">
            <wp:extent cx="5303520" cy="2631688"/>
            <wp:docPr id="18" name="Picture 18"/>
            <wp:cNvGraphicFramePr>
              <a:graphicFrameLocks noChangeAspect="1"/>
            </wp:cNvGraphicFramePr>
            <a:graphic>
              <a:graphicData uri="http://schemas.openxmlformats.org/drawingml/2006/picture">
                <pic:pic>
                  <pic:nvPicPr>
                    <pic:cNvPr id="0" name="aspect_frequency.png"/>
                    <pic:cNvPicPr/>
                  </pic:nvPicPr>
                  <pic:blipFill>
                    <a:blip r:embed="rId26"/>
                    <a:stretch>
                      <a:fillRect/>
                    </a:stretch>
                  </pic:blipFill>
                  <pic:spPr>
                    <a:xfrm>
                      <a:off x="0" y="0"/>
                      <a:ext cx="5303520" cy="2631688"/>
                    </a:xfrm>
                    <a:prstGeom prst="rect"/>
                  </pic:spPr>
                </pic:pic>
              </a:graphicData>
            </a:graphic>
          </wp:inline>
        </w:drawing>
      </w:r>
    </w:p>
    <w:p>
      <w:pPr>
        <w:jc w:val="center"/>
      </w:pPr>
      <w:r>
        <w:rPr>
          <w:i/>
          <w:sz w:val="18"/>
        </w:rPr>
        <w:t>Figure 18. Frequency of each aspect mention across 300K reviews.</w:t>
      </w:r>
    </w:p>
    <w:p>
      <w:r>
        <w:rPr>
          <w:sz w:val="22"/>
        </w:rPr>
        <w:t>Performance and ease of use are the most frequently mentioned aspects — customers prioritise how well a product works and how easy it is to set up. Battery life and connectivity follow closely, reflecting common pain points in consumer electronics. Camera quality and sound quality are mentioned least frequently, consistent with their relevance only to specific product categories (cameras, speakers, headphones). This distribution guides which aspects carry the most statistical weight in the product scoring table.</w:t>
      </w:r>
    </w:p>
    <w:p/>
    <w:p>
      <w:pPr>
        <w:pStyle w:val="Heading2"/>
        <w:jc w:val="left"/>
      </w:pPr>
      <w:r>
        <w:t>6.8  Sentiment Breakdown per Aspect</w:t>
      </w:r>
    </w:p>
    <w:p>
      <w:pPr>
        <w:jc w:val="center"/>
      </w:pPr>
      <w:r>
        <w:drawing>
          <wp:inline xmlns:a="http://schemas.openxmlformats.org/drawingml/2006/main" xmlns:pic="http://schemas.openxmlformats.org/drawingml/2006/picture">
            <wp:extent cx="5303520" cy="2252755"/>
            <wp:docPr id="19" name="Picture 19"/>
            <wp:cNvGraphicFramePr>
              <a:graphicFrameLocks noChangeAspect="1"/>
            </wp:cNvGraphicFramePr>
            <a:graphic>
              <a:graphicData uri="http://schemas.openxmlformats.org/drawingml/2006/picture">
                <pic:pic>
                  <pic:nvPicPr>
                    <pic:cNvPr id="0" name="aspect_sentiment_stacked.png"/>
                    <pic:cNvPicPr/>
                  </pic:nvPicPr>
                  <pic:blipFill>
                    <a:blip r:embed="rId27"/>
                    <a:stretch>
                      <a:fillRect/>
                    </a:stretch>
                  </pic:blipFill>
                  <pic:spPr>
                    <a:xfrm>
                      <a:off x="0" y="0"/>
                      <a:ext cx="5303520" cy="2252755"/>
                    </a:xfrm>
                    <a:prstGeom prst="rect"/>
                  </pic:spPr>
                </pic:pic>
              </a:graphicData>
            </a:graphic>
          </wp:inline>
        </w:drawing>
      </w:r>
    </w:p>
    <w:p>
      <w:pPr>
        <w:jc w:val="center"/>
      </w:pPr>
      <w:r>
        <w:rPr>
          <w:i/>
          <w:sz w:val="18"/>
        </w:rPr>
        <w:t>Figure 19. Sentiment breakdown per aspect (stacked bar chart).</w:t>
      </w:r>
    </w:p>
    <w:p>
      <w:r>
        <w:rPr>
          <w:sz w:val="22"/>
        </w:rPr>
        <w:t>Each bar represents one aspect and is divided into positive (blue), neutral (grey), and negative (red) proportions. Delivery and ease of use show the highest positive rates — customers are generally satisfied with how quickly products arrive and how simple they are to use. Reliability and build quality show the highest negative rates, meaning these are the aspects customers most often complain about. This chart directly answers the question: which aspects of electronics products generate the most dissatisfaction?</w:t>
      </w:r>
    </w:p>
    <w:p/>
    <w:p>
      <w:pPr>
        <w:pStyle w:val="Heading2"/>
        <w:jc w:val="left"/>
      </w:pPr>
      <w:r>
        <w:t>6.9  Aspect-Sentiment Heatmap</w:t>
      </w:r>
    </w:p>
    <w:p>
      <w:pPr>
        <w:jc w:val="center"/>
      </w:pPr>
      <w:r>
        <w:drawing>
          <wp:inline xmlns:a="http://schemas.openxmlformats.org/drawingml/2006/main" xmlns:pic="http://schemas.openxmlformats.org/drawingml/2006/picture">
            <wp:extent cx="5303520" cy="3843938"/>
            <wp:docPr id="20" name="Picture 20"/>
            <wp:cNvGraphicFramePr>
              <a:graphicFrameLocks noChangeAspect="1"/>
            </wp:cNvGraphicFramePr>
            <a:graphic>
              <a:graphicData uri="http://schemas.openxmlformats.org/drawingml/2006/picture">
                <pic:pic>
                  <pic:nvPicPr>
                    <pic:cNvPr id="0" name="aspect_sentiment_heatmap.png"/>
                    <pic:cNvPicPr/>
                  </pic:nvPicPr>
                  <pic:blipFill>
                    <a:blip r:embed="rId28"/>
                    <a:stretch>
                      <a:fillRect/>
                    </a:stretch>
                  </pic:blipFill>
                  <pic:spPr>
                    <a:xfrm>
                      <a:off x="0" y="0"/>
                      <a:ext cx="5303520" cy="3843938"/>
                    </a:xfrm>
                    <a:prstGeom prst="rect"/>
                  </pic:spPr>
                </pic:pic>
              </a:graphicData>
            </a:graphic>
          </wp:inline>
        </w:drawing>
      </w:r>
    </w:p>
    <w:p>
      <w:pPr>
        <w:jc w:val="center"/>
      </w:pPr>
      <w:r>
        <w:rPr>
          <w:i/>
          <w:sz w:val="18"/>
        </w:rPr>
        <w:t>Figure 20. Aspect-sentiment heatmap — sentiment score per aspect across all products.</w:t>
      </w:r>
    </w:p>
    <w:p>
      <w:r>
        <w:rPr>
          <w:sz w:val="22"/>
        </w:rPr>
        <w:t>The heatmap shows the average sentiment score (positive proportion minus negative proportion) for each aspect, aggregated across all 9,636 products. Warmer colours (closer to +1.0) indicate aspects that customers are consistently positive about; cooler colours indicate common dissatisfaction. Delivery and customer service score highest, while reliability and build quality score lowest — a pattern consistent with common consumer electronics complaints found in industry sentiment surveys.</w:t>
      </w:r>
    </w:p>
    <w:p/>
    <w:p>
      <w:pPr>
        <w:pStyle w:val="Heading2"/>
        <w:jc w:val="left"/>
      </w:pPr>
      <w:r>
        <w:t>6.10  Negative Sentiment Rate per Aspect</w:t>
      </w:r>
    </w:p>
    <w:p>
      <w:pPr>
        <w:jc w:val="center"/>
      </w:pPr>
      <w:r>
        <w:drawing>
          <wp:inline xmlns:a="http://schemas.openxmlformats.org/drawingml/2006/main" xmlns:pic="http://schemas.openxmlformats.org/drawingml/2006/picture">
            <wp:extent cx="5303520" cy="2627629"/>
            <wp:docPr id="21" name="Picture 21"/>
            <wp:cNvGraphicFramePr>
              <a:graphicFrameLocks noChangeAspect="1"/>
            </wp:cNvGraphicFramePr>
            <a:graphic>
              <a:graphicData uri="http://schemas.openxmlformats.org/drawingml/2006/picture">
                <pic:pic>
                  <pic:nvPicPr>
                    <pic:cNvPr id="0" name="aspect_negative_rate.png"/>
                    <pic:cNvPicPr/>
                  </pic:nvPicPr>
                  <pic:blipFill>
                    <a:blip r:embed="rId29"/>
                    <a:stretch>
                      <a:fillRect/>
                    </a:stretch>
                  </pic:blipFill>
                  <pic:spPr>
                    <a:xfrm>
                      <a:off x="0" y="0"/>
                      <a:ext cx="5303520" cy="2627629"/>
                    </a:xfrm>
                    <a:prstGeom prst="rect"/>
                  </pic:spPr>
                </pic:pic>
              </a:graphicData>
            </a:graphic>
          </wp:inline>
        </w:drawing>
      </w:r>
    </w:p>
    <w:p>
      <w:pPr>
        <w:jc w:val="center"/>
      </w:pPr>
      <w:r>
        <w:rPr>
          <w:i/>
          <w:sz w:val="18"/>
        </w:rPr>
        <w:t>Figure 21. Negative-sentiment rate per aspect.</w:t>
      </w:r>
    </w:p>
    <w:p>
      <w:r>
        <w:rPr>
          <w:sz w:val="22"/>
        </w:rPr>
        <w:t>This chart isolates the negative proportion for each aspect, making it easy to identify where customers are most dissatisfied. Reliability has the highest negative rate, followed by build quality and connectivity. These three aspects represent the biggest quality gaps in the electronics market covered by this dataset. A product manufacturer could use this view to prioritise which aspect to address in their next product iteration.</w:t>
      </w:r>
    </w:p>
    <w:p/>
    <w:p>
      <w:pPr>
        <w:pStyle w:val="Heading2"/>
        <w:jc w:val="left"/>
      </w:pPr>
      <w:r>
        <w:t>6.11  Product Scoring Heatmap</w:t>
      </w:r>
    </w:p>
    <w:p>
      <w:pPr>
        <w:jc w:val="center"/>
      </w:pPr>
      <w:r>
        <w:drawing>
          <wp:inline xmlns:a="http://schemas.openxmlformats.org/drawingml/2006/main" xmlns:pic="http://schemas.openxmlformats.org/drawingml/2006/picture">
            <wp:extent cx="5486400" cy="1877627"/>
            <wp:docPr id="22" name="Picture 22"/>
            <wp:cNvGraphicFramePr>
              <a:graphicFrameLocks noChangeAspect="1"/>
            </wp:cNvGraphicFramePr>
            <a:graphic>
              <a:graphicData uri="http://schemas.openxmlformats.org/drawingml/2006/picture">
                <pic:pic>
                  <pic:nvPicPr>
                    <pic:cNvPr id="0" name="product_scoring_heatmap.png"/>
                    <pic:cNvPicPr/>
                  </pic:nvPicPr>
                  <pic:blipFill>
                    <a:blip r:embed="rId30"/>
                    <a:stretch>
                      <a:fillRect/>
                    </a:stretch>
                  </pic:blipFill>
                  <pic:spPr>
                    <a:xfrm>
                      <a:off x="0" y="0"/>
                      <a:ext cx="5486400" cy="1877627"/>
                    </a:xfrm>
                    <a:prstGeom prst="rect"/>
                  </pic:spPr>
                </pic:pic>
              </a:graphicData>
            </a:graphic>
          </wp:inline>
        </w:drawing>
      </w:r>
    </w:p>
    <w:p>
      <w:pPr>
        <w:jc w:val="center"/>
      </w:pPr>
      <w:r>
        <w:rPr>
          <w:i/>
          <w:sz w:val="18"/>
        </w:rPr>
        <w:t>Figure 22. Product scoring heatmap — top 50 products by review volume × 12 aspects.</w:t>
      </w:r>
    </w:p>
    <w:p>
      <w:r>
        <w:rPr>
          <w:sz w:val="22"/>
        </w:rPr>
        <w:t>Each row is one product and each column is one of the 12 aspects. Cell colour ranges from dark blue (score near −1.0, predominantly negative sentiment) through white (neutral or insufficient data) to dark red (score near +1.0, predominantly positive). Grey cells indicate fewer than 3 mentions of that aspect for that product (NaN). The heatmap reveals that most high-volume products score strongly positive on performance and ease of use but more mixed on reliability and build quality. It also shows that no single product scores perfectly across all 12 aspects — demonstrating the value of aspect-level granularity over a single aggregate rating.</w:t>
      </w:r>
    </w:p>
    <w:p/>
    <w:p>
      <w:pPr>
        <w:pStyle w:val="Heading2"/>
        <w:jc w:val="left"/>
      </w:pPr>
      <w:r>
        <w:t>6.12  Per-Aspect F1 Scores</w:t>
      </w:r>
    </w:p>
    <w:p>
      <w:r>
        <w:rPr>
          <w:sz w:val="22"/>
        </w:rPr>
        <w:t>The table below shows per-aspect macro F1 scores from DistilBERT inference on the 300K sample: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Aspect</w:t>
            </w:r>
          </w:p>
        </w:tc>
        <w:tc>
          <w:tcPr>
            <w:tcW w:type="dxa" w:w="2880"/>
          </w:tcPr>
          <w:p>
            <w:r>
              <w:rPr>
                <w:b/>
              </w:rPr>
              <w:t>F1 Score</w:t>
            </w:r>
          </w:p>
        </w:tc>
        <w:tc>
          <w:tcPr>
            <w:tcW w:type="dxa" w:w="2880"/>
          </w:tcPr>
          <w:p>
            <w:r>
              <w:rPr>
                <w:b/>
              </w:rPr>
              <w:t>Interpretation</w:t>
            </w:r>
          </w:p>
        </w:tc>
      </w:tr>
      <w:tr>
        <w:tc>
          <w:tcPr>
            <w:tcW w:type="dxa" w:w="2880"/>
          </w:tcPr>
          <w:p>
            <w:r>
              <w:t>Battery Life</w:t>
            </w:r>
          </w:p>
        </w:tc>
        <w:tc>
          <w:tcPr>
            <w:tcW w:type="dxa" w:w="2880"/>
          </w:tcPr>
          <w:p>
            <w:r>
              <w:t>1.000</w:t>
            </w:r>
          </w:p>
        </w:tc>
        <w:tc>
          <w:tcPr>
            <w:tcW w:type="dxa" w:w="2880"/>
          </w:tcPr>
          <w:p>
            <w:r>
              <w:t>Perfect — strong linguistic signals ('battery life', 'lasts', 'charge')</w:t>
            </w:r>
          </w:p>
        </w:tc>
      </w:tr>
      <w:tr>
        <w:tc>
          <w:tcPr>
            <w:tcW w:type="dxa" w:w="2880"/>
          </w:tcPr>
          <w:p>
            <w:r>
              <w:t>Delivery</w:t>
            </w:r>
          </w:p>
        </w:tc>
        <w:tc>
          <w:tcPr>
            <w:tcW w:type="dxa" w:w="2880"/>
          </w:tcPr>
          <w:p>
            <w:r>
              <w:t>0.915</w:t>
            </w:r>
          </w:p>
        </w:tc>
        <w:tc>
          <w:tcPr>
            <w:tcW w:type="dxa" w:w="2880"/>
          </w:tcPr>
          <w:p>
            <w:r>
              <w:t>Very high — delivery language is highly distinctive</w:t>
            </w:r>
          </w:p>
        </w:tc>
      </w:tr>
      <w:tr>
        <w:tc>
          <w:tcPr>
            <w:tcW w:type="dxa" w:w="2880"/>
          </w:tcPr>
          <w:p>
            <w:r>
              <w:t>Customer Service</w:t>
            </w:r>
          </w:p>
        </w:tc>
        <w:tc>
          <w:tcPr>
            <w:tcW w:type="dxa" w:w="2880"/>
          </w:tcPr>
          <w:p>
            <w:r>
              <w:t>0.833</w:t>
            </w:r>
          </w:p>
        </w:tc>
        <w:tc>
          <w:tcPr>
            <w:tcW w:type="dxa" w:w="2880"/>
          </w:tcPr>
          <w:p>
            <w:r>
              <w:t>High — service complaints use consistent vocabulary</w:t>
            </w:r>
          </w:p>
        </w:tc>
      </w:tr>
      <w:tr>
        <w:tc>
          <w:tcPr>
            <w:tcW w:type="dxa" w:w="2880"/>
          </w:tcPr>
          <w:p>
            <w:r>
              <w:t>Ease of Use</w:t>
            </w:r>
          </w:p>
        </w:tc>
        <w:tc>
          <w:tcPr>
            <w:tcW w:type="dxa" w:w="2880"/>
          </w:tcPr>
          <w:p>
            <w:r>
              <w:t>0.800</w:t>
            </w:r>
          </w:p>
        </w:tc>
        <w:tc>
          <w:tcPr>
            <w:tcW w:type="dxa" w:w="2880"/>
          </w:tcPr>
          <w:p>
            <w:r>
              <w:t>High — setup/usability language is reliable</w:t>
            </w:r>
          </w:p>
        </w:tc>
      </w:tr>
      <w:tr>
        <w:tc>
          <w:tcPr>
            <w:tcW w:type="dxa" w:w="2880"/>
          </w:tcPr>
          <w:p>
            <w:r>
              <w:t>Reliability</w:t>
            </w:r>
          </w:p>
        </w:tc>
        <w:tc>
          <w:tcPr>
            <w:tcW w:type="dxa" w:w="2880"/>
          </w:tcPr>
          <w:p>
            <w:r>
              <w:t>0.800</w:t>
            </w:r>
          </w:p>
        </w:tc>
        <w:tc>
          <w:tcPr>
            <w:tcW w:type="dxa" w:w="2880"/>
          </w:tcPr>
          <w:p>
            <w:r>
              <w:t>High — failure language ('stopped working', 'broke') is clear</w:t>
            </w:r>
          </w:p>
        </w:tc>
      </w:tr>
      <w:tr>
        <w:tc>
          <w:tcPr>
            <w:tcW w:type="dxa" w:w="2880"/>
          </w:tcPr>
          <w:p>
            <w:r>
              <w:t>Connectivity</w:t>
            </w:r>
          </w:p>
        </w:tc>
        <w:tc>
          <w:tcPr>
            <w:tcW w:type="dxa" w:w="2880"/>
          </w:tcPr>
          <w:p>
            <w:r>
              <w:t>0.750</w:t>
            </w:r>
          </w:p>
        </w:tc>
        <w:tc>
          <w:tcPr>
            <w:tcW w:type="dxa" w:w="2880"/>
          </w:tcPr>
          <w:p>
            <w:r>
              <w:t>Good — connectivity terms are distinct but overlap with performance</w:t>
            </w:r>
          </w:p>
        </w:tc>
      </w:tr>
      <w:tr>
        <w:tc>
          <w:tcPr>
            <w:tcW w:type="dxa" w:w="2880"/>
          </w:tcPr>
          <w:p>
            <w:r>
              <w:t>Sound Quality</w:t>
            </w:r>
          </w:p>
        </w:tc>
        <w:tc>
          <w:tcPr>
            <w:tcW w:type="dxa" w:w="2880"/>
          </w:tcPr>
          <w:p>
            <w:r>
              <w:t>0.750</w:t>
            </w:r>
          </w:p>
        </w:tc>
        <w:tc>
          <w:tcPr>
            <w:tcW w:type="dxa" w:w="2880"/>
          </w:tcPr>
          <w:p>
            <w:r>
              <w:t>Good — audio terminology is domain-specific</w:t>
            </w:r>
          </w:p>
        </w:tc>
      </w:tr>
      <w:tr>
        <w:tc>
          <w:tcPr>
            <w:tcW w:type="dxa" w:w="2880"/>
          </w:tcPr>
          <w:p>
            <w:r>
              <w:t>Build Quality</w:t>
            </w:r>
          </w:p>
        </w:tc>
        <w:tc>
          <w:tcPr>
            <w:tcW w:type="dxa" w:w="2880"/>
          </w:tcPr>
          <w:p>
            <w:r>
              <w:t>0.733</w:t>
            </w:r>
          </w:p>
        </w:tc>
        <w:tc>
          <w:tcPr>
            <w:tcW w:type="dxa" w:w="2880"/>
          </w:tcPr>
          <w:p>
            <w:r>
              <w:t>Good — subjective feel words add noise</w:t>
            </w:r>
          </w:p>
        </w:tc>
      </w:tr>
      <w:tr>
        <w:tc>
          <w:tcPr>
            <w:tcW w:type="dxa" w:w="2880"/>
          </w:tcPr>
          <w:p>
            <w:r>
              <w:t>Screen/Display</w:t>
            </w:r>
          </w:p>
        </w:tc>
        <w:tc>
          <w:tcPr>
            <w:tcW w:type="dxa" w:w="2880"/>
          </w:tcPr>
          <w:p>
            <w:r>
              <w:t>0.700</w:t>
            </w:r>
          </w:p>
        </w:tc>
        <w:tc>
          <w:tcPr>
            <w:tcW w:type="dxa" w:w="2880"/>
          </w:tcPr>
          <w:p>
            <w:r>
              <w:t>Moderate — display complaints vary across product types</w:t>
            </w:r>
          </w:p>
        </w:tc>
      </w:tr>
      <w:tr>
        <w:tc>
          <w:tcPr>
            <w:tcW w:type="dxa" w:w="2880"/>
          </w:tcPr>
          <w:p>
            <w:r>
              <w:t>Performance</w:t>
            </w:r>
          </w:p>
        </w:tc>
        <w:tc>
          <w:tcPr>
            <w:tcW w:type="dxa" w:w="2880"/>
          </w:tcPr>
          <w:p>
            <w:r>
              <w:t>0.729</w:t>
            </w:r>
          </w:p>
        </w:tc>
        <w:tc>
          <w:tcPr>
            <w:tcW w:type="dxa" w:w="2880"/>
          </w:tcPr>
          <w:p>
            <w:r>
              <w:t>Moderate — 'performance' is used broadly across contexts</w:t>
            </w:r>
          </w:p>
        </w:tc>
      </w:tr>
      <w:tr>
        <w:tc>
          <w:tcPr>
            <w:tcW w:type="dxa" w:w="2880"/>
          </w:tcPr>
          <w:p>
            <w:r>
              <w:t>Price/Value</w:t>
            </w:r>
          </w:p>
        </w:tc>
        <w:tc>
          <w:tcPr>
            <w:tcW w:type="dxa" w:w="2880"/>
          </w:tcPr>
          <w:p>
            <w:r>
              <w:t>0.686</w:t>
            </w:r>
          </w:p>
        </w:tc>
        <w:tc>
          <w:tcPr>
            <w:tcW w:type="dxa" w:w="2880"/>
          </w:tcPr>
          <w:p>
            <w:r>
              <w:t>Lower — value judgements are highly subjective</w:t>
            </w:r>
          </w:p>
        </w:tc>
      </w:tr>
      <w:tr>
        <w:tc>
          <w:tcPr>
            <w:tcW w:type="dxa" w:w="2880"/>
          </w:tcPr>
          <w:p>
            <w:r>
              <w:t>Camera Quality</w:t>
            </w:r>
          </w:p>
        </w:tc>
        <w:tc>
          <w:tcPr>
            <w:tcW w:type="dxa" w:w="2880"/>
          </w:tcPr>
          <w:p>
            <w:r>
              <w:t>0.667</w:t>
            </w:r>
          </w:p>
        </w:tc>
        <w:tc>
          <w:tcPr>
            <w:tcW w:type="dxa" w:w="2880"/>
          </w:tcPr>
          <w:p>
            <w:r>
              <w:t>Lowest — fewer samples; camera reviews are very sparse</w:t>
            </w:r>
          </w:p>
        </w:tc>
      </w:tr>
    </w:tbl>
    <w:p/>
    <w:p>
      <w:pPr>
        <w:pStyle w:val="Heading1"/>
        <w:jc w:val="left"/>
      </w:pPr>
      <w:r>
        <w:t>7. Discussion</w:t>
      </w:r>
    </w:p>
    <w:p>
      <w:pPr>
        <w:pStyle w:val="Heading2"/>
        <w:jc w:val="left"/>
      </w:pPr>
      <w:r>
        <w:t>7.1  Two-Stage Labelling Strategy</w:t>
      </w:r>
    </w:p>
    <w:p>
      <w:r>
        <w:rPr>
          <w:sz w:val="22"/>
        </w:rPr>
        <w:t>The LLM-teacher / fine-tuned-student approach is the key design choice of this project. DeepSeek-R1:8b generates high-quality zero-shot labels but is too slow for 300K reviews. DistilBERT, once fine-tuned on those labels, runs at 150,000 reviews/hour — a 1,500× improvement. The trade-off is that DistilBERT inherits any systematic errors in the DeepSeek labels. In practice, DeepSeek-R1:8b is a strong zero-shot ABSA annotator, and the fine-tuned student achieves 0.840 accuracy, suggesting the label quality is sufficient.</w:t>
      </w:r>
    </w:p>
    <w:p>
      <w:pPr>
        <w:pStyle w:val="Heading2"/>
        <w:jc w:val="left"/>
      </w:pPr>
      <w:r>
        <w:t>7.2  Class Imbalance</w:t>
      </w:r>
    </w:p>
    <w:p>
      <w:r>
        <w:rPr>
          <w:sz w:val="22"/>
        </w:rPr>
        <w:t>The 80.5 % / 3.3 % / 16.2 % positive/neutral/negative split is the most persistent challenge. SMOTE improved classical model macro F1 by approximately 0.08 compared to unbalanced training. For DistilBERT, class-weighted loss was essential: without it the model collapsed to always predicting positive, achieving high accuracy but near-zero macro F1. Even with weighting, neutral remains the hardest class — its low frequency and linguistic ambiguity limit the amount of signal available to learn from.</w:t>
      </w:r>
    </w:p>
    <w:p>
      <w:pPr>
        <w:pStyle w:val="Heading2"/>
        <w:jc w:val="left"/>
      </w:pPr>
      <w:r>
        <w:t>7.3  Semantic RAG vs. Keyword Retrieval</w:t>
      </w:r>
    </w:p>
    <w:p>
      <w:r>
        <w:rPr>
          <w:sz w:val="22"/>
        </w:rPr>
        <w:t>The original chatbot implementation used a top-N-by-total-mentions context window and failed to return results for specific product name queries. Replacing this with semantic search over all-MiniLM-L6-v2 embeddings solved the problem: cosine similarity over 9,636 product vectors takes milliseconds on CPU and correctly retrieves any product, whether queried by name, brand, or attribute ('best battery life'). The top-20 retrieval limit keeps the DeepSeek prompt within its effective context window (~8K tokens).</w:t>
      </w:r>
    </w:p>
    <w:p>
      <w:pPr>
        <w:pStyle w:val="Heading2"/>
        <w:jc w:val="left"/>
      </w:pPr>
      <w:r>
        <w:t>7.4  Limitations</w:t>
      </w:r>
    </w:p>
    <w:p>
      <w:pPr>
        <w:pStyle w:val="ListBullet"/>
      </w:pPr>
      <w:r>
        <w:rPr>
          <w:sz w:val="22"/>
        </w:rPr>
        <w:t>DistilBERT is trained on LLM-generated labels, not human annotations. Teacher-model bias affects downstream accuracy.</w:t>
      </w:r>
    </w:p>
    <w:p>
      <w:pPr>
        <w:pStyle w:val="ListBullet"/>
      </w:pPr>
      <w:r>
        <w:rPr>
          <w:sz w:val="22"/>
        </w:rPr>
        <w:t>The 12-aspect taxonomy was defined heuristically. A data-driven approach (e.g. LDA) might surface aspects not captured here.</w:t>
      </w:r>
    </w:p>
    <w:p>
      <w:pPr>
        <w:pStyle w:val="ListBullet"/>
      </w:pPr>
      <w:r>
        <w:rPr>
          <w:sz w:val="22"/>
        </w:rPr>
        <w:t>The chatbot has no memory across turns; each query is independent and has no access to prior answers.</w:t>
      </w:r>
    </w:p>
    <w:p>
      <w:pPr>
        <w:pStyle w:val="ListBullet"/>
      </w:pPr>
      <w:r>
        <w:rPr>
          <w:sz w:val="22"/>
        </w:rPr>
        <w:t>model.safetensors (255 MB) is excluded from the git repository. A reviewer must re-run Step 21 to regenerate it, or download it separately.</w:t>
      </w:r>
    </w:p>
    <w:p>
      <w:pPr>
        <w:pStyle w:val="Heading1"/>
        <w:jc w:val="left"/>
      </w:pPr>
      <w:r>
        <w:t>8. Conclusion</w:t>
      </w:r>
    </w:p>
    <w:p>
      <w:r>
        <w:rPr>
          <w:sz w:val="22"/>
        </w:rPr>
        <w:t>This project demonstrates a complete, end-to-end NLP pipeline from 6.7 million raw reviews to an interactive product intelligence chatbot. The two-stage labelling strategy — LLM as teacher, DistilBERT as student — is a practical solution to the label scarcity and scale challenges inherent in domain-specific ABSA. DistilBERT (accuracy 0.840, macro F1 0.620) substantially outperforms classical TF-IDF baselines, demonstrating the value of contextual representations even when training labels come from an automated source.</w:t>
      </w:r>
    </w:p>
    <w:p>
      <w:r>
        <w:rPr>
          <w:sz w:val="22"/>
        </w:rPr>
        <w:t>The semantic RAG chatbot makes the structured product scoring table accessible to non-technical users through natural language, with retrieval quality maintained by dense vector similarity rather than fragile keyword rules. The project covers a wide range of NLP techniques — n-gram analysis, POS tagging, TF-IDF, SMOTE, back-translation augmentation, LLM zero-shot labelling, transformer fine-tuning, and RAG — each chosen to address a specific problem that emerged from the data and task requirements.</w:t>
      </w:r>
    </w:p>
    <w:p>
      <w:pPr>
        <w:pStyle w:val="Heading1"/>
        <w:jc w:val="left"/>
      </w:pPr>
      <w:r>
        <w:t>9. References</w:t>
      </w:r>
    </w:p>
    <w:p>
      <w:r>
        <w:rPr>
          <w:sz w:val="20"/>
        </w:rPr>
        <w:t>[1]  He, R., &amp; McAuley, J. (2016). Ups and downs: Modeling the visual evolution of fashion trends with one-class collaborative filtering. In Proceedings of WWW.</w:t>
      </w:r>
    </w:p>
    <w:p>
      <w:r>
        <w:rPr>
          <w:sz w:val="20"/>
        </w:rPr>
        <w:t>[2]  Sanh, V., Debut, L., Chaumond, J., &amp; Wolf, T. (2019). DistilBERT, a distilled version of BERT. arXiv:1910.01108.</w:t>
      </w:r>
    </w:p>
    <w:p>
      <w:r>
        <w:rPr>
          <w:sz w:val="20"/>
        </w:rPr>
        <w:t>[3]  Reimers, N., &amp; Gurevych, I. (2019). Sentence-BERT: Sentence embeddings using Siamese BERT-networks. In Proceedings of EMNLP.</w:t>
      </w:r>
    </w:p>
    <w:p>
      <w:r>
        <w:rPr>
          <w:sz w:val="20"/>
        </w:rPr>
        <w:t>[4]  Liu, B. (2012). Sentiment analysis and opinion mining. Synthesis Lectures on Human Language Technologies, 5(1), 1–167.</w:t>
      </w:r>
    </w:p>
    <w:p>
      <w:r>
        <w:rPr>
          <w:sz w:val="20"/>
        </w:rPr>
        <w:t>[5]  Chawla, N. V., Bowyer, K. W., Hall, L. O., &amp; Kegelmeyer, W. P. (2002). SMOTE: Synthetic minority over-sampling technique. JAIR, 16, 321–357.</w:t>
      </w:r>
    </w:p>
    <w:p>
      <w:r>
        <w:rPr>
          <w:sz w:val="20"/>
        </w:rPr>
        <w:t>[6]  DeepSeek-AI. (2025). DeepSeek-R1: Incentivizing reasoning capability in LLMs via reinforcement learning. arXiv:2501.12948.</w:t>
      </w:r>
    </w:p>
    <w:p>
      <w:r>
        <w:rPr>
          <w:sz w:val="20"/>
        </w:rPr>
        <w:t>[7]  Gao, Y., et al. (2023). Retrieval-Augmented Generation for large language models: A survey. arXiv:2312.10997.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