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A2332"/>
          <w:sz w:val="44"/>
          <w:szCs w:val="44"/>
        </w:rPr>
        <w:t xml:space="preserve">DATA ANALYSIS PROJECT REPORT</w:t>
      </w:r>
    </w:p>
    <w:p>
      <w:pPr>
        <w:spacing w:after="400" w:before="200"/>
        <w:jc w:val="center"/>
      </w:pPr>
      <w:r>
        <w:rPr>
          <w:b/>
          <w:bCs/>
          <w:color w:val="FF6B35"/>
          <w:sz w:val="30"/>
          <w:szCs w:val="30"/>
        </w:rPr>
        <w:t xml:space="preserve">Employee Performance Analytics Platform</w:t>
      </w:r>
    </w:p>
    <w:p>
      <w:pPr>
        <w:spacing w:after="100"/>
        <w:jc w:val="center"/>
      </w:pPr>
      <w:r>
        <w:rPr>
          <w:i/>
          <w:iCs/>
          <w:color w:val="6B7280"/>
          <w:sz w:val="22"/>
          <w:szCs w:val="22"/>
        </w:rPr>
        <w:t xml:space="preserve">Data Preparation, Transformation, and Power BI Dashboard Design for Role-Based HR Reporting</w:t>
      </w:r>
    </w:p>
    <w:p>
      <w:pPr>
        <w:spacing w:before="800"/>
      </w:pPr>
    </w:p>
    <w:p>
      <w:pPr>
        <w:spacing w:after="60"/>
        <w:jc w:val="center"/>
      </w:pPr>
      <w:r>
        <w:rPr>
          <w:color w:val="6B7280"/>
          <w:sz w:val="20"/>
          <w:szCs w:val="20"/>
        </w:rPr>
        <w:t xml:space="preserve">Prepared by</w:t>
      </w:r>
    </w:p>
    <w:p>
      <w:pPr>
        <w:spacing w:after="20"/>
        <w:jc w:val="center"/>
      </w:pPr>
      <w:r>
        <w:rPr>
          <w:b/>
          <w:bCs/>
          <w:color w:val="1A2332"/>
          <w:sz w:val="24"/>
          <w:szCs w:val="24"/>
        </w:rPr>
        <w:t xml:space="preserve">Shashikant Giri</w:t>
      </w:r>
    </w:p>
    <w:p>
      <w:pPr>
        <w:spacing w:after="300"/>
        <w:jc w:val="center"/>
      </w:pPr>
      <w:r>
        <w:rPr>
          <w:color w:val="6B7280"/>
          <w:sz w:val="20"/>
          <w:szCs w:val="20"/>
        </w:rPr>
        <w:t xml:space="preserve">Role: Data Analyst (Data Preparation, ETL, and Dashboard Design)</w:t>
      </w:r>
    </w:p>
    <w:p>
      <w:pPr>
        <w:jc w:val="center"/>
      </w:pPr>
      <w:r>
        <w:rPr>
          <w:color w:val="6B7280"/>
          <w:sz w:val="18"/>
          <w:szCs w:val="18"/>
        </w:rPr>
        <w:t xml:space="preserve">Companion document to the Web Developer Project Documentation Report</w:t>
      </w:r>
    </w:p>
    <w:p>
      <w:r>
        <w:br w:type="page"/>
      </w:r>
    </w:p>
    <w:p>
      <w:pPr>
        <w:pStyle w:val="Heading1"/>
        <w:spacing w:after="160" w:before="360"/>
      </w:pPr>
      <w:r>
        <w:rPr>
          <w:b/>
          <w:bCs/>
          <w:color w:val="1A2332"/>
          <w:sz w:val="30"/>
          <w:szCs w:val="30"/>
        </w:rPr>
        <w:t xml:space="preserve">1. Role Overview</w:t>
      </w:r>
    </w:p>
    <w:p>
      <w:pPr>
        <w:spacing w:after="160"/>
      </w:pPr>
      <w:r>
        <w:rPr>
          <w:sz w:val="21"/>
          <w:szCs w:val="21"/>
        </w:rPr>
        <w:t xml:space="preserve">This report documents the data analysis workstream of the Employee Performance Analytics project: the work that happens before a single line of application code runs. Where the companion Web Developer report covers how the data is served to end users, this report covers where that data comes from, how it was cleaned and validated, how it was loaded into a queryable database, and how it was first modelled as decision-ready dashboards in Power BI — dashboards that directly answer the specific questions each of the three organisational roles (Admin/CEO, Manager, Employee) needs answered.</w:t>
      </w:r>
    </w:p>
    <w:p>
      <w:pPr>
        <w:spacing w:after="160"/>
      </w:pPr>
      <w:r>
        <w:rPr>
          <w:sz w:val="21"/>
          <w:szCs w:val="21"/>
        </w:rPr>
        <w:t xml:space="preserve">The three Power BI dashboards captured in this report are the reference design the web application's role-based dashboards were built from — the same three-tier structure (company-wide, department-scoped, individual-scoped) carries through both the analysis and development stages of the project.</w:t>
      </w:r>
    </w:p>
    <w:p>
      <w:pPr>
        <w:pStyle w:val="Heading1"/>
        <w:spacing w:after="160" w:before="360"/>
      </w:pPr>
      <w:r>
        <w:rPr>
          <w:b/>
          <w:bCs/>
          <w:color w:val="1A2332"/>
          <w:sz w:val="30"/>
          <w:szCs w:val="30"/>
        </w:rPr>
        <w:t xml:space="preserve">2. Data Preparation — Excel Cleaning</w:t>
      </w:r>
    </w:p>
    <w:p>
      <w:pPr>
        <w:spacing w:after="160"/>
      </w:pPr>
      <w:r>
        <w:rPr>
          <w:sz w:val="21"/>
          <w:szCs w:val="21"/>
        </w:rPr>
        <w:t xml:space="preserve">Before any dashboard or database table existed, the source HR dataset was cleaned and validated in Excel. This stage exists to catch the class of problem that is expensive to fix once data is already loaded into a database or wired into a dashboard — duplicate records, inconsistent categorical labels, and missing values that would otherwise silently distort every downstream aggregate.</w:t>
      </w:r>
    </w:p>
    <w:p>
      <w:pPr>
        <w:pStyle w:val="ListParagraph"/>
        <w:numPr>
          <w:ilvl w:val="0"/>
          <w:numId w:val="2"/>
        </w:numPr>
        <w:spacing w:after="60"/>
      </w:pPr>
      <w:r>
        <w:rPr>
          <w:sz w:val="21"/>
          <w:szCs w:val="21"/>
        </w:rPr>
        <w:t xml:space="preserve">Removed duplicate employee records to ensure each employee is represented exactly once.</w:t>
      </w:r>
    </w:p>
    <w:p>
      <w:pPr>
        <w:pStyle w:val="ListParagraph"/>
        <w:numPr>
          <w:ilvl w:val="0"/>
          <w:numId w:val="2"/>
        </w:numPr>
        <w:spacing w:after="60"/>
      </w:pPr>
      <w:r>
        <w:rPr>
          <w:sz w:val="21"/>
          <w:szCs w:val="21"/>
        </w:rPr>
        <w:t xml:space="preserve">Standardised categorical fields (e.g. department names, gender labels, rating labels) to a single consistent spelling/casing so they group correctly rather than being split across near-duplicate categories.</w:t>
      </w:r>
    </w:p>
    <w:p>
      <w:pPr>
        <w:pStyle w:val="ListParagraph"/>
        <w:numPr>
          <w:ilvl w:val="0"/>
          <w:numId w:val="2"/>
        </w:numPr>
        <w:spacing w:after="60"/>
      </w:pPr>
      <w:r>
        <w:rPr>
          <w:sz w:val="21"/>
          <w:szCs w:val="21"/>
        </w:rPr>
        <w:t xml:space="preserve">Identified and handled missing values in numeric fields (salary, training hours, performance scores) before they could silently break downstream averages.</w:t>
      </w:r>
    </w:p>
    <w:p>
      <w:pPr>
        <w:pStyle w:val="ListParagraph"/>
        <w:numPr>
          <w:ilvl w:val="0"/>
          <w:numId w:val="2"/>
        </w:numPr>
        <w:spacing w:after="60"/>
      </w:pPr>
      <w:r>
        <w:rPr>
          <w:sz w:val="21"/>
          <w:szCs w:val="21"/>
        </w:rPr>
        <w:t xml:space="preserve">Validated data types — dates as dates, numeric fields as numeric — ahead of loading into PostgreSQL, where type mismatches fail loudly rather than silently.</w:t>
      </w:r>
    </w:p>
    <w:p>
      <w:pPr>
        <w:spacing w:after="160"/>
      </w:pPr>
      <w:r>
        <w:rPr>
          <w:sz w:val="21"/>
          <w:szCs w:val="21"/>
        </w:rPr>
        <w:t xml:space="preserve">This cleaned Excel workbook is the single source of truth that both the Power BI model and the PostgreSQL database were populated from, keeping the two in agreement.</w:t>
      </w:r>
    </w:p>
    <w:p>
      <w:pPr>
        <w:pStyle w:val="Heading1"/>
        <w:spacing w:after="160" w:before="360"/>
      </w:pPr>
      <w:r>
        <w:rPr>
          <w:b/>
          <w:bCs/>
          <w:color w:val="1A2332"/>
          <w:sz w:val="30"/>
          <w:szCs w:val="30"/>
        </w:rPr>
        <w:t xml:space="preserve">3. Data Transformation and Loading — ETL Pipeline</w:t>
      </w:r>
    </w:p>
    <w:p>
      <w:pPr>
        <w:spacing w:after="160"/>
      </w:pPr>
      <w:r>
        <w:rPr>
          <w:sz w:val="21"/>
          <w:szCs w:val="21"/>
        </w:rPr>
        <w:t xml:space="preserve">Cleaned data was loaded into a hosted PostgreSQL instance (Supabase) using a Python ETL script built on pandas for transformation and SQLAlchemy for the database write step. This is the same database the web application later reads from, making the ETL step the actual boundary between “analysis artifact” and “production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50"/>
      </w:tblGrid>
      <w:tr>
        <w:trPr>
          <w:tblHeader/>
        </w:trPr>
        <w:tc>
          <w:tcPr>
            <w:tcW w:type="dxa" w:w="1800"/>
            <w:shd w:fill="1A2332" w:val="clear"/>
            <w:tcMar>
              <w:top w:type="dxa" w:w="80"/>
              <w:left w:type="dxa" w:w="100"/>
              <w:bottom w:type="dxa" w:w="80"/>
              <w:right w:type="dxa" w:w="100"/>
            </w:tcMar>
          </w:tcPr>
          <w:p>
            <w:r>
              <w:rPr>
                <w:b/>
                <w:bCs/>
                <w:color w:val="FFFFFF"/>
                <w:sz w:val="19"/>
                <w:szCs w:val="19"/>
              </w:rPr>
              <w:t xml:space="preserve">Stage</w:t>
            </w:r>
          </w:p>
        </w:tc>
        <w:tc>
          <w:tcPr>
            <w:tcW w:type="dxa" w:w="2900"/>
            <w:shd w:fill="1A2332" w:val="clear"/>
            <w:tcMar>
              <w:top w:type="dxa" w:w="80"/>
              <w:left w:type="dxa" w:w="100"/>
              <w:bottom w:type="dxa" w:w="80"/>
              <w:right w:type="dxa" w:w="100"/>
            </w:tcMar>
          </w:tcPr>
          <w:p>
            <w:r>
              <w:rPr>
                <w:b/>
                <w:bCs/>
                <w:color w:val="FFFFFF"/>
                <w:sz w:val="19"/>
                <w:szCs w:val="19"/>
              </w:rPr>
              <w:t xml:space="preserve">Tool</w:t>
            </w:r>
          </w:p>
        </w:tc>
        <w:tc>
          <w:tcPr>
            <w:tcW w:type="dxa" w:w="4650"/>
            <w:shd w:fill="1A2332" w:val="clear"/>
            <w:tcMar>
              <w:top w:type="dxa" w:w="80"/>
              <w:left w:type="dxa" w:w="100"/>
              <w:bottom w:type="dxa" w:w="80"/>
              <w:right w:type="dxa" w:w="100"/>
            </w:tcMar>
          </w:tcPr>
          <w:p>
            <w:r>
              <w:rPr>
                <w:b/>
                <w:bCs/>
                <w:color w:val="FFFFFF"/>
                <w:sz w:val="19"/>
                <w:szCs w:val="19"/>
              </w:rPr>
              <w:t xml:space="preserve">Purpose</w:t>
            </w:r>
          </w:p>
        </w:tc>
      </w:tr>
      <w:tr>
        <w:tc>
          <w:tcPr>
            <w:tcW w:type="dxa" w:w="1800"/>
            <w:tcMar>
              <w:top w:type="dxa" w:w="80"/>
              <w:left w:type="dxa" w:w="100"/>
              <w:bottom w:type="dxa" w:w="80"/>
              <w:right w:type="dxa" w:w="100"/>
            </w:tcMar>
          </w:tcPr>
          <w:p>
            <w:r>
              <w:rPr>
                <w:b w:val="false"/>
                <w:bCs w:val="false"/>
                <w:color w:val="1A2332"/>
                <w:sz w:val="19"/>
                <w:szCs w:val="19"/>
              </w:rPr>
              <w:t xml:space="preserve">Extract</w:t>
            </w:r>
          </w:p>
        </w:tc>
        <w:tc>
          <w:tcPr>
            <w:tcW w:type="dxa" w:w="2900"/>
            <w:tcMar>
              <w:top w:type="dxa" w:w="80"/>
              <w:left w:type="dxa" w:w="100"/>
              <w:bottom w:type="dxa" w:w="80"/>
              <w:right w:type="dxa" w:w="100"/>
            </w:tcMar>
          </w:tcPr>
          <w:p>
            <w:r>
              <w:rPr>
                <w:b w:val="false"/>
                <w:bCs w:val="false"/>
                <w:color w:val="1A2332"/>
                <w:sz w:val="19"/>
                <w:szCs w:val="19"/>
              </w:rPr>
              <w:t xml:space="preserve">pandas.read_excel()</w:t>
            </w:r>
          </w:p>
        </w:tc>
        <w:tc>
          <w:tcPr>
            <w:tcW w:type="dxa" w:w="4650"/>
            <w:tcMar>
              <w:top w:type="dxa" w:w="80"/>
              <w:left w:type="dxa" w:w="100"/>
              <w:bottom w:type="dxa" w:w="80"/>
              <w:right w:type="dxa" w:w="100"/>
            </w:tcMar>
          </w:tcPr>
          <w:p>
            <w:r>
              <w:rPr>
                <w:b w:val="false"/>
                <w:bCs w:val="false"/>
                <w:color w:val="1A2332"/>
                <w:sz w:val="19"/>
                <w:szCs w:val="19"/>
              </w:rPr>
              <w:t xml:space="preserve">Load the cleaned workbook into a DataFrame</w:t>
            </w:r>
          </w:p>
        </w:tc>
      </w:tr>
      <w:tr>
        <w:tc>
          <w:tcPr>
            <w:tcW w:type="dxa" w:w="1800"/>
            <w:shd w:fill="F5F7FA" w:val="clear"/>
            <w:tcMar>
              <w:top w:type="dxa" w:w="80"/>
              <w:left w:type="dxa" w:w="100"/>
              <w:bottom w:type="dxa" w:w="80"/>
              <w:right w:type="dxa" w:w="100"/>
            </w:tcMar>
          </w:tcPr>
          <w:p>
            <w:r>
              <w:rPr>
                <w:b w:val="false"/>
                <w:bCs w:val="false"/>
                <w:color w:val="1A2332"/>
                <w:sz w:val="19"/>
                <w:szCs w:val="19"/>
              </w:rPr>
              <w:t xml:space="preserve">Transform</w:t>
            </w:r>
          </w:p>
        </w:tc>
        <w:tc>
          <w:tcPr>
            <w:tcW w:type="dxa" w:w="2900"/>
            <w:shd w:fill="F5F7FA" w:val="clear"/>
            <w:tcMar>
              <w:top w:type="dxa" w:w="80"/>
              <w:left w:type="dxa" w:w="100"/>
              <w:bottom w:type="dxa" w:w="80"/>
              <w:right w:type="dxa" w:w="100"/>
            </w:tcMar>
          </w:tcPr>
          <w:p>
            <w:r>
              <w:rPr>
                <w:b w:val="false"/>
                <w:bCs w:val="false"/>
                <w:color w:val="1A2332"/>
                <w:sz w:val="19"/>
                <w:szCs w:val="19"/>
              </w:rPr>
              <w:t xml:space="preserve">pandas</w:t>
            </w:r>
          </w:p>
        </w:tc>
        <w:tc>
          <w:tcPr>
            <w:tcW w:type="dxa" w:w="4650"/>
            <w:shd w:fill="F5F7FA" w:val="clear"/>
            <w:tcMar>
              <w:top w:type="dxa" w:w="80"/>
              <w:left w:type="dxa" w:w="100"/>
              <w:bottom w:type="dxa" w:w="80"/>
              <w:right w:type="dxa" w:w="100"/>
            </w:tcMar>
          </w:tcPr>
          <w:p>
            <w:r>
              <w:rPr>
                <w:b w:val="false"/>
                <w:bCs w:val="false"/>
                <w:color w:val="1A2332"/>
                <w:sz w:val="19"/>
                <w:szCs w:val="19"/>
              </w:rPr>
              <w:t xml:space="preserve">Reshape wide Excel columns into normalised tables (employees, employee_metrics, lookup tables) matching the target schema</w:t>
            </w:r>
          </w:p>
        </w:tc>
      </w:tr>
      <w:tr>
        <w:tc>
          <w:tcPr>
            <w:tcW w:type="dxa" w:w="1800"/>
            <w:tcMar>
              <w:top w:type="dxa" w:w="80"/>
              <w:left w:type="dxa" w:w="100"/>
              <w:bottom w:type="dxa" w:w="80"/>
              <w:right w:type="dxa" w:w="100"/>
            </w:tcMar>
          </w:tcPr>
          <w:p>
            <w:r>
              <w:rPr>
                <w:b w:val="false"/>
                <w:bCs w:val="false"/>
                <w:color w:val="1A2332"/>
                <w:sz w:val="19"/>
                <w:szCs w:val="19"/>
              </w:rPr>
              <w:t xml:space="preserve">Load</w:t>
            </w:r>
          </w:p>
        </w:tc>
        <w:tc>
          <w:tcPr>
            <w:tcW w:type="dxa" w:w="2900"/>
            <w:tcMar>
              <w:top w:type="dxa" w:w="80"/>
              <w:left w:type="dxa" w:w="100"/>
              <w:bottom w:type="dxa" w:w="80"/>
              <w:right w:type="dxa" w:w="100"/>
            </w:tcMar>
          </w:tcPr>
          <w:p>
            <w:r>
              <w:rPr>
                <w:b w:val="false"/>
                <w:bCs w:val="false"/>
                <w:color w:val="1A2332"/>
                <w:sz w:val="19"/>
                <w:szCs w:val="19"/>
              </w:rPr>
              <w:t xml:space="preserve">SQLAlchemy → PostgreSQL (Supabase)</w:t>
            </w:r>
          </w:p>
        </w:tc>
        <w:tc>
          <w:tcPr>
            <w:tcW w:type="dxa" w:w="4650"/>
            <w:tcMar>
              <w:top w:type="dxa" w:w="80"/>
              <w:left w:type="dxa" w:w="100"/>
              <w:bottom w:type="dxa" w:w="80"/>
              <w:right w:type="dxa" w:w="100"/>
            </w:tcMar>
          </w:tcPr>
          <w:p>
            <w:r>
              <w:rPr>
                <w:b w:val="false"/>
                <w:bCs w:val="false"/>
                <w:color w:val="1A2332"/>
                <w:sz w:val="19"/>
                <w:szCs w:val="19"/>
              </w:rPr>
              <w:t xml:space="preserve">Write each normalised table into its own PostgreSQL table, preserving foreign-key relationships</w:t>
            </w:r>
          </w:p>
        </w:tc>
      </w:tr>
    </w:tbl>
    <w:p>
      <w:pPr>
        <w:spacing w:after="160"/>
      </w:pPr>
      <w:r>
        <w:rPr>
          <w:sz w:val="21"/>
          <w:szCs w:val="21"/>
        </w:rPr>
        <w:t xml:space="preserve"/>
      </w:r>
    </w:p>
    <w:p>
      <w:pPr>
        <w:spacing w:after="160"/>
      </w:pPr>
      <w:r>
        <w:rPr>
          <w:sz w:val="21"/>
          <w:szCs w:val="21"/>
        </w:rPr>
        <w:t xml:space="preserve">Normalising into separate lookup tables (departments, roles, performance_ratings, satisfaction_ratings, salary_levels, education_levels, remote_work_types) rather than one flat spreadsheet-shaped table was a deliberate modelling decision: it keeps category labels consistent across the whole dataset and matches how a relational database — and later, the web application's SQL aggregation queries — expects the data to be shaped.</w:t>
      </w:r>
    </w:p>
    <w:p>
      <w:pPr>
        <w:pStyle w:val="Heading1"/>
        <w:spacing w:after="160" w:before="360"/>
      </w:pPr>
      <w:r>
        <w:rPr>
          <w:b/>
          <w:bCs/>
          <w:color w:val="1A2332"/>
          <w:sz w:val="30"/>
          <w:szCs w:val="30"/>
        </w:rPr>
        <w:t xml:space="preserve">4. Dashboard Design Methodology</w:t>
      </w:r>
    </w:p>
    <w:p>
      <w:pPr>
        <w:spacing w:after="160"/>
      </w:pPr>
      <w:r>
        <w:rPr>
          <w:sz w:val="21"/>
          <w:szCs w:val="21"/>
        </w:rPr>
        <w:t xml:space="preserve">Three Power BI report pages were built against the PostgreSQL data source, one per organisational role, using DAX measures for the calculated KPIs (averages, rates, percentages) and report-level filters/slicers to scope each page to what that role is authorised to see. All three share one navigation bar (Admin / Manage / Employee) at the top of every page, matching the role-based navigation later carried into the web application's sidebar.</w:t>
      </w:r>
    </w:p>
    <w:p>
      <w:pPr>
        <w:pStyle w:val="ListParagraph"/>
        <w:numPr>
          <w:ilvl w:val="0"/>
          <w:numId w:val="2"/>
        </w:numPr>
        <w:spacing w:after="60"/>
      </w:pPr>
      <w:r>
        <w:rPr>
          <w:sz w:val="21"/>
          <w:szCs w:val="21"/>
        </w:rPr>
        <w:t xml:space="preserve">Admin dashboard: no filter applied — company-wide aggregates across every department.</w:t>
      </w:r>
    </w:p>
    <w:p>
      <w:pPr>
        <w:pStyle w:val="ListParagraph"/>
        <w:numPr>
          <w:ilvl w:val="0"/>
          <w:numId w:val="2"/>
        </w:numPr>
        <w:spacing w:after="60"/>
      </w:pPr>
      <w:r>
        <w:rPr>
          <w:sz w:val="21"/>
          <w:szCs w:val="21"/>
        </w:rPr>
        <w:t xml:space="preserve">Manage dashboard: a Department slicer scopes every visual on the page to one department at a time.</w:t>
      </w:r>
    </w:p>
    <w:p>
      <w:pPr>
        <w:pStyle w:val="ListParagraph"/>
        <w:numPr>
          <w:ilvl w:val="0"/>
          <w:numId w:val="2"/>
        </w:numPr>
        <w:spacing w:after="60"/>
      </w:pPr>
      <w:r>
        <w:rPr>
          <w:sz w:val="21"/>
          <w:szCs w:val="21"/>
        </w:rPr>
        <w:t xml:space="preserve">Employee dashboard: an Employee ID slicer scopes every visual to a single employee's record.</w:t>
      </w:r>
    </w:p>
    <w:p>
      <w:pPr>
        <w:pStyle w:val="Heading1"/>
        <w:spacing w:after="160" w:before="360"/>
      </w:pPr>
      <w:r>
        <w:rPr>
          <w:b/>
          <w:bCs/>
          <w:color w:val="1A2332"/>
          <w:sz w:val="30"/>
          <w:szCs w:val="30"/>
        </w:rPr>
        <w:t xml:space="preserve">5. Admin (CEO) Dashboard — Questions Answered</w:t>
      </w:r>
    </w:p>
    <w:p>
      <w:pPr>
        <w:spacing w:after="160"/>
      </w:pPr>
      <w:r>
        <w:rPr>
          <w:sz w:val="21"/>
          <w:szCs w:val="21"/>
        </w:rPr>
        <w:t xml:space="preserve">The Admin dashboard answers company-wide strategic questions — “how is the whole organisation doing,” not any one department or person.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5900"/>
      </w:tblGrid>
      <w:tr>
        <w:trPr>
          <w:tblHeader/>
        </w:trPr>
        <w:tc>
          <w:tcPr>
            <w:tcW w:type="dxa" w:w="3450"/>
            <w:shd w:fill="1A2332" w:val="clear"/>
            <w:tcMar>
              <w:top w:type="dxa" w:w="80"/>
              <w:left w:type="dxa" w:w="100"/>
              <w:bottom w:type="dxa" w:w="80"/>
              <w:right w:type="dxa" w:w="100"/>
            </w:tcMar>
          </w:tcPr>
          <w:p>
            <w:r>
              <w:rPr>
                <w:b/>
                <w:bCs/>
                <w:color w:val="FFFFFF"/>
                <w:sz w:val="19"/>
                <w:szCs w:val="19"/>
              </w:rPr>
              <w:t xml:space="preserve">Visual</w:t>
            </w:r>
          </w:p>
        </w:tc>
        <w:tc>
          <w:tcPr>
            <w:tcW w:type="dxa" w:w="5900"/>
            <w:shd w:fill="1A2332" w:val="clear"/>
            <w:tcMar>
              <w:top w:type="dxa" w:w="80"/>
              <w:left w:type="dxa" w:w="100"/>
              <w:bottom w:type="dxa" w:w="80"/>
              <w:right w:type="dxa" w:w="100"/>
            </w:tcMar>
          </w:tcPr>
          <w:p>
            <w:r>
              <w:rPr>
                <w:b/>
                <w:bCs/>
                <w:color w:val="FFFFFF"/>
                <w:sz w:val="19"/>
                <w:szCs w:val="19"/>
              </w:rPr>
              <w:t xml:space="preserve">Business question it answers</w:t>
            </w:r>
          </w:p>
        </w:tc>
      </w:tr>
      <w:tr>
        <w:tc>
          <w:tcPr>
            <w:tcW w:type="dxa" w:w="3450"/>
            <w:tcMar>
              <w:top w:type="dxa" w:w="80"/>
              <w:left w:type="dxa" w:w="100"/>
              <w:bottom w:type="dxa" w:w="80"/>
              <w:right w:type="dxa" w:w="100"/>
            </w:tcMar>
          </w:tcPr>
          <w:p>
            <w:r>
              <w:rPr>
                <w:b w:val="false"/>
                <w:bCs w:val="false"/>
                <w:color w:val="1A2332"/>
                <w:sz w:val="19"/>
                <w:szCs w:val="19"/>
              </w:rPr>
              <w:t xml:space="preserve">KPI cards (Total Employees, Avg Performance Score, Avg Satisfaction Score, Avg Monthly Salary)</w:t>
            </w:r>
          </w:p>
        </w:tc>
        <w:tc>
          <w:tcPr>
            <w:tcW w:type="dxa" w:w="5900"/>
            <w:tcMar>
              <w:top w:type="dxa" w:w="80"/>
              <w:left w:type="dxa" w:w="100"/>
              <w:bottom w:type="dxa" w:w="80"/>
              <w:right w:type="dxa" w:w="100"/>
            </w:tcMar>
          </w:tcPr>
          <w:p>
            <w:r>
              <w:rPr>
                <w:b w:val="false"/>
                <w:bCs w:val="false"/>
                <w:color w:val="1A2332"/>
                <w:sz w:val="19"/>
                <w:szCs w:val="19"/>
              </w:rPr>
              <w:t xml:space="preserve">At a glance, what is the overall headcount and health of the workforce right now?</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Performance vs Satisfaction (dual-line, by department)</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Do performance and satisfaction move together across departments, or do some departments show high performance but low satisfaction (a retention risk)?</w:t>
            </w:r>
          </w:p>
        </w:tc>
      </w:tr>
      <w:tr>
        <w:tc>
          <w:tcPr>
            <w:tcW w:type="dxa" w:w="3450"/>
            <w:tcMar>
              <w:top w:type="dxa" w:w="80"/>
              <w:left w:type="dxa" w:w="100"/>
              <w:bottom w:type="dxa" w:w="80"/>
              <w:right w:type="dxa" w:w="100"/>
            </w:tcMar>
          </w:tcPr>
          <w:p>
            <w:r>
              <w:rPr>
                <w:b w:val="false"/>
                <w:bCs w:val="false"/>
                <w:color w:val="1A2332"/>
                <w:sz w:val="19"/>
                <w:szCs w:val="19"/>
              </w:rPr>
              <w:t xml:space="preserve">Salary vs Performance (scatter, by department)</w:t>
            </w:r>
          </w:p>
        </w:tc>
        <w:tc>
          <w:tcPr>
            <w:tcW w:type="dxa" w:w="5900"/>
            <w:tcMar>
              <w:top w:type="dxa" w:w="80"/>
              <w:left w:type="dxa" w:w="100"/>
              <w:bottom w:type="dxa" w:w="80"/>
              <w:right w:type="dxa" w:w="100"/>
            </w:tcMar>
          </w:tcPr>
          <w:p>
            <w:r>
              <w:rPr>
                <w:b w:val="false"/>
                <w:bCs w:val="false"/>
                <w:color w:val="1A2332"/>
                <w:sz w:val="19"/>
                <w:szCs w:val="19"/>
              </w:rPr>
              <w:t xml:space="preserve">Is higher pay actually associated with higher performance, or are departments paying without a performance correlation?</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Training Hours vs Performance (bar + line, by department/gender)</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Are departments that invest more training hours seeing a performance return on that investment?</w:t>
            </w:r>
          </w:p>
        </w:tc>
      </w:tr>
      <w:tr>
        <w:tc>
          <w:tcPr>
            <w:tcW w:type="dxa" w:w="3450"/>
            <w:tcMar>
              <w:top w:type="dxa" w:w="80"/>
              <w:left w:type="dxa" w:w="100"/>
              <w:bottom w:type="dxa" w:w="80"/>
              <w:right w:type="dxa" w:w="100"/>
            </w:tcMar>
          </w:tcPr>
          <w:p>
            <w:r>
              <w:rPr>
                <w:b w:val="false"/>
                <w:bCs w:val="false"/>
                <w:color w:val="1A2332"/>
                <w:sz w:val="19"/>
                <w:szCs w:val="19"/>
              </w:rPr>
              <w:t xml:space="preserve">No of Employee vs Rating (donut)</w:t>
            </w:r>
          </w:p>
        </w:tc>
        <w:tc>
          <w:tcPr>
            <w:tcW w:type="dxa" w:w="5900"/>
            <w:tcMar>
              <w:top w:type="dxa" w:w="80"/>
              <w:left w:type="dxa" w:w="100"/>
              <w:bottom w:type="dxa" w:w="80"/>
              <w:right w:type="dxa" w:w="100"/>
            </w:tcMar>
          </w:tcPr>
          <w:p>
            <w:r>
              <w:rPr>
                <w:b w:val="false"/>
                <w:bCs w:val="false"/>
                <w:color w:val="1A2332"/>
                <w:sz w:val="19"/>
                <w:szCs w:val="19"/>
              </w:rPr>
              <w:t xml:space="preserve">What share of the entire workforce falls into each performance rating band — how many are Excellent vs. Needs Improvement?</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Salary by Gender (stacked bar, by department)</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Is there a visible pay-equity gap by gender within any department?</w:t>
            </w:r>
          </w:p>
        </w:tc>
      </w:tr>
      <w:tr>
        <w:tc>
          <w:tcPr>
            <w:tcW w:type="dxa" w:w="3450"/>
            <w:tcMar>
              <w:top w:type="dxa" w:w="80"/>
              <w:left w:type="dxa" w:w="100"/>
              <w:bottom w:type="dxa" w:w="80"/>
              <w:right w:type="dxa" w:w="100"/>
            </w:tcMar>
          </w:tcPr>
          <w:p>
            <w:r>
              <w:rPr>
                <w:b w:val="false"/>
                <w:bCs w:val="false"/>
                <w:color w:val="1A2332"/>
                <w:sz w:val="19"/>
                <w:szCs w:val="19"/>
              </w:rPr>
              <w:t xml:space="preserve">No of Employee by Category (donut: High/Moderate/Low/Extreme)</w:t>
            </w:r>
          </w:p>
        </w:tc>
        <w:tc>
          <w:tcPr>
            <w:tcW w:type="dxa" w:w="5900"/>
            <w:tcMar>
              <w:top w:type="dxa" w:w="80"/>
              <w:left w:type="dxa" w:w="100"/>
              <w:bottom w:type="dxa" w:w="80"/>
              <w:right w:type="dxa" w:w="100"/>
            </w:tcMar>
          </w:tcPr>
          <w:p>
            <w:r>
              <w:rPr>
                <w:b w:val="false"/>
                <w:bCs w:val="false"/>
                <w:color w:val="1A2332"/>
                <w:sz w:val="19"/>
                <w:szCs w:val="19"/>
              </w:rPr>
              <w:t xml:space="preserve">How is workload intensity distributed across the whole company?</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No of Employee by Department vs Employee Status (tree map)</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Which departments are largest, and what portion of each is Active vs. another status?</w:t>
            </w:r>
          </w:p>
        </w:tc>
      </w:tr>
      <w:tr>
        <w:tc>
          <w:tcPr>
            <w:tcW w:type="dxa" w:w="3450"/>
            <w:tcMar>
              <w:top w:type="dxa" w:w="80"/>
              <w:left w:type="dxa" w:w="100"/>
              <w:bottom w:type="dxa" w:w="80"/>
              <w:right w:type="dxa" w:w="100"/>
            </w:tcMar>
          </w:tcPr>
          <w:p>
            <w:r>
              <w:rPr>
                <w:b w:val="false"/>
                <w:bCs w:val="false"/>
                <w:color w:val="1A2332"/>
                <w:sz w:val="19"/>
                <w:szCs w:val="19"/>
              </w:rPr>
              <w:t xml:space="preserve">Promotion vs Resigned (bar + line, by department/gender)</w:t>
            </w:r>
          </w:p>
        </w:tc>
        <w:tc>
          <w:tcPr>
            <w:tcW w:type="dxa" w:w="5900"/>
            <w:tcMar>
              <w:top w:type="dxa" w:w="80"/>
              <w:left w:type="dxa" w:w="100"/>
              <w:bottom w:type="dxa" w:w="80"/>
              <w:right w:type="dxa" w:w="100"/>
            </w:tcMar>
          </w:tcPr>
          <w:p>
            <w:r>
              <w:rPr>
                <w:b w:val="false"/>
                <w:bCs w:val="false"/>
                <w:color w:val="1A2332"/>
                <w:sz w:val="19"/>
                <w:szCs w:val="19"/>
              </w:rPr>
              <w:t xml:space="preserve">Which departments are promoting people fastest, and does that correlate with fewer resignations?</w:t>
            </w:r>
          </w:p>
        </w:tc>
      </w:tr>
    </w:tbl>
    <w:p>
      <w:pPr>
        <w:pStyle w:val="Heading1"/>
        <w:spacing w:after="160" w:before="360"/>
      </w:pPr>
      <w:r>
        <w:rPr>
          <w:b/>
          <w:bCs/>
          <w:color w:val="1A2332"/>
          <w:sz w:val="30"/>
          <w:szCs w:val="30"/>
        </w:rPr>
        <w:t xml:space="preserve">6. Manage (Manager) Dashboard — Questions Answered</w:t>
      </w:r>
    </w:p>
    <w:p>
      <w:pPr>
        <w:spacing w:after="160"/>
      </w:pPr>
      <w:r>
        <w:rPr>
          <w:sz w:val="21"/>
          <w:szCs w:val="21"/>
        </w:rPr>
        <w:t xml:space="preserve">The Manage dashboard answers the same category of question as the Admin dashboard, but scoped to one department at a time via the Department slicer — the questions a department head actually needs answered about their own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5900"/>
      </w:tblGrid>
      <w:tr>
        <w:trPr>
          <w:tblHeader/>
        </w:trPr>
        <w:tc>
          <w:tcPr>
            <w:tcW w:type="dxa" w:w="3450"/>
            <w:shd w:fill="1A2332" w:val="clear"/>
            <w:tcMar>
              <w:top w:type="dxa" w:w="80"/>
              <w:left w:type="dxa" w:w="100"/>
              <w:bottom w:type="dxa" w:w="80"/>
              <w:right w:type="dxa" w:w="100"/>
            </w:tcMar>
          </w:tcPr>
          <w:p>
            <w:r>
              <w:rPr>
                <w:b/>
                <w:bCs/>
                <w:color w:val="FFFFFF"/>
                <w:sz w:val="19"/>
                <w:szCs w:val="19"/>
              </w:rPr>
              <w:t xml:space="preserve">Visual</w:t>
            </w:r>
          </w:p>
        </w:tc>
        <w:tc>
          <w:tcPr>
            <w:tcW w:type="dxa" w:w="5900"/>
            <w:shd w:fill="1A2332" w:val="clear"/>
            <w:tcMar>
              <w:top w:type="dxa" w:w="80"/>
              <w:left w:type="dxa" w:w="100"/>
              <w:bottom w:type="dxa" w:w="80"/>
              <w:right w:type="dxa" w:w="100"/>
            </w:tcMar>
          </w:tcPr>
          <w:p>
            <w:r>
              <w:rPr>
                <w:b/>
                <w:bCs/>
                <w:color w:val="FFFFFF"/>
                <w:sz w:val="19"/>
                <w:szCs w:val="19"/>
              </w:rPr>
              <w:t xml:space="preserve">Business question it answers</w:t>
            </w:r>
          </w:p>
        </w:tc>
      </w:tr>
      <w:tr>
        <w:tc>
          <w:tcPr>
            <w:tcW w:type="dxa" w:w="3450"/>
            <w:tcMar>
              <w:top w:type="dxa" w:w="80"/>
              <w:left w:type="dxa" w:w="100"/>
              <w:bottom w:type="dxa" w:w="80"/>
              <w:right w:type="dxa" w:w="100"/>
            </w:tcMar>
          </w:tcPr>
          <w:p>
            <w:r>
              <w:rPr>
                <w:b w:val="false"/>
                <w:bCs w:val="false"/>
                <w:color w:val="1A2332"/>
                <w:sz w:val="19"/>
                <w:szCs w:val="19"/>
              </w:rPr>
              <w:t xml:space="preserve">KPI cards (Total Employees, Avg Salary, Total Projects, Performance Rate, Total Promotions)</w:t>
            </w:r>
          </w:p>
        </w:tc>
        <w:tc>
          <w:tcPr>
            <w:tcW w:type="dxa" w:w="5900"/>
            <w:tcMar>
              <w:top w:type="dxa" w:w="80"/>
              <w:left w:type="dxa" w:w="100"/>
              <w:bottom w:type="dxa" w:w="80"/>
              <w:right w:type="dxa" w:w="100"/>
            </w:tcMar>
          </w:tcPr>
          <w:p>
            <w:r>
              <w:rPr>
                <w:b w:val="false"/>
                <w:bCs w:val="false"/>
                <w:color w:val="1A2332"/>
                <w:sz w:val="19"/>
                <w:szCs w:val="19"/>
              </w:rPr>
              <w:t xml:space="preserve">How is my department performing, right now, in the metrics I'm accountable for?</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Performance Rating of Employee (bar)</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How many of my people fall into each performance band?</w:t>
            </w:r>
          </w:p>
        </w:tc>
      </w:tr>
      <w:tr>
        <w:tc>
          <w:tcPr>
            <w:tcW w:type="dxa" w:w="3450"/>
            <w:tcMar>
              <w:top w:type="dxa" w:w="80"/>
              <w:left w:type="dxa" w:w="100"/>
              <w:bottom w:type="dxa" w:w="80"/>
              <w:right w:type="dxa" w:w="100"/>
            </w:tcMar>
          </w:tcPr>
          <w:p>
            <w:r>
              <w:rPr>
                <w:b w:val="false"/>
                <w:bCs w:val="false"/>
                <w:color w:val="1A2332"/>
                <w:sz w:val="19"/>
                <w:szCs w:val="19"/>
              </w:rPr>
              <w:t xml:space="preserve">Satisfaction Rating of Employee (donut)</w:t>
            </w:r>
          </w:p>
        </w:tc>
        <w:tc>
          <w:tcPr>
            <w:tcW w:type="dxa" w:w="5900"/>
            <w:tcMar>
              <w:top w:type="dxa" w:w="80"/>
              <w:left w:type="dxa" w:w="100"/>
              <w:bottom w:type="dxa" w:w="80"/>
              <w:right w:type="dxa" w:w="100"/>
            </w:tcMar>
          </w:tcPr>
          <w:p>
            <w:r>
              <w:rPr>
                <w:b w:val="false"/>
                <w:bCs w:val="false"/>
                <w:color w:val="1A2332"/>
                <w:sz w:val="19"/>
                <w:szCs w:val="19"/>
              </w:rPr>
              <w:t xml:space="preserve">How satisfied is my team, and is dissatisfaction concentrated or spread out?</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Workload vs Overtime (grouped bar)</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Is my team's overtime concentrated among the employees with the heaviest workload — a burnout risk signal?</w:t>
            </w:r>
          </w:p>
        </w:tc>
      </w:tr>
      <w:tr>
        <w:tc>
          <w:tcPr>
            <w:tcW w:type="dxa" w:w="3450"/>
            <w:tcMar>
              <w:top w:type="dxa" w:w="80"/>
              <w:left w:type="dxa" w:w="100"/>
              <w:bottom w:type="dxa" w:w="80"/>
              <w:right w:type="dxa" w:w="100"/>
            </w:tcMar>
          </w:tcPr>
          <w:p>
            <w:r>
              <w:rPr>
                <w:b w:val="false"/>
                <w:bCs w:val="false"/>
                <w:color w:val="1A2332"/>
                <w:sz w:val="19"/>
                <w:szCs w:val="19"/>
              </w:rPr>
              <w:t xml:space="preserve">Work Life Balance (donut)</w:t>
            </w:r>
          </w:p>
        </w:tc>
        <w:tc>
          <w:tcPr>
            <w:tcW w:type="dxa" w:w="5900"/>
            <w:tcMar>
              <w:top w:type="dxa" w:w="80"/>
              <w:left w:type="dxa" w:w="100"/>
              <w:bottom w:type="dxa" w:w="80"/>
              <w:right w:type="dxa" w:w="100"/>
            </w:tcMar>
          </w:tcPr>
          <w:p>
            <w:r>
              <w:rPr>
                <w:b w:val="false"/>
                <w:bCs w:val="false"/>
                <w:color w:val="1A2332"/>
                <w:sz w:val="19"/>
                <w:szCs w:val="19"/>
              </w:rPr>
              <w:t xml:space="preserve">How does my department rate its own work-life balance?</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Years to Retirement (area/line)</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How many of my employees are approaching retirement, and do I need a succession plan?</w:t>
            </w:r>
          </w:p>
        </w:tc>
      </w:tr>
      <w:tr>
        <w:tc>
          <w:tcPr>
            <w:tcW w:type="dxa" w:w="3450"/>
            <w:tcMar>
              <w:top w:type="dxa" w:w="80"/>
              <w:left w:type="dxa" w:w="100"/>
              <w:bottom w:type="dxa" w:w="80"/>
              <w:right w:type="dxa" w:w="100"/>
            </w:tcMar>
          </w:tcPr>
          <w:p>
            <w:r>
              <w:rPr>
                <w:b w:val="false"/>
                <w:bCs w:val="false"/>
                <w:color w:val="1A2332"/>
                <w:sz w:val="19"/>
                <w:szCs w:val="19"/>
              </w:rPr>
              <w:t xml:space="preserve">Attendance Rating (donut)</w:t>
            </w:r>
          </w:p>
        </w:tc>
        <w:tc>
          <w:tcPr>
            <w:tcW w:type="dxa" w:w="5900"/>
            <w:tcMar>
              <w:top w:type="dxa" w:w="80"/>
              <w:left w:type="dxa" w:w="100"/>
              <w:bottom w:type="dxa" w:w="80"/>
              <w:right w:type="dxa" w:w="100"/>
            </w:tcMar>
          </w:tcPr>
          <w:p>
            <w:r>
              <w:rPr>
                <w:b w:val="false"/>
                <w:bCs w:val="false"/>
                <w:color w:val="1A2332"/>
                <w:sz w:val="19"/>
                <w:szCs w:val="19"/>
              </w:rPr>
              <w:t xml:space="preserve">Is attendance a problem area for this department specifically?</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Retirement Status (bar)</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How many people are near vs. not near retirement, in absolute numbers?</w:t>
            </w:r>
          </w:p>
        </w:tc>
      </w:tr>
      <w:tr>
        <w:tc>
          <w:tcPr>
            <w:tcW w:type="dxa" w:w="3450"/>
            <w:tcMar>
              <w:top w:type="dxa" w:w="80"/>
              <w:left w:type="dxa" w:w="100"/>
              <w:bottom w:type="dxa" w:w="80"/>
              <w:right w:type="dxa" w:w="100"/>
            </w:tcMar>
          </w:tcPr>
          <w:p>
            <w:r>
              <w:rPr>
                <w:b w:val="false"/>
                <w:bCs w:val="false"/>
                <w:color w:val="1A2332"/>
                <w:sz w:val="19"/>
                <w:szCs w:val="19"/>
              </w:rPr>
              <w:t xml:space="preserve">Promotion Status (bar)</w:t>
            </w:r>
          </w:p>
        </w:tc>
        <w:tc>
          <w:tcPr>
            <w:tcW w:type="dxa" w:w="5900"/>
            <w:tcMar>
              <w:top w:type="dxa" w:w="80"/>
              <w:left w:type="dxa" w:w="100"/>
              <w:bottom w:type="dxa" w:w="80"/>
              <w:right w:type="dxa" w:w="100"/>
            </w:tcMar>
          </w:tcPr>
          <w:p>
            <w:r>
              <w:rPr>
                <w:b w:val="false"/>
                <w:bCs w:val="false"/>
                <w:color w:val="1A2332"/>
                <w:sz w:val="19"/>
                <w:szCs w:val="19"/>
              </w:rPr>
              <w:t xml:space="preserve">What proportion of my department has been promoted vs. not?</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Promotion by Experience Level (bar)</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Are promotions going disproportionately to senior staff, or are junior/mid-level employees also advancing?</w:t>
            </w:r>
          </w:p>
        </w:tc>
      </w:tr>
      <w:tr>
        <w:tc>
          <w:tcPr>
            <w:tcW w:type="dxa" w:w="3450"/>
            <w:tcMar>
              <w:top w:type="dxa" w:w="80"/>
              <w:left w:type="dxa" w:w="100"/>
              <w:bottom w:type="dxa" w:w="80"/>
              <w:right w:type="dxa" w:w="100"/>
            </w:tcMar>
          </w:tcPr>
          <w:p>
            <w:r>
              <w:rPr>
                <w:b w:val="false"/>
                <w:bCs w:val="false"/>
                <w:color w:val="1A2332"/>
                <w:sz w:val="19"/>
                <w:szCs w:val="19"/>
              </w:rPr>
              <w:t xml:space="preserve">Training Level vs Average Performance (line)</w:t>
            </w:r>
          </w:p>
        </w:tc>
        <w:tc>
          <w:tcPr>
            <w:tcW w:type="dxa" w:w="5900"/>
            <w:tcMar>
              <w:top w:type="dxa" w:w="80"/>
              <w:left w:type="dxa" w:w="100"/>
              <w:bottom w:type="dxa" w:w="80"/>
              <w:right w:type="dxa" w:w="100"/>
            </w:tcMar>
          </w:tcPr>
          <w:p>
            <w:r>
              <w:rPr>
                <w:b w:val="false"/>
                <w:bCs w:val="false"/>
                <w:color w:val="1A2332"/>
                <w:sz w:val="19"/>
                <w:szCs w:val="19"/>
              </w:rPr>
              <w:t xml:space="preserve">Does more advanced training actually correlate with higher performance in this department?</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Percentage Satisfaction Score (gauge)</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One-glance read of overall department satisfaction against a target.</w:t>
            </w:r>
          </w:p>
        </w:tc>
      </w:tr>
    </w:tbl>
    <w:p>
      <w:pPr>
        <w:pStyle w:val="Heading1"/>
        <w:spacing w:after="160" w:before="360"/>
      </w:pPr>
      <w:r>
        <w:rPr>
          <w:b/>
          <w:bCs/>
          <w:color w:val="1A2332"/>
          <w:sz w:val="30"/>
          <w:szCs w:val="30"/>
        </w:rPr>
        <w:t xml:space="preserve">7. Employee Dashboard — Questions Answered</w:t>
      </w:r>
    </w:p>
    <w:p>
      <w:pPr>
        <w:spacing w:after="160"/>
      </w:pPr>
      <w:r>
        <w:rPr>
          <w:sz w:val="21"/>
          <w:szCs w:val="21"/>
        </w:rPr>
        <w:t xml:space="preserve">The Employee dashboard answers a single question repeated for one person at a time, selected via the Employee ID slicer: “how am I doing?” — deliberately individual, not comparative to the whole team by default.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5900"/>
      </w:tblGrid>
      <w:tr>
        <w:trPr>
          <w:tblHeader/>
        </w:trPr>
        <w:tc>
          <w:tcPr>
            <w:tcW w:type="dxa" w:w="3450"/>
            <w:shd w:fill="1A2332" w:val="clear"/>
            <w:tcMar>
              <w:top w:type="dxa" w:w="80"/>
              <w:left w:type="dxa" w:w="100"/>
              <w:bottom w:type="dxa" w:w="80"/>
              <w:right w:type="dxa" w:w="100"/>
            </w:tcMar>
          </w:tcPr>
          <w:p>
            <w:r>
              <w:rPr>
                <w:b/>
                <w:bCs/>
                <w:color w:val="FFFFFF"/>
                <w:sz w:val="19"/>
                <w:szCs w:val="19"/>
              </w:rPr>
              <w:t xml:space="preserve">Visual</w:t>
            </w:r>
          </w:p>
        </w:tc>
        <w:tc>
          <w:tcPr>
            <w:tcW w:type="dxa" w:w="5900"/>
            <w:shd w:fill="1A2332" w:val="clear"/>
            <w:tcMar>
              <w:top w:type="dxa" w:w="80"/>
              <w:left w:type="dxa" w:w="100"/>
              <w:bottom w:type="dxa" w:w="80"/>
              <w:right w:type="dxa" w:w="100"/>
            </w:tcMar>
          </w:tcPr>
          <w:p>
            <w:r>
              <w:rPr>
                <w:b/>
                <w:bCs/>
                <w:color w:val="FFFFFF"/>
                <w:sz w:val="19"/>
                <w:szCs w:val="19"/>
              </w:rPr>
              <w:t xml:space="preserve">Business question it answers</w:t>
            </w:r>
          </w:p>
        </w:tc>
      </w:tr>
      <w:tr>
        <w:tc>
          <w:tcPr>
            <w:tcW w:type="dxa" w:w="3450"/>
            <w:tcMar>
              <w:top w:type="dxa" w:w="80"/>
              <w:left w:type="dxa" w:w="100"/>
              <w:bottom w:type="dxa" w:w="80"/>
              <w:right w:type="dxa" w:w="100"/>
            </w:tcMar>
          </w:tcPr>
          <w:p>
            <w:r>
              <w:rPr>
                <w:b w:val="false"/>
                <w:bCs w:val="false"/>
                <w:color w:val="1A2332"/>
                <w:sz w:val="19"/>
                <w:szCs w:val="19"/>
              </w:rPr>
              <w:t xml:space="preserve">Profile KPI cards (Department, Gender, Job Title, Age, Years at Company, Salary, Satisfaction Score, Projects Handled, Promotion Status)</w:t>
            </w:r>
          </w:p>
        </w:tc>
        <w:tc>
          <w:tcPr>
            <w:tcW w:type="dxa" w:w="5900"/>
            <w:tcMar>
              <w:top w:type="dxa" w:w="80"/>
              <w:left w:type="dxa" w:w="100"/>
              <w:bottom w:type="dxa" w:w="80"/>
              <w:right w:type="dxa" w:w="100"/>
            </w:tcMar>
          </w:tcPr>
          <w:p>
            <w:r>
              <w:rPr>
                <w:b w:val="false"/>
                <w:bCs w:val="false"/>
                <w:color w:val="1A2332"/>
                <w:sz w:val="19"/>
                <w:szCs w:val="19"/>
              </w:rPr>
              <w:t xml:space="preserve">Who is this employee and what is their current standing, in one glance?</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Performance gauge / Satisfaction Gauge</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How does my performance/satisfaction compare to the target or maximum, presented as a single intuitive number?</w:t>
            </w:r>
          </w:p>
        </w:tc>
      </w:tr>
      <w:tr>
        <w:tc>
          <w:tcPr>
            <w:tcW w:type="dxa" w:w="3450"/>
            <w:tcMar>
              <w:top w:type="dxa" w:w="80"/>
              <w:left w:type="dxa" w:w="100"/>
              <w:bottom w:type="dxa" w:w="80"/>
              <w:right w:type="dxa" w:w="100"/>
            </w:tcMar>
          </w:tcPr>
          <w:p>
            <w:r>
              <w:rPr>
                <w:b w:val="false"/>
                <w:bCs w:val="false"/>
                <w:color w:val="1A2332"/>
                <w:sz w:val="19"/>
                <w:szCs w:val="19"/>
              </w:rPr>
              <w:t xml:space="preserve">Work Hours Comparison (bar: normal vs. overtime)</w:t>
            </w:r>
          </w:p>
        </w:tc>
        <w:tc>
          <w:tcPr>
            <w:tcW w:type="dxa" w:w="5900"/>
            <w:tcMar>
              <w:top w:type="dxa" w:w="80"/>
              <w:left w:type="dxa" w:w="100"/>
              <w:bottom w:type="dxa" w:w="80"/>
              <w:right w:type="dxa" w:w="100"/>
            </w:tcMar>
          </w:tcPr>
          <w:p>
            <w:r>
              <w:rPr>
                <w:b w:val="false"/>
                <w:bCs w:val="false"/>
                <w:color w:val="1A2332"/>
                <w:sz w:val="19"/>
                <w:szCs w:val="19"/>
              </w:rPr>
              <w:t xml:space="preserve">Am I working excessive overtime relative to my normal hours?</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Employee Activity Summary (donut: Projects Handled / Training Hours / Sick Days)</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Where is my time actually going?</w:t>
            </w:r>
          </w:p>
        </w:tc>
      </w:tr>
      <w:tr>
        <w:tc>
          <w:tcPr>
            <w:tcW w:type="dxa" w:w="3450"/>
            <w:tcMar>
              <w:top w:type="dxa" w:w="80"/>
              <w:left w:type="dxa" w:w="100"/>
              <w:bottom w:type="dxa" w:w="80"/>
              <w:right w:type="dxa" w:w="100"/>
            </w:tcMar>
          </w:tcPr>
          <w:p>
            <w:r>
              <w:rPr>
                <w:b w:val="false"/>
                <w:bCs w:val="false"/>
                <w:color w:val="1A2332"/>
                <w:sz w:val="19"/>
                <w:szCs w:val="19"/>
              </w:rPr>
              <w:t xml:space="preserve">Projects Handled vs Remaining Projects (donut)</w:t>
            </w:r>
          </w:p>
        </w:tc>
        <w:tc>
          <w:tcPr>
            <w:tcW w:type="dxa" w:w="5900"/>
            <w:tcMar>
              <w:top w:type="dxa" w:w="80"/>
              <w:left w:type="dxa" w:w="100"/>
              <w:bottom w:type="dxa" w:w="80"/>
              <w:right w:type="dxa" w:w="100"/>
            </w:tcMar>
          </w:tcPr>
          <w:p>
            <w:r>
              <w:rPr>
                <w:b w:val="false"/>
                <w:bCs w:val="false"/>
                <w:color w:val="1A2332"/>
                <w:sz w:val="19"/>
                <w:szCs w:val="19"/>
              </w:rPr>
              <w:t xml:space="preserve">How much of my current workload is complete vs. outstanding?</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Current Years vs Retirement (donut)</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How far along am I in my career at this company relative to retirement?</w:t>
            </w:r>
          </w:p>
        </w:tc>
      </w:tr>
      <w:tr>
        <w:tc>
          <w:tcPr>
            <w:tcW w:type="dxa" w:w="3450"/>
            <w:tcMar>
              <w:top w:type="dxa" w:w="80"/>
              <w:left w:type="dxa" w:w="100"/>
              <w:bottom w:type="dxa" w:w="80"/>
              <w:right w:type="dxa" w:w="100"/>
            </w:tcMar>
          </w:tcPr>
          <w:p>
            <w:r>
              <w:rPr>
                <w:b w:val="false"/>
                <w:bCs w:val="false"/>
                <w:color w:val="1A2332"/>
                <w:sz w:val="19"/>
                <w:szCs w:val="19"/>
              </w:rPr>
              <w:t xml:space="preserve">Performance &amp; Satisfaction Metrics (bar, historical)</w:t>
            </w:r>
          </w:p>
        </w:tc>
        <w:tc>
          <w:tcPr>
            <w:tcW w:type="dxa" w:w="5900"/>
            <w:tcMar>
              <w:top w:type="dxa" w:w="80"/>
              <w:left w:type="dxa" w:w="100"/>
              <w:bottom w:type="dxa" w:w="80"/>
              <w:right w:type="dxa" w:w="100"/>
            </w:tcMar>
          </w:tcPr>
          <w:p>
            <w:r>
              <w:rPr>
                <w:b w:val="false"/>
                <w:bCs w:val="false"/>
                <w:color w:val="1A2332"/>
                <w:sz w:val="19"/>
                <w:szCs w:val="19"/>
              </w:rPr>
              <w:t xml:space="preserve">How have my performance and satisfaction scores moved over time?</w:t>
            </w:r>
          </w:p>
        </w:tc>
      </w:tr>
      <w:tr>
        <w:tc>
          <w:tcPr>
            <w:tcW w:type="dxa" w:w="3450"/>
            <w:shd w:fill="F5F7FA" w:val="clear"/>
            <w:tcMar>
              <w:top w:type="dxa" w:w="80"/>
              <w:left w:type="dxa" w:w="100"/>
              <w:bottom w:type="dxa" w:w="80"/>
              <w:right w:type="dxa" w:w="100"/>
            </w:tcMar>
          </w:tcPr>
          <w:p>
            <w:r>
              <w:rPr>
                <w:b w:val="false"/>
                <w:bCs w:val="false"/>
                <w:color w:val="1A2332"/>
                <w:sz w:val="19"/>
                <w:szCs w:val="19"/>
              </w:rPr>
              <w:t xml:space="preserve">Employee Profile / Career &amp; Work Details / Assessment Summary (data tables)</w:t>
            </w:r>
          </w:p>
        </w:tc>
        <w:tc>
          <w:tcPr>
            <w:tcW w:type="dxa" w:w="5900"/>
            <w:shd w:fill="F5F7FA" w:val="clear"/>
            <w:tcMar>
              <w:top w:type="dxa" w:w="80"/>
              <w:left w:type="dxa" w:w="100"/>
              <w:bottom w:type="dxa" w:w="80"/>
              <w:right w:type="dxa" w:w="100"/>
            </w:tcMar>
          </w:tcPr>
          <w:p>
            <w:r>
              <w:rPr>
                <w:b w:val="false"/>
                <w:bCs w:val="false"/>
                <w:color w:val="1A2332"/>
                <w:sz w:val="19"/>
                <w:szCs w:val="19"/>
              </w:rPr>
              <w:t xml:space="preserve">What is the complete, exact record behind the visual summaries — for verification, not just at-a-glance reading?</w:t>
            </w:r>
          </w:p>
        </w:tc>
      </w:tr>
    </w:tbl>
    <w:p>
      <w:pPr>
        <w:pStyle w:val="Heading1"/>
        <w:spacing w:after="160" w:before="360"/>
      </w:pPr>
      <w:r>
        <w:rPr>
          <w:b/>
          <w:bCs/>
          <w:color w:val="1A2332"/>
          <w:sz w:val="30"/>
          <w:szCs w:val="30"/>
        </w:rPr>
        <w:t xml:space="preserve">8. Data Quality Observations</w:t>
      </w:r>
    </w:p>
    <w:p>
      <w:pPr>
        <w:spacing w:after="160"/>
      </w:pPr>
      <w:r>
        <w:rPr>
          <w:sz w:val="21"/>
          <w:szCs w:val="21"/>
        </w:rPr>
        <w:t xml:space="preserve">Reviewing the shipped dashboards directly (rather than only the underlying data model) surfaced a few presentation issues worth recording — the kind of review a data analyst should flag before a dashboard reaches an executive audience, since a misleading axis or a mislabeled KPI undermines trust in the whole report even when the underlying numbers are correct.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50"/>
        <w:gridCol w:w="3200"/>
      </w:tblGrid>
      <w:tr>
        <w:trPr>
          <w:tblHeader/>
        </w:trPr>
        <w:tc>
          <w:tcPr>
            <w:tcW w:type="dxa" w:w="2800"/>
            <w:shd w:fill="1A2332" w:val="clear"/>
            <w:tcMar>
              <w:top w:type="dxa" w:w="80"/>
              <w:left w:type="dxa" w:w="100"/>
              <w:bottom w:type="dxa" w:w="80"/>
              <w:right w:type="dxa" w:w="100"/>
            </w:tcMar>
          </w:tcPr>
          <w:p>
            <w:r>
              <w:rPr>
                <w:b/>
                <w:bCs/>
                <w:color w:val="FFFFFF"/>
                <w:sz w:val="19"/>
                <w:szCs w:val="19"/>
              </w:rPr>
              <w:t xml:space="preserve">Observation</w:t>
            </w:r>
          </w:p>
        </w:tc>
        <w:tc>
          <w:tcPr>
            <w:tcW w:type="dxa" w:w="3350"/>
            <w:shd w:fill="1A2332" w:val="clear"/>
            <w:tcMar>
              <w:top w:type="dxa" w:w="80"/>
              <w:left w:type="dxa" w:w="100"/>
              <w:bottom w:type="dxa" w:w="80"/>
              <w:right w:type="dxa" w:w="100"/>
            </w:tcMar>
          </w:tcPr>
          <w:p>
            <w:r>
              <w:rPr>
                <w:b/>
                <w:bCs/>
                <w:color w:val="FFFFFF"/>
                <w:sz w:val="19"/>
                <w:szCs w:val="19"/>
              </w:rPr>
              <w:t xml:space="preserve">Why it matters</w:t>
            </w:r>
          </w:p>
        </w:tc>
        <w:tc>
          <w:tcPr>
            <w:tcW w:type="dxa" w:w="3200"/>
            <w:shd w:fill="1A2332" w:val="clear"/>
            <w:tcMar>
              <w:top w:type="dxa" w:w="80"/>
              <w:left w:type="dxa" w:w="100"/>
              <w:bottom w:type="dxa" w:w="80"/>
              <w:right w:type="dxa" w:w="100"/>
            </w:tcMar>
          </w:tcPr>
          <w:p>
            <w:r>
              <w:rPr>
                <w:b/>
                <w:bCs/>
                <w:color w:val="FFFFFF"/>
                <w:sz w:val="19"/>
                <w:szCs w:val="19"/>
              </w:rPr>
              <w:t xml:space="preserve">Recommendation</w:t>
            </w:r>
          </w:p>
        </w:tc>
      </w:tr>
      <w:tr>
        <w:tc>
          <w:tcPr>
            <w:tcW w:type="dxa" w:w="2800"/>
            <w:tcMar>
              <w:top w:type="dxa" w:w="80"/>
              <w:left w:type="dxa" w:w="100"/>
              <w:bottom w:type="dxa" w:w="80"/>
              <w:right w:type="dxa" w:w="100"/>
            </w:tcMar>
          </w:tcPr>
          <w:p>
            <w:r>
              <w:rPr>
                <w:b w:val="false"/>
                <w:bCs w:val="false"/>
                <w:color w:val="1A2332"/>
                <w:sz w:val="19"/>
                <w:szCs w:val="19"/>
              </w:rPr>
              <w:t xml:space="preserve">Admin dashboard's first KPI card is labelled “Employee ID” but displays “100K”</w:t>
            </w:r>
          </w:p>
        </w:tc>
        <w:tc>
          <w:tcPr>
            <w:tcW w:type="dxa" w:w="3350"/>
            <w:tcMar>
              <w:top w:type="dxa" w:w="80"/>
              <w:left w:type="dxa" w:w="100"/>
              <w:bottom w:type="dxa" w:w="80"/>
              <w:right w:type="dxa" w:w="100"/>
            </w:tcMar>
          </w:tcPr>
          <w:p>
            <w:r>
              <w:rPr>
                <w:b w:val="false"/>
                <w:bCs w:val="false"/>
                <w:color w:val="1A2332"/>
                <w:sz w:val="19"/>
                <w:szCs w:val="19"/>
              </w:rPr>
              <w:t xml:space="preserve">100K is clearly a count of employees, not an ID value — the label is misleading as shipped</w:t>
            </w:r>
          </w:p>
        </w:tc>
        <w:tc>
          <w:tcPr>
            <w:tcW w:type="dxa" w:w="3200"/>
            <w:tcMar>
              <w:top w:type="dxa" w:w="80"/>
              <w:left w:type="dxa" w:w="100"/>
              <w:bottom w:type="dxa" w:w="80"/>
              <w:right w:type="dxa" w:w="100"/>
            </w:tcMar>
          </w:tcPr>
          <w:p>
            <w:r>
              <w:rPr>
                <w:b w:val="false"/>
                <w:bCs w:val="false"/>
                <w:color w:val="1A2332"/>
                <w:sz w:val="19"/>
                <w:szCs w:val="19"/>
              </w:rPr>
              <w:t xml:space="preserve">Relabel to “Total Employees”, matching the equivalent card on the Manage dashboard</w:t>
            </w:r>
          </w:p>
        </w:tc>
      </w:tr>
      <w:tr>
        <w:tc>
          <w:tcPr>
            <w:tcW w:type="dxa" w:w="2800"/>
            <w:shd w:fill="F5F7FA" w:val="clear"/>
            <w:tcMar>
              <w:top w:type="dxa" w:w="80"/>
              <w:left w:type="dxa" w:w="100"/>
              <w:bottom w:type="dxa" w:w="80"/>
              <w:right w:type="dxa" w:w="100"/>
            </w:tcMar>
          </w:tcPr>
          <w:p>
            <w:r>
              <w:rPr>
                <w:b w:val="false"/>
                <w:bCs w:val="false"/>
                <w:color w:val="1A2332"/>
                <w:sz w:val="19"/>
                <w:szCs w:val="19"/>
              </w:rPr>
              <w:t xml:space="preserve">“Performance vs Satisfaction” line chart uses a Y-axis range of roughly 59–61</w:t>
            </w:r>
          </w:p>
        </w:tc>
        <w:tc>
          <w:tcPr>
            <w:tcW w:type="dxa" w:w="3350"/>
            <w:shd w:fill="F5F7FA" w:val="clear"/>
            <w:tcMar>
              <w:top w:type="dxa" w:w="80"/>
              <w:left w:type="dxa" w:w="100"/>
              <w:bottom w:type="dxa" w:w="80"/>
              <w:right w:type="dxa" w:w="100"/>
            </w:tcMar>
          </w:tcPr>
          <w:p>
            <w:r>
              <w:rPr>
                <w:b w:val="false"/>
                <w:bCs w:val="false"/>
                <w:color w:val="1A2332"/>
                <w:sz w:val="19"/>
                <w:szCs w:val="19"/>
              </w:rPr>
              <w:t xml:space="preserve">Compressing the axis to a 2-point range makes essentially flat performance across departments look like a dramatic trend</w:t>
            </w:r>
          </w:p>
        </w:tc>
        <w:tc>
          <w:tcPr>
            <w:tcW w:type="dxa" w:w="3200"/>
            <w:shd w:fill="F5F7FA" w:val="clear"/>
            <w:tcMar>
              <w:top w:type="dxa" w:w="80"/>
              <w:left w:type="dxa" w:w="100"/>
              <w:bottom w:type="dxa" w:w="80"/>
              <w:right w:type="dxa" w:w="100"/>
            </w:tcMar>
          </w:tcPr>
          <w:p>
            <w:r>
              <w:rPr>
                <w:b w:val="false"/>
                <w:bCs w:val="false"/>
                <w:color w:val="1A2332"/>
                <w:sz w:val="19"/>
                <w:szCs w:val="19"/>
              </w:rPr>
              <w:t xml:space="preserve">Set the axis to start at 0, or clearly annotate the compressed range, so the visual variation matches the actual variation</w:t>
            </w:r>
          </w:p>
        </w:tc>
      </w:tr>
      <w:tr>
        <w:tc>
          <w:tcPr>
            <w:tcW w:type="dxa" w:w="2800"/>
            <w:tcMar>
              <w:top w:type="dxa" w:w="80"/>
              <w:left w:type="dxa" w:w="100"/>
              <w:bottom w:type="dxa" w:w="80"/>
              <w:right w:type="dxa" w:w="100"/>
            </w:tcMar>
          </w:tcPr>
          <w:p>
            <w:r>
              <w:rPr>
                <w:b w:val="false"/>
                <w:bCs w:val="false"/>
                <w:color w:val="1A2332"/>
                <w:sz w:val="19"/>
                <w:szCs w:val="19"/>
              </w:rPr>
              <w:t xml:space="preserve">“Salary vs Performance” scatter plot's Performance axis spans only 2.98–3.02</w:t>
            </w:r>
          </w:p>
        </w:tc>
        <w:tc>
          <w:tcPr>
            <w:tcW w:type="dxa" w:w="3350"/>
            <w:tcMar>
              <w:top w:type="dxa" w:w="80"/>
              <w:left w:type="dxa" w:w="100"/>
              <w:bottom w:type="dxa" w:w="80"/>
              <w:right w:type="dxa" w:w="100"/>
            </w:tcMar>
          </w:tcPr>
          <w:p>
            <w:r>
              <w:rPr>
                <w:b w:val="false"/>
                <w:bCs w:val="false"/>
                <w:color w:val="1A2332"/>
                <w:sz w:val="19"/>
                <w:szCs w:val="19"/>
              </w:rPr>
              <w:t xml:space="preserve">Same truncated-axis issue — a real range of about 0.04 is stretched to fill the whole chart height</w:t>
            </w:r>
          </w:p>
        </w:tc>
        <w:tc>
          <w:tcPr>
            <w:tcW w:type="dxa" w:w="3200"/>
            <w:tcMar>
              <w:top w:type="dxa" w:w="80"/>
              <w:left w:type="dxa" w:w="100"/>
              <w:bottom w:type="dxa" w:w="80"/>
              <w:right w:type="dxa" w:w="100"/>
            </w:tcMar>
          </w:tcPr>
          <w:p>
            <w:r>
              <w:rPr>
                <w:b w:val="false"/>
                <w:bCs w:val="false"/>
                <w:color w:val="1A2332"/>
                <w:sz w:val="19"/>
                <w:szCs w:val="19"/>
              </w:rPr>
              <w:t xml:space="preserve">Widen the axis to the metric's full possible range (e.g. 0–5) before presenting to leadership</w:t>
            </w:r>
          </w:p>
        </w:tc>
      </w:tr>
      <w:tr>
        <w:tc>
          <w:tcPr>
            <w:tcW w:type="dxa" w:w="2800"/>
            <w:shd w:fill="F5F7FA" w:val="clear"/>
            <w:tcMar>
              <w:top w:type="dxa" w:w="80"/>
              <w:left w:type="dxa" w:w="100"/>
              <w:bottom w:type="dxa" w:w="80"/>
              <w:right w:type="dxa" w:w="100"/>
            </w:tcMar>
          </w:tcPr>
          <w:p>
            <w:r>
              <w:rPr>
                <w:b w:val="false"/>
                <w:bCs w:val="false"/>
                <w:color w:val="1A2332"/>
                <w:sz w:val="19"/>
                <w:szCs w:val="19"/>
              </w:rPr>
              <w:t xml:space="preserve">“Training Hours vs Performance” Y-axis (training hours) spans only 48–50</w:t>
            </w:r>
          </w:p>
        </w:tc>
        <w:tc>
          <w:tcPr>
            <w:tcW w:type="dxa" w:w="3350"/>
            <w:shd w:fill="F5F7FA" w:val="clear"/>
            <w:tcMar>
              <w:top w:type="dxa" w:w="80"/>
              <w:left w:type="dxa" w:w="100"/>
              <w:bottom w:type="dxa" w:w="80"/>
              <w:right w:type="dxa" w:w="100"/>
            </w:tcMar>
          </w:tcPr>
          <w:p>
            <w:r>
              <w:rPr>
                <w:b w:val="false"/>
                <w:bCs w:val="false"/>
                <w:color w:val="1A2332"/>
                <w:sz w:val="19"/>
                <w:szCs w:val="19"/>
              </w:rPr>
              <w:t xml:space="preserve">Same pattern a third time — worth a general design-system rule, not three one-off fixes</w:t>
            </w:r>
          </w:p>
        </w:tc>
        <w:tc>
          <w:tcPr>
            <w:tcW w:type="dxa" w:w="3200"/>
            <w:shd w:fill="F5F7FA" w:val="clear"/>
            <w:tcMar>
              <w:top w:type="dxa" w:w="80"/>
              <w:left w:type="dxa" w:w="100"/>
              <w:bottom w:type="dxa" w:w="80"/>
              <w:right w:type="dxa" w:w="100"/>
            </w:tcMar>
          </w:tcPr>
          <w:p>
            <w:r>
              <w:rPr>
                <w:b w:val="false"/>
                <w:bCs w:val="false"/>
                <w:color w:val="1A2332"/>
                <w:sz w:val="19"/>
                <w:szCs w:val="19"/>
              </w:rPr>
              <w:t xml:space="preserve">Add an explicit “axis must include a meaningful zero or full scale unless justified” rule to the dashboard style guide</w:t>
            </w:r>
          </w:p>
        </w:tc>
      </w:tr>
      <w:tr>
        <w:tc>
          <w:tcPr>
            <w:tcW w:type="dxa" w:w="2800"/>
            <w:tcMar>
              <w:top w:type="dxa" w:w="80"/>
              <w:left w:type="dxa" w:w="100"/>
              <w:bottom w:type="dxa" w:w="80"/>
              <w:right w:type="dxa" w:w="100"/>
            </w:tcMar>
          </w:tcPr>
          <w:p>
            <w:r>
              <w:rPr>
                <w:b w:val="false"/>
                <w:bCs w:val="false"/>
                <w:color w:val="1A2332"/>
                <w:sz w:val="19"/>
                <w:szCs w:val="19"/>
              </w:rPr>
              <w:t xml:space="preserve">Manage dashboard shows “Total no of Projects: 272K” for a single department</w:t>
            </w:r>
          </w:p>
        </w:tc>
        <w:tc>
          <w:tcPr>
            <w:tcW w:type="dxa" w:w="3350"/>
            <w:tcMar>
              <w:top w:type="dxa" w:w="80"/>
              <w:left w:type="dxa" w:w="100"/>
              <w:bottom w:type="dxa" w:w="80"/>
              <w:right w:type="dxa" w:w="100"/>
            </w:tcMar>
          </w:tcPr>
          <w:p>
            <w:r>
              <w:rPr>
                <w:b w:val="false"/>
                <w:bCs w:val="false"/>
                <w:color w:val="1A2332"/>
                <w:sz w:val="19"/>
                <w:szCs w:val="19"/>
              </w:rPr>
              <w:t xml:space="preserve">272,000 projects for one department's headcount (thousands of employees) is implausible as a per-department figure and suggests a SUM across a fan-out join rather than a scoped count</w:t>
            </w:r>
          </w:p>
        </w:tc>
        <w:tc>
          <w:tcPr>
            <w:tcW w:type="dxa" w:w="3200"/>
            <w:tcMar>
              <w:top w:type="dxa" w:w="80"/>
              <w:left w:type="dxa" w:w="100"/>
              <w:bottom w:type="dxa" w:w="80"/>
              <w:right w:type="dxa" w:w="100"/>
            </w:tcMar>
          </w:tcPr>
          <w:p>
            <w:r>
              <w:rPr>
                <w:b w:val="false"/>
                <w:bCs w:val="false"/>
                <w:color w:val="1A2332"/>
                <w:sz w:val="19"/>
                <w:szCs w:val="19"/>
              </w:rPr>
              <w:t xml:space="preserve">Verify the underlying query against row-level duplication before trusting this KPI — the same class of defect was independently found and fixed in the web application's SQL layer (see companion Web Developer report, Section 6.2)</w:t>
            </w:r>
          </w:p>
        </w:tc>
      </w:tr>
      <w:tr>
        <w:tc>
          <w:tcPr>
            <w:tcW w:type="dxa" w:w="2800"/>
            <w:shd w:fill="F5F7FA" w:val="clear"/>
            <w:tcMar>
              <w:top w:type="dxa" w:w="80"/>
              <w:left w:type="dxa" w:w="100"/>
              <w:bottom w:type="dxa" w:w="80"/>
              <w:right w:type="dxa" w:w="100"/>
            </w:tcMar>
          </w:tcPr>
          <w:p>
            <w:r>
              <w:rPr>
                <w:b w:val="false"/>
                <w:bCs w:val="false"/>
                <w:color w:val="1A2332"/>
                <w:sz w:val="19"/>
                <w:szCs w:val="19"/>
              </w:rPr>
              <w:t xml:space="preserve">KPI set differs between Admin and Manage dashboards (e.g. “Total Projects” and “Total Promotions” appear on Manage but not Admin)</w:t>
            </w:r>
          </w:p>
        </w:tc>
        <w:tc>
          <w:tcPr>
            <w:tcW w:type="dxa" w:w="3350"/>
            <w:shd w:fill="F5F7FA" w:val="clear"/>
            <w:tcMar>
              <w:top w:type="dxa" w:w="80"/>
              <w:left w:type="dxa" w:w="100"/>
              <w:bottom w:type="dxa" w:w="80"/>
              <w:right w:type="dxa" w:w="100"/>
            </w:tcMar>
          </w:tcPr>
          <w:p>
            <w:r>
              <w:rPr>
                <w:b w:val="false"/>
                <w:bCs w:val="false"/>
                <w:color w:val="1A2332"/>
                <w:sz w:val="19"/>
                <w:szCs w:val="19"/>
              </w:rPr>
              <w:t xml:space="preserve">Makes it harder to compare a department's numbers against the company-wide baseline directly</w:t>
            </w:r>
          </w:p>
        </w:tc>
        <w:tc>
          <w:tcPr>
            <w:tcW w:type="dxa" w:w="3200"/>
            <w:shd w:fill="F5F7FA" w:val="clear"/>
            <w:tcMar>
              <w:top w:type="dxa" w:w="80"/>
              <w:left w:type="dxa" w:w="100"/>
              <w:bottom w:type="dxa" w:w="80"/>
              <w:right w:type="dxa" w:w="100"/>
            </w:tcMar>
          </w:tcPr>
          <w:p>
            <w:r>
              <w:rPr>
                <w:b w:val="false"/>
                <w:bCs w:val="false"/>
                <w:color w:val="1A2332"/>
                <w:sz w:val="19"/>
                <w:szCs w:val="19"/>
              </w:rPr>
              <w:t xml:space="preserve">Standardise a shared KPI set across both dashboard tiers where the metric is meaningful at both scopes</w:t>
            </w:r>
          </w:p>
        </w:tc>
      </w:tr>
    </w:tbl>
    <w:p>
      <w:pPr>
        <w:spacing w:after="160"/>
      </w:pPr>
      <w:r>
        <w:rPr>
          <w:sz w:val="21"/>
          <w:szCs w:val="21"/>
        </w:rPr>
        <w:t xml:space="preserve"/>
      </w:r>
    </w:p>
    <w:p>
      <w:pPr>
        <w:spacing w:after="160"/>
      </w:pPr>
      <w:r>
        <w:rPr>
          <w:sz w:val="21"/>
          <w:szCs w:val="21"/>
        </w:rPr>
        <w:t xml:space="preserve">None of these are data-loading defects — the ETL pipeline and underlying tables are not implicated by this section. They are dashboard-presentation issues, worth a design review pass before the Power BI report is shared outside the project team.</w:t>
      </w:r>
    </w:p>
    <w:p>
      <w:pPr>
        <w:pStyle w:val="Heading1"/>
        <w:spacing w:after="160" w:before="360"/>
      </w:pPr>
      <w:r>
        <w:rPr>
          <w:b/>
          <w:bCs/>
          <w:color w:val="1A2332"/>
          <w:sz w:val="30"/>
          <w:szCs w:val="30"/>
        </w:rPr>
        <w:t xml:space="preserve">9. Relationship to the Web Application</w:t>
      </w:r>
    </w:p>
    <w:p>
      <w:pPr>
        <w:spacing w:after="160"/>
      </w:pPr>
      <w:r>
        <w:rPr>
          <w:sz w:val="21"/>
          <w:szCs w:val="21"/>
        </w:rPr>
        <w:t xml:space="preserve">The Power BI dashboards catalogued in this report are the design reference the production web application's dashboards were built against — not a system that continues running in parallel with it. Once the web application's own SQL aggregation layer was built directly against the same PostgreSQL tables, it became the live, interactive version of what Power BI first modelled statically. Two points of continuity are worth recording:</w:t>
      </w:r>
    </w:p>
    <w:p>
      <w:pPr>
        <w:pStyle w:val="ListParagraph"/>
        <w:numPr>
          <w:ilvl w:val="0"/>
          <w:numId w:val="2"/>
        </w:numPr>
        <w:spacing w:after="60"/>
      </w:pPr>
      <w:r>
        <w:rPr>
          <w:sz w:val="21"/>
          <w:szCs w:val="21"/>
        </w:rPr>
        <w:t xml:space="preserve">The three-tier role structure (Admin/CEO, Manage/Manager, Employee) is identical across both — the web app's sidebar navigation mirrors the Power BI page-selector buttons exactly.</w:t>
      </w:r>
    </w:p>
    <w:p>
      <w:pPr>
        <w:pStyle w:val="ListParagraph"/>
        <w:numPr>
          <w:ilvl w:val="0"/>
          <w:numId w:val="2"/>
        </w:numPr>
        <w:spacing w:after="60"/>
      </w:pPr>
      <w:r>
        <w:rPr>
          <w:sz w:val="21"/>
          <w:szCs w:val="21"/>
        </w:rPr>
        <w:t xml:space="preserve">The row-duplication (“fan-out”) defect suspected in the Manage dashboard's “Total no of Projects” KPI (Section 8) is the same category of defect that was found and fixed at its root cause in the web application's SQL layer — evidence that the underlying employee_metrics table's one-employee-to-many-rows shape was a data-model characteristic that needed handling consistently everywhere it was queried, not just in one place.</w:t>
      </w:r>
    </w:p>
    <w:p>
      <w:pPr>
        <w:pStyle w:val="Heading1"/>
        <w:spacing w:after="160" w:before="360"/>
      </w:pPr>
      <w:r>
        <w:rPr>
          <w:b/>
          <w:bCs/>
          <w:color w:val="1A2332"/>
          <w:sz w:val="30"/>
          <w:szCs w:val="30"/>
        </w:rPr>
        <w:t xml:space="preserve">10. Conclusion</w:t>
      </w:r>
    </w:p>
    <w:p>
      <w:pPr>
        <w:spacing w:after="160"/>
      </w:pPr>
      <w:r>
        <w:rPr>
          <w:sz w:val="21"/>
          <w:szCs w:val="21"/>
        </w:rPr>
        <w:t xml:space="preserve">The data analysis workstream established a clean, validated, normalised dataset and translated it into three role-specific Power BI dashboards that directly answer the operational questions each organisational tier needs answered — company health for the Admin, department health for the Manager, and individual standing for the Employee. The dashboard review in Section 8 identifies presentation-level issues worth correcting, and Section 9 records the direct line from this analysis work to the production web application documented separately, including one defect class (row fan-out) that was caught independently in both places and is now understood to be a data-model characteristic worth guarding against system-wide.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2026-08-22T13:44:22.534Z</dcterms:created>
  <dcterms:modified xsi:type="dcterms:W3CDTF">2026-08-22T13:44:22.547Z</dcterms:modified>
</cp:coreProperties>
</file>

<file path=docProps/custom.xml><?xml version="1.0" encoding="utf-8"?>
<Properties xmlns="http://schemas.openxmlformats.org/officeDocument/2006/custom-properties" xmlns:vt="http://schemas.openxmlformats.org/officeDocument/2006/docPropsVTypes"/>
</file>