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A2332"/>
          <w:sz w:val="44"/>
          <w:szCs w:val="44"/>
        </w:rPr>
        <w:t xml:space="preserve">PROJECT DOCUMENTATION REPORT</w:t>
      </w:r>
    </w:p>
    <w:p>
      <w:pPr>
        <w:spacing w:after="400" w:before="200"/>
        <w:jc w:val="center"/>
      </w:pPr>
      <w:r>
        <w:rPr>
          <w:b/>
          <w:bCs/>
          <w:color w:val="FF6B35"/>
          <w:sz w:val="30"/>
          <w:szCs w:val="30"/>
        </w:rPr>
        <w:t xml:space="preserve">Employee Performance Analytics Platform</w:t>
      </w:r>
    </w:p>
    <w:p>
      <w:pPr>
        <w:spacing w:after="100"/>
        <w:jc w:val="center"/>
      </w:pPr>
      <w:r>
        <w:rPr>
          <w:i/>
          <w:iCs/>
          <w:color w:val="6B7280"/>
          <w:sz w:val="22"/>
          <w:szCs w:val="22"/>
        </w:rPr>
        <w:t xml:space="preserve">A Role-Based, Multi-Tenant HR Analytics Web Application</w:t>
      </w:r>
    </w:p>
    <w:p>
      <w:pPr>
        <w:spacing w:before="800"/>
      </w:pPr>
    </w:p>
    <w:p>
      <w:pPr>
        <w:spacing w:after="60"/>
        <w:jc w:val="center"/>
      </w:pPr>
      <w:r>
        <w:rPr>
          <w:color w:val="6B7280"/>
          <w:sz w:val="20"/>
          <w:szCs w:val="20"/>
        </w:rPr>
        <w:t xml:space="preserve">Prepared by</w:t>
      </w:r>
    </w:p>
    <w:p>
      <w:pPr>
        <w:spacing w:after="20"/>
        <w:jc w:val="center"/>
      </w:pPr>
      <w:r>
        <w:rPr>
          <w:b/>
          <w:bCs/>
          <w:color w:val="1A2332"/>
          <w:sz w:val="24"/>
          <w:szCs w:val="24"/>
        </w:rPr>
        <w:t xml:space="preserve">Shashikant Giri</w:t>
      </w:r>
    </w:p>
    <w:p>
      <w:pPr>
        <w:spacing w:after="300"/>
        <w:jc w:val="center"/>
      </w:pPr>
      <w:r>
        <w:rPr>
          <w:color w:val="6B7280"/>
          <w:sz w:val="20"/>
          <w:szCs w:val="20"/>
        </w:rPr>
        <w:t xml:space="preserve">Role: Web Developer (Full-Stack Implementation)</w:t>
      </w:r>
    </w:p>
    <w:p>
      <w:pPr>
        <w:jc w:val="center"/>
      </w:pPr>
      <w:r>
        <w:rPr>
          <w:color w:val="6B7280"/>
          <w:sz w:val="18"/>
          <w:szCs w:val="18"/>
        </w:rPr>
        <w:t xml:space="preserve">Version 1.0 (Initial Build) → Version 2.0 (UI Redesign &amp; Data-Integrity Fixes)</w:t>
      </w:r>
    </w:p>
    <w:p>
      <w:r>
        <w:br w:type="page"/>
      </w:r>
    </w:p>
    <w:p>
      <w:pPr>
        <w:pStyle w:val="Heading1"/>
        <w:spacing w:after="160" w:before="360"/>
      </w:pPr>
      <w:r>
        <w:rPr>
          <w:b/>
          <w:bCs/>
          <w:color w:val="1A2332"/>
          <w:sz w:val="30"/>
          <w:szCs w:val="30"/>
        </w:rPr>
        <w:t xml:space="preserve">1. Project Overview and Origin</w:t>
      </w:r>
    </w:p>
    <w:p>
      <w:pPr>
        <w:spacing w:after="160"/>
      </w:pPr>
      <w:r>
        <w:rPr>
          <w:sz w:val="21"/>
          <w:szCs w:val="21"/>
        </w:rPr>
        <w:t xml:space="preserve">This project began from an observation about how institutions handle performance data: a college website was noted as an example where students could log in expecting to see analysed performance details, but no such analysis existed because no analysis team produced it. This gap — raw data existing but never being turned into a decision-ready dashboard — became the basis for the project, reframed around a more realistic setting: a company that tracks employee performance and already has a dedicated analysis team producing dashboards for that purpose.</w:t>
      </w:r>
    </w:p>
    <w:p>
      <w:pPr>
        <w:spacing w:after="160"/>
      </w:pPr>
      <w:r>
        <w:rPr>
          <w:sz w:val="21"/>
          <w:szCs w:val="21"/>
        </w:rPr>
        <w:t xml:space="preserve">The result is a role-based Employee Performance Analytics platform serving three internal audiences from one shared dataset:</w:t>
      </w:r>
    </w:p>
    <w:p>
      <w:pPr>
        <w:pStyle w:val="ListParagraph"/>
        <w:numPr>
          <w:ilvl w:val="0"/>
          <w:numId w:val="2"/>
        </w:numPr>
        <w:spacing w:after="60"/>
      </w:pPr>
      <w:r>
        <w:rPr>
          <w:sz w:val="21"/>
          <w:szCs w:val="21"/>
        </w:rPr>
        <w:t xml:space="preserve">CEO / Admin — full company-wide visibility across every department and employee.</w:t>
      </w:r>
    </w:p>
    <w:p>
      <w:pPr>
        <w:pStyle w:val="ListParagraph"/>
        <w:numPr>
          <w:ilvl w:val="0"/>
          <w:numId w:val="2"/>
        </w:numPr>
        <w:spacing w:after="60"/>
      </w:pPr>
      <w:r>
        <w:rPr>
          <w:sz w:val="21"/>
          <w:szCs w:val="21"/>
        </w:rPr>
        <w:t xml:space="preserve">Manager — visibility scoped to their own department only.</w:t>
      </w:r>
    </w:p>
    <w:p>
      <w:pPr>
        <w:pStyle w:val="ListParagraph"/>
        <w:numPr>
          <w:ilvl w:val="0"/>
          <w:numId w:val="2"/>
        </w:numPr>
        <w:spacing w:after="60"/>
      </w:pPr>
      <w:r>
        <w:rPr>
          <w:sz w:val="21"/>
          <w:szCs w:val="21"/>
        </w:rPr>
        <w:t xml:space="preserve">Employee — visibility scoped to their own individual performance record only.</w:t>
      </w:r>
    </w:p>
    <w:p>
      <w:pPr>
        <w:pStyle w:val="ListParagraph"/>
        <w:numPr>
          <w:ilvl w:val="0"/>
          <w:numId w:val="2"/>
        </w:numPr>
        <w:spacing w:after="60"/>
      </w:pPr>
      <w:r>
        <w:rPr>
          <w:sz w:val="21"/>
          <w:szCs w:val="21"/>
        </w:rPr>
        <w:t xml:space="preserve">Tester — a QA role able to simulate any of the three views above for verification purposes.</w:t>
      </w:r>
    </w:p>
    <w:p>
      <w:pPr>
        <w:pStyle w:val="Heading1"/>
        <w:spacing w:after="160" w:before="360"/>
      </w:pPr>
      <w:r>
        <w:rPr>
          <w:b/>
          <w:bCs/>
          <w:color w:val="1A2332"/>
          <w:sz w:val="30"/>
          <w:szCs w:val="30"/>
        </w:rPr>
        <w:t xml:space="preserve">2. Division of Responsibility: Analysis Team vs. Web Developer</w:t>
      </w:r>
    </w:p>
    <w:p>
      <w:pPr>
        <w:spacing w:after="160"/>
      </w:pPr>
      <w:r>
        <w:rPr>
          <w:sz w:val="21"/>
          <w:szCs w:val="21"/>
        </w:rPr>
        <w:t xml:space="preserve">The project brief explicitly separates two workstreams, and this report documents only the second one — the web developer's scope — while summarising the first for context, since the application's data layer is a direct downstream consumer of it.</w:t>
      </w:r>
    </w:p>
    <w:p>
      <w:pPr>
        <w:pStyle w:val="Heading2"/>
        <w:spacing w:after="120" w:before="280"/>
      </w:pPr>
      <w:r>
        <w:rPr>
          <w:b/>
          <w:bCs/>
          <w:color w:val="1A2332"/>
          <w:sz w:val="24"/>
          <w:szCs w:val="24"/>
        </w:rPr>
        <w:t xml:space="preserve">2.1 Analysis Team (upstream, not part of this report's scope)</w:t>
      </w:r>
    </w:p>
    <w:p>
      <w:pPr>
        <w:pStyle w:val="ListParagraph"/>
        <w:numPr>
          <w:ilvl w:val="0"/>
          <w:numId w:val="2"/>
        </w:numPr>
        <w:spacing w:after="60"/>
      </w:pPr>
      <w:r>
        <w:rPr>
          <w:sz w:val="21"/>
          <w:szCs w:val="21"/>
        </w:rPr>
        <w:t xml:space="preserve">Collected raw employee data and cleaned it in Excel (deduplication, normalisation).</w:t>
      </w:r>
    </w:p>
    <w:p>
      <w:pPr>
        <w:pStyle w:val="ListParagraph"/>
        <w:numPr>
          <w:ilvl w:val="0"/>
          <w:numId w:val="2"/>
        </w:numPr>
        <w:spacing w:after="60"/>
      </w:pPr>
      <w:r>
        <w:rPr>
          <w:sz w:val="21"/>
          <w:szCs w:val="21"/>
        </w:rPr>
        <w:t xml:space="preserve">Imported cleaned data into Power BI; built calculated columns and DAX measures.</w:t>
      </w:r>
    </w:p>
    <w:p>
      <w:pPr>
        <w:pStyle w:val="ListParagraph"/>
        <w:numPr>
          <w:ilvl w:val="0"/>
          <w:numId w:val="2"/>
        </w:numPr>
        <w:spacing w:after="60"/>
      </w:pPr>
      <w:r>
        <w:rPr>
          <w:sz w:val="21"/>
          <w:szCs w:val="21"/>
        </w:rPr>
        <w:t xml:space="preserve">Produced three dashboard tiers in Power BI (CEO, Manager, Employee) using report-level slicers.</w:t>
      </w:r>
    </w:p>
    <w:p>
      <w:pPr>
        <w:pStyle w:val="ListParagraph"/>
        <w:numPr>
          <w:ilvl w:val="0"/>
          <w:numId w:val="2"/>
        </w:numPr>
        <w:spacing w:after="60"/>
      </w:pPr>
      <w:r>
        <w:rPr>
          <w:sz w:val="21"/>
          <w:szCs w:val="21"/>
        </w:rPr>
        <w:t xml:space="preserve">Provisioned a PostgreSQL database on Supabase as the system of record.</w:t>
      </w:r>
    </w:p>
    <w:p>
      <w:pPr>
        <w:pStyle w:val="ListParagraph"/>
        <w:numPr>
          <w:ilvl w:val="0"/>
          <w:numId w:val="2"/>
        </w:numPr>
        <w:spacing w:after="60"/>
      </w:pPr>
      <w:r>
        <w:rPr>
          <w:sz w:val="21"/>
          <w:szCs w:val="21"/>
        </w:rPr>
        <w:t xml:space="preserve">Defined an “access” table holding login credentials and role assignment for CEO, Manager, and Tester accounts.</w:t>
      </w:r>
    </w:p>
    <w:p>
      <w:pPr>
        <w:pStyle w:val="ListParagraph"/>
        <w:numPr>
          <w:ilvl w:val="0"/>
          <w:numId w:val="2"/>
        </w:numPr>
        <w:spacing w:after="60"/>
      </w:pPr>
      <w:r>
        <w:rPr>
          <w:sz w:val="21"/>
          <w:szCs w:val="21"/>
        </w:rPr>
        <w:t xml:space="preserve">Used a Python/pandas/SQLAlchemy ETL script to load cleaned Excel sheets into PostgreSQL tables.</w:t>
      </w:r>
    </w:p>
    <w:p>
      <w:pPr>
        <w:pStyle w:val="Heading2"/>
        <w:spacing w:after="120" w:before="280"/>
      </w:pPr>
      <w:r>
        <w:rPr>
          <w:b/>
          <w:bCs/>
          <w:color w:val="1A2332"/>
          <w:sz w:val="24"/>
          <w:szCs w:val="24"/>
        </w:rPr>
        <w:t xml:space="preserve">2.2 Web Developer (this report's scope)</w:t>
      </w:r>
    </w:p>
    <w:p>
      <w:pPr>
        <w:pStyle w:val="ListParagraph"/>
        <w:numPr>
          <w:ilvl w:val="0"/>
          <w:numId w:val="2"/>
        </w:numPr>
        <w:spacing w:after="60"/>
      </w:pPr>
      <w:r>
        <w:rPr>
          <w:sz w:val="21"/>
          <w:szCs w:val="21"/>
        </w:rPr>
        <w:t xml:space="preserve">Translated the analysis team's Power BI dashboards and database into a production web application.</w:t>
      </w:r>
    </w:p>
    <w:p>
      <w:pPr>
        <w:pStyle w:val="ListParagraph"/>
        <w:numPr>
          <w:ilvl w:val="0"/>
          <w:numId w:val="2"/>
        </w:numPr>
        <w:spacing w:after="60"/>
      </w:pPr>
      <w:r>
        <w:rPr>
          <w:sz w:val="21"/>
          <w:szCs w:val="21"/>
        </w:rPr>
        <w:t xml:space="preserve">Designed and implemented the authentication and role-based routing system.</w:t>
      </w:r>
    </w:p>
    <w:p>
      <w:pPr>
        <w:pStyle w:val="ListParagraph"/>
        <w:numPr>
          <w:ilvl w:val="0"/>
          <w:numId w:val="2"/>
        </w:numPr>
        <w:spacing w:after="60"/>
      </w:pPr>
      <w:r>
        <w:rPr>
          <w:sz w:val="21"/>
          <w:szCs w:val="21"/>
        </w:rPr>
        <w:t xml:space="preserve">Built the data-access layer (SQL aggregation functions + service layer) against the live schema.</w:t>
      </w:r>
    </w:p>
    <w:p>
      <w:pPr>
        <w:pStyle w:val="ListParagraph"/>
        <w:numPr>
          <w:ilvl w:val="0"/>
          <w:numId w:val="2"/>
        </w:numPr>
        <w:spacing w:after="60"/>
      </w:pPr>
      <w:r>
        <w:rPr>
          <w:sz w:val="21"/>
          <w:szCs w:val="21"/>
        </w:rPr>
        <w:t xml:space="preserve">Implemented all four role-scoped dashboards as real, data-backed Next.js pages.</w:t>
      </w:r>
    </w:p>
    <w:p>
      <w:pPr>
        <w:pStyle w:val="ListParagraph"/>
        <w:numPr>
          <w:ilvl w:val="0"/>
          <w:numId w:val="2"/>
        </w:numPr>
        <w:spacing w:after="60"/>
      </w:pPr>
      <w:r>
        <w:rPr>
          <w:sz w:val="21"/>
          <w:szCs w:val="21"/>
        </w:rPr>
        <w:t xml:space="preserve">Applied security hardening, SEO basics, and a full UI/UX redesign in Version 2.</w:t>
      </w:r>
    </w:p>
    <w:p>
      <w:pPr>
        <w:pStyle w:val="ListParagraph"/>
        <w:numPr>
          <w:ilvl w:val="0"/>
          <w:numId w:val="2"/>
        </w:numPr>
        <w:spacing w:after="60"/>
      </w:pPr>
      <w:r>
        <w:rPr>
          <w:sz w:val="21"/>
          <w:szCs w:val="21"/>
        </w:rPr>
        <w:t xml:space="preserve">Diagnosed and fixed data-integrity defects that were not visible until real data was queried at scale.</w:t>
      </w:r>
    </w:p>
    <w:p>
      <w:pPr>
        <w:pStyle w:val="Heading1"/>
        <w:spacing w:after="160" w:before="360"/>
      </w:pPr>
      <w:r>
        <w:rPr>
          <w:b/>
          <w:bCs/>
          <w:color w:val="1A2332"/>
          <w:sz w:val="30"/>
          <w:szCs w:val="30"/>
        </w:rPr>
        <w:t xml:space="preserve">3.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450"/>
        <w:gridCol w:w="3500"/>
      </w:tblGrid>
      <w:tr>
        <w:trPr>
          <w:tblHeader/>
        </w:trPr>
        <w:tc>
          <w:tcPr>
            <w:tcW w:type="dxa" w:w="2400"/>
            <w:shd w:fill="1A2332" w:val="clear"/>
            <w:tcMar>
              <w:top w:type="dxa" w:w="80"/>
              <w:left w:type="dxa" w:w="100"/>
              <w:bottom w:type="dxa" w:w="80"/>
              <w:right w:type="dxa" w:w="100"/>
            </w:tcMar>
          </w:tcPr>
          <w:p>
            <w:r>
              <w:rPr>
                <w:b/>
                <w:bCs/>
                <w:color w:val="FFFFFF"/>
                <w:sz w:val="19"/>
                <w:szCs w:val="19"/>
              </w:rPr>
              <w:t xml:space="preserve">Layer</w:t>
            </w:r>
          </w:p>
        </w:tc>
        <w:tc>
          <w:tcPr>
            <w:tcW w:type="dxa" w:w="3450"/>
            <w:shd w:fill="1A2332" w:val="clear"/>
            <w:tcMar>
              <w:top w:type="dxa" w:w="80"/>
              <w:left w:type="dxa" w:w="100"/>
              <w:bottom w:type="dxa" w:w="80"/>
              <w:right w:type="dxa" w:w="100"/>
            </w:tcMar>
          </w:tcPr>
          <w:p>
            <w:r>
              <w:rPr>
                <w:b/>
                <w:bCs/>
                <w:color w:val="FFFFFF"/>
                <w:sz w:val="19"/>
                <w:szCs w:val="19"/>
              </w:rPr>
              <w:t xml:space="preserve">Technology</w:t>
            </w:r>
          </w:p>
        </w:tc>
        <w:tc>
          <w:tcPr>
            <w:tcW w:type="dxa" w:w="3500"/>
            <w:shd w:fill="1A2332" w:val="clear"/>
            <w:tcMar>
              <w:top w:type="dxa" w:w="80"/>
              <w:left w:type="dxa" w:w="100"/>
              <w:bottom w:type="dxa" w:w="80"/>
              <w:right w:type="dxa" w:w="100"/>
            </w:tcMar>
          </w:tcPr>
          <w:p>
            <w:r>
              <w:rPr>
                <w:b/>
                <w:bCs/>
                <w:color w:val="FFFFFF"/>
                <w:sz w:val="19"/>
                <w:szCs w:val="19"/>
              </w:rPr>
              <w:t xml:space="preserve">Notes</w:t>
            </w:r>
          </w:p>
        </w:tc>
      </w:tr>
      <w:tr>
        <w:tc>
          <w:tcPr>
            <w:tcW w:type="dxa" w:w="2400"/>
            <w:tcMar>
              <w:top w:type="dxa" w:w="80"/>
              <w:left w:type="dxa" w:w="100"/>
              <w:bottom w:type="dxa" w:w="80"/>
              <w:right w:type="dxa" w:w="100"/>
            </w:tcMar>
          </w:tcPr>
          <w:p>
            <w:r>
              <w:rPr>
                <w:b w:val="false"/>
                <w:bCs w:val="false"/>
                <w:color w:val="1A2332"/>
                <w:sz w:val="19"/>
                <w:szCs w:val="19"/>
              </w:rPr>
              <w:t xml:space="preserve">Frontend framework</w:t>
            </w:r>
          </w:p>
        </w:tc>
        <w:tc>
          <w:tcPr>
            <w:tcW w:type="dxa" w:w="3450"/>
            <w:tcMar>
              <w:top w:type="dxa" w:w="80"/>
              <w:left w:type="dxa" w:w="100"/>
              <w:bottom w:type="dxa" w:w="80"/>
              <w:right w:type="dxa" w:w="100"/>
            </w:tcMar>
          </w:tcPr>
          <w:p>
            <w:r>
              <w:rPr>
                <w:b w:val="false"/>
                <w:bCs w:val="false"/>
                <w:color w:val="1A2332"/>
                <w:sz w:val="19"/>
                <w:szCs w:val="19"/>
              </w:rPr>
              <w:t xml:space="preserve">Next.js 16 (App Router, JavaScript)</w:t>
            </w:r>
          </w:p>
        </w:tc>
        <w:tc>
          <w:tcPr>
            <w:tcW w:type="dxa" w:w="3500"/>
            <w:tcMar>
              <w:top w:type="dxa" w:w="80"/>
              <w:left w:type="dxa" w:w="100"/>
              <w:bottom w:type="dxa" w:w="80"/>
              <w:right w:type="dxa" w:w="100"/>
            </w:tcMar>
          </w:tcPr>
          <w:p>
            <w:r>
              <w:rPr>
                <w:b w:val="false"/>
                <w:bCs w:val="false"/>
                <w:color w:val="1A2332"/>
                <w:sz w:val="19"/>
                <w:szCs w:val="19"/>
              </w:rPr>
              <w:t xml:space="preserve">Server Components + Server Actions throughout</w:t>
            </w:r>
          </w:p>
        </w:tc>
      </w:tr>
      <w:tr>
        <w:tc>
          <w:tcPr>
            <w:tcW w:type="dxa" w:w="2400"/>
            <w:shd w:fill="F5F7FA" w:val="clear"/>
            <w:tcMar>
              <w:top w:type="dxa" w:w="80"/>
              <w:left w:type="dxa" w:w="100"/>
              <w:bottom w:type="dxa" w:w="80"/>
              <w:right w:type="dxa" w:w="100"/>
            </w:tcMar>
          </w:tcPr>
          <w:p>
            <w:r>
              <w:rPr>
                <w:b w:val="false"/>
                <w:bCs w:val="false"/>
                <w:color w:val="1A2332"/>
                <w:sz w:val="19"/>
                <w:szCs w:val="19"/>
              </w:rPr>
              <w:t xml:space="preserve">Styling</w:t>
            </w:r>
          </w:p>
        </w:tc>
        <w:tc>
          <w:tcPr>
            <w:tcW w:type="dxa" w:w="3450"/>
            <w:shd w:fill="F5F7FA" w:val="clear"/>
            <w:tcMar>
              <w:top w:type="dxa" w:w="80"/>
              <w:left w:type="dxa" w:w="100"/>
              <w:bottom w:type="dxa" w:w="80"/>
              <w:right w:type="dxa" w:w="100"/>
            </w:tcMar>
          </w:tcPr>
          <w:p>
            <w:r>
              <w:rPr>
                <w:b w:val="false"/>
                <w:bCs w:val="false"/>
                <w:color w:val="1A2332"/>
                <w:sz w:val="19"/>
                <w:szCs w:val="19"/>
              </w:rPr>
              <w:t xml:space="preserve">Tailwind CSS v4</w:t>
            </w:r>
          </w:p>
        </w:tc>
        <w:tc>
          <w:tcPr>
            <w:tcW w:type="dxa" w:w="3500"/>
            <w:shd w:fill="F5F7FA" w:val="clear"/>
            <w:tcMar>
              <w:top w:type="dxa" w:w="80"/>
              <w:left w:type="dxa" w:w="100"/>
              <w:bottom w:type="dxa" w:w="80"/>
              <w:right w:type="dxa" w:w="100"/>
            </w:tcMar>
          </w:tcPr>
          <w:p>
            <w:r>
              <w:rPr>
                <w:b w:val="false"/>
                <w:bCs w:val="false"/>
                <w:color w:val="1A2332"/>
                <w:sz w:val="19"/>
                <w:szCs w:val="19"/>
              </w:rPr>
              <w:t xml:space="preserve">Custom “Enterprise Dark” design tokens</w:t>
            </w:r>
          </w:p>
        </w:tc>
      </w:tr>
      <w:tr>
        <w:tc>
          <w:tcPr>
            <w:tcW w:type="dxa" w:w="2400"/>
            <w:tcMar>
              <w:top w:type="dxa" w:w="80"/>
              <w:left w:type="dxa" w:w="100"/>
              <w:bottom w:type="dxa" w:w="80"/>
              <w:right w:type="dxa" w:w="100"/>
            </w:tcMar>
          </w:tcPr>
          <w:p>
            <w:r>
              <w:rPr>
                <w:b w:val="false"/>
                <w:bCs w:val="false"/>
                <w:color w:val="1A2332"/>
                <w:sz w:val="19"/>
                <w:szCs w:val="19"/>
              </w:rPr>
              <w:t xml:space="preserve">Charts</w:t>
            </w:r>
          </w:p>
        </w:tc>
        <w:tc>
          <w:tcPr>
            <w:tcW w:type="dxa" w:w="3450"/>
            <w:tcMar>
              <w:top w:type="dxa" w:w="80"/>
              <w:left w:type="dxa" w:w="100"/>
              <w:bottom w:type="dxa" w:w="80"/>
              <w:right w:type="dxa" w:w="100"/>
            </w:tcMar>
          </w:tcPr>
          <w:p>
            <w:r>
              <w:rPr>
                <w:b w:val="false"/>
                <w:bCs w:val="false"/>
                <w:color w:val="1A2332"/>
                <w:sz w:val="19"/>
                <w:szCs w:val="19"/>
              </w:rPr>
              <w:t xml:space="preserve">Recharts</w:t>
            </w:r>
          </w:p>
        </w:tc>
        <w:tc>
          <w:tcPr>
            <w:tcW w:type="dxa" w:w="3500"/>
            <w:tcMar>
              <w:top w:type="dxa" w:w="80"/>
              <w:left w:type="dxa" w:w="100"/>
              <w:bottom w:type="dxa" w:w="80"/>
              <w:right w:type="dxa" w:w="100"/>
            </w:tcMar>
          </w:tcPr>
          <w:p>
            <w:r>
              <w:rPr>
                <w:b w:val="false"/>
                <w:bCs w:val="false"/>
                <w:color w:val="1A2332"/>
                <w:sz w:val="19"/>
                <w:szCs w:val="19"/>
              </w:rPr>
              <w:t xml:space="preserve">Donut and bar charts, semantic colour mapping</w:t>
            </w:r>
          </w:p>
        </w:tc>
      </w:tr>
      <w:tr>
        <w:tc>
          <w:tcPr>
            <w:tcW w:type="dxa" w:w="2400"/>
            <w:shd w:fill="F5F7FA" w:val="clear"/>
            <w:tcMar>
              <w:top w:type="dxa" w:w="80"/>
              <w:left w:type="dxa" w:w="100"/>
              <w:bottom w:type="dxa" w:w="80"/>
              <w:right w:type="dxa" w:w="100"/>
            </w:tcMar>
          </w:tcPr>
          <w:p>
            <w:r>
              <w:rPr>
                <w:b w:val="false"/>
                <w:bCs w:val="false"/>
                <w:color w:val="1A2332"/>
                <w:sz w:val="19"/>
                <w:szCs w:val="19"/>
              </w:rPr>
              <w:t xml:space="preserve">Icons</w:t>
            </w:r>
          </w:p>
        </w:tc>
        <w:tc>
          <w:tcPr>
            <w:tcW w:type="dxa" w:w="3450"/>
            <w:shd w:fill="F5F7FA" w:val="clear"/>
            <w:tcMar>
              <w:top w:type="dxa" w:w="80"/>
              <w:left w:type="dxa" w:w="100"/>
              <w:bottom w:type="dxa" w:w="80"/>
              <w:right w:type="dxa" w:w="100"/>
            </w:tcMar>
          </w:tcPr>
          <w:p>
            <w:r>
              <w:rPr>
                <w:b w:val="false"/>
                <w:bCs w:val="false"/>
                <w:color w:val="1A2332"/>
                <w:sz w:val="19"/>
                <w:szCs w:val="19"/>
              </w:rPr>
              <w:t xml:space="preserve">Lucide React</w:t>
            </w:r>
          </w:p>
        </w:tc>
        <w:tc>
          <w:tcPr>
            <w:tcW w:type="dxa" w:w="3500"/>
            <w:shd w:fill="F5F7FA" w:val="clear"/>
            <w:tcMar>
              <w:top w:type="dxa" w:w="80"/>
              <w:left w:type="dxa" w:w="100"/>
              <w:bottom w:type="dxa" w:w="80"/>
              <w:right w:type="dxa" w:w="100"/>
            </w:tcMar>
          </w:tcPr>
          <w:p>
            <w:r>
              <w:rPr>
                <w:b w:val="false"/>
                <w:bCs w:val="false"/>
                <w:color w:val="1A2332"/>
                <w:sz w:val="19"/>
                <w:szCs w:val="19"/>
              </w:rPr>
              <w:t xml:space="preserve">Single icon library, per design system rule</w:t>
            </w:r>
          </w:p>
        </w:tc>
      </w:tr>
      <w:tr>
        <w:tc>
          <w:tcPr>
            <w:tcW w:type="dxa" w:w="2400"/>
            <w:tcMar>
              <w:top w:type="dxa" w:w="80"/>
              <w:left w:type="dxa" w:w="100"/>
              <w:bottom w:type="dxa" w:w="80"/>
              <w:right w:type="dxa" w:w="100"/>
            </w:tcMar>
          </w:tcPr>
          <w:p>
            <w:r>
              <w:rPr>
                <w:b w:val="false"/>
                <w:bCs w:val="false"/>
                <w:color w:val="1A2332"/>
                <w:sz w:val="19"/>
                <w:szCs w:val="19"/>
              </w:rPr>
              <w:t xml:space="preserve">Database</w:t>
            </w:r>
          </w:p>
        </w:tc>
        <w:tc>
          <w:tcPr>
            <w:tcW w:type="dxa" w:w="3450"/>
            <w:tcMar>
              <w:top w:type="dxa" w:w="80"/>
              <w:left w:type="dxa" w:w="100"/>
              <w:bottom w:type="dxa" w:w="80"/>
              <w:right w:type="dxa" w:w="100"/>
            </w:tcMar>
          </w:tcPr>
          <w:p>
            <w:r>
              <w:rPr>
                <w:b w:val="false"/>
                <w:bCs w:val="false"/>
                <w:color w:val="1A2332"/>
                <w:sz w:val="19"/>
                <w:szCs w:val="19"/>
              </w:rPr>
              <w:t xml:space="preserve">PostgreSQL via Supabase</w:t>
            </w:r>
          </w:p>
        </w:tc>
        <w:tc>
          <w:tcPr>
            <w:tcW w:type="dxa" w:w="3500"/>
            <w:tcMar>
              <w:top w:type="dxa" w:w="80"/>
              <w:left w:type="dxa" w:w="100"/>
              <w:bottom w:type="dxa" w:w="80"/>
              <w:right w:type="dxa" w:w="100"/>
            </w:tcMar>
          </w:tcPr>
          <w:p>
            <w:r>
              <w:rPr>
                <w:b w:val="false"/>
                <w:bCs w:val="false"/>
                <w:color w:val="1A2332"/>
                <w:sz w:val="19"/>
                <w:szCs w:val="19"/>
              </w:rPr>
              <w:t xml:space="preserve">SQL aggregation functions (RPC) for dashboard data</w:t>
            </w:r>
          </w:p>
        </w:tc>
      </w:tr>
      <w:tr>
        <w:tc>
          <w:tcPr>
            <w:tcW w:type="dxa" w:w="2400"/>
            <w:shd w:fill="F5F7FA" w:val="clear"/>
            <w:tcMar>
              <w:top w:type="dxa" w:w="80"/>
              <w:left w:type="dxa" w:w="100"/>
              <w:bottom w:type="dxa" w:w="80"/>
              <w:right w:type="dxa" w:w="100"/>
            </w:tcMar>
          </w:tcPr>
          <w:p>
            <w:r>
              <w:rPr>
                <w:b w:val="false"/>
                <w:bCs w:val="false"/>
                <w:color w:val="1A2332"/>
                <w:sz w:val="19"/>
                <w:szCs w:val="19"/>
              </w:rPr>
              <w:t xml:space="preserve">Auth</w:t>
            </w:r>
          </w:p>
        </w:tc>
        <w:tc>
          <w:tcPr>
            <w:tcW w:type="dxa" w:w="3450"/>
            <w:shd w:fill="F5F7FA" w:val="clear"/>
            <w:tcMar>
              <w:top w:type="dxa" w:w="80"/>
              <w:left w:type="dxa" w:w="100"/>
              <w:bottom w:type="dxa" w:w="80"/>
              <w:right w:type="dxa" w:w="100"/>
            </w:tcMar>
          </w:tcPr>
          <w:p>
            <w:r>
              <w:rPr>
                <w:b w:val="false"/>
                <w:bCs w:val="false"/>
                <w:color w:val="1A2332"/>
                <w:sz w:val="19"/>
                <w:szCs w:val="19"/>
              </w:rPr>
              <w:t xml:space="preserve">Custom bcrypt + signed JWT session cookie</w:t>
            </w:r>
          </w:p>
        </w:tc>
        <w:tc>
          <w:tcPr>
            <w:tcW w:type="dxa" w:w="3500"/>
            <w:shd w:fill="F5F7FA" w:val="clear"/>
            <w:tcMar>
              <w:top w:type="dxa" w:w="80"/>
              <w:left w:type="dxa" w:w="100"/>
              <w:bottom w:type="dxa" w:w="80"/>
              <w:right w:type="dxa" w:w="100"/>
            </w:tcMar>
          </w:tcPr>
          <w:p>
            <w:r>
              <w:rPr>
                <w:b w:val="false"/>
                <w:bCs w:val="false"/>
                <w:color w:val="1A2332"/>
                <w:sz w:val="19"/>
                <w:szCs w:val="19"/>
              </w:rPr>
              <w:t xml:space="preserve">Not Supabase Auth — matched to actual schema</w:t>
            </w:r>
          </w:p>
        </w:tc>
      </w:tr>
      <w:tr>
        <w:tc>
          <w:tcPr>
            <w:tcW w:type="dxa" w:w="2400"/>
            <w:tcMar>
              <w:top w:type="dxa" w:w="80"/>
              <w:left w:type="dxa" w:w="100"/>
              <w:bottom w:type="dxa" w:w="80"/>
              <w:right w:type="dxa" w:w="100"/>
            </w:tcMar>
          </w:tcPr>
          <w:p>
            <w:r>
              <w:rPr>
                <w:b w:val="false"/>
                <w:bCs w:val="false"/>
                <w:color w:val="1A2332"/>
                <w:sz w:val="19"/>
                <w:szCs w:val="19"/>
              </w:rPr>
              <w:t xml:space="preserve">Hosting</w:t>
            </w:r>
          </w:p>
        </w:tc>
        <w:tc>
          <w:tcPr>
            <w:tcW w:type="dxa" w:w="3450"/>
            <w:tcMar>
              <w:top w:type="dxa" w:w="80"/>
              <w:left w:type="dxa" w:w="100"/>
              <w:bottom w:type="dxa" w:w="80"/>
              <w:right w:type="dxa" w:w="100"/>
            </w:tcMar>
          </w:tcPr>
          <w:p>
            <w:r>
              <w:rPr>
                <w:b w:val="false"/>
                <w:bCs w:val="false"/>
                <w:color w:val="1A2332"/>
                <w:sz w:val="19"/>
                <w:szCs w:val="19"/>
              </w:rPr>
              <w:t xml:space="preserve">Vercel</w:t>
            </w:r>
          </w:p>
        </w:tc>
        <w:tc>
          <w:tcPr>
            <w:tcW w:type="dxa" w:w="3500"/>
            <w:tcMar>
              <w:top w:type="dxa" w:w="80"/>
              <w:left w:type="dxa" w:w="100"/>
              <w:bottom w:type="dxa" w:w="80"/>
              <w:right w:type="dxa" w:w="100"/>
            </w:tcMar>
          </w:tcPr>
          <w:p>
            <w:r>
              <w:rPr>
                <w:b w:val="false"/>
                <w:bCs w:val="false"/>
                <w:color w:val="1A2332"/>
                <w:sz w:val="19"/>
                <w:szCs w:val="19"/>
              </w:rPr>
              <w:t xml:space="preserve">Auto-deploy from GitHub</w:t>
            </w:r>
          </w:p>
        </w:tc>
      </w:tr>
    </w:tbl>
    <w:p>
      <w:pPr>
        <w:spacing w:after="160"/>
      </w:pPr>
      <w:r>
        <w:rPr>
          <w:sz w:val="21"/>
          <w:szCs w:val="21"/>
        </w:rPr>
        <w:t xml:space="preserve"/>
      </w:r>
    </w:p>
    <w:p>
      <w:pPr>
        <w:spacing w:after="160"/>
      </w:pPr>
      <w:r>
        <w:rPr>
          <w:sz w:val="21"/>
          <w:szCs w:val="21"/>
        </w:rPr>
        <w:t xml:space="preserve">Note on authentication: the original brief specified an “access” table checked against user ID, email, and password. The live schema stores bcrypt password hashes directly on employee_accounts rather than using Supabase's managed Auth users, so the implementation authenticates by comparing bcrypt hashes server-side and issuing its own signed session cookie, rather than delegating to supabase.auth. This was a deliberate adaptation to the real data model rather than a deviation from the brief's intent.</w:t>
      </w:r>
    </w:p>
    <w:p>
      <w:pPr>
        <w:pStyle w:val="Heading1"/>
        <w:spacing w:after="160" w:before="360"/>
      </w:pPr>
      <w:r>
        <w:rPr>
          <w:b/>
          <w:bCs/>
          <w:color w:val="1A2332"/>
          <w:sz w:val="30"/>
          <w:szCs w:val="30"/>
        </w:rPr>
        <w:t xml:space="preserve">4. System Architecture and Routing</w:t>
      </w:r>
    </w:p>
    <w:p>
      <w:pPr>
        <w:spacing w:after="160"/>
      </w:pPr>
      <w:r>
        <w:rPr>
          <w:sz w:val="21"/>
          <w:szCs w:val="21"/>
        </w:rPr>
        <w:t xml:space="preserve">Routing follows the brief's specification exactly: a single login page resolves the user's role and redirects into one of four role-scoped route trees, each independently guarded server-side.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50"/>
      </w:tblGrid>
      <w:tr>
        <w:trPr>
          <w:tblHeader/>
        </w:trPr>
        <w:tc>
          <w:tcPr>
            <w:tcW w:type="dxa" w:w="2400"/>
            <w:shd w:fill="1A2332" w:val="clear"/>
            <w:tcMar>
              <w:top w:type="dxa" w:w="80"/>
              <w:left w:type="dxa" w:w="100"/>
              <w:bottom w:type="dxa" w:w="80"/>
              <w:right w:type="dxa" w:w="100"/>
            </w:tcMar>
          </w:tcPr>
          <w:p>
            <w:r>
              <w:rPr>
                <w:b/>
                <w:bCs/>
                <w:color w:val="FFFFFF"/>
                <w:sz w:val="19"/>
                <w:szCs w:val="19"/>
              </w:rPr>
              <w:t xml:space="preserve">Route</w:t>
            </w:r>
          </w:p>
        </w:tc>
        <w:tc>
          <w:tcPr>
            <w:tcW w:type="dxa" w:w="1800"/>
            <w:shd w:fill="1A2332" w:val="clear"/>
            <w:tcMar>
              <w:top w:type="dxa" w:w="80"/>
              <w:left w:type="dxa" w:w="100"/>
              <w:bottom w:type="dxa" w:w="80"/>
              <w:right w:type="dxa" w:w="100"/>
            </w:tcMar>
          </w:tcPr>
          <w:p>
            <w:r>
              <w:rPr>
                <w:b/>
                <w:bCs/>
                <w:color w:val="FFFFFF"/>
                <w:sz w:val="19"/>
                <w:szCs w:val="19"/>
              </w:rPr>
              <w:t xml:space="preserve">Role</w:t>
            </w:r>
          </w:p>
        </w:tc>
        <w:tc>
          <w:tcPr>
            <w:tcW w:type="dxa" w:w="5150"/>
            <w:shd w:fill="1A2332" w:val="clear"/>
            <w:tcMar>
              <w:top w:type="dxa" w:w="80"/>
              <w:left w:type="dxa" w:w="100"/>
              <w:bottom w:type="dxa" w:w="80"/>
              <w:right w:type="dxa" w:w="100"/>
            </w:tcMar>
          </w:tcPr>
          <w:p>
            <w:r>
              <w:rPr>
                <w:b/>
                <w:bCs/>
                <w:color w:val="FFFFFF"/>
                <w:sz w:val="19"/>
                <w:szCs w:val="19"/>
              </w:rPr>
              <w:t xml:space="preserve">Scope enforced</w:t>
            </w:r>
          </w:p>
        </w:tc>
      </w:tr>
      <w:tr>
        <w:tc>
          <w:tcPr>
            <w:tcW w:type="dxa" w:w="2400"/>
            <w:tcMar>
              <w:top w:type="dxa" w:w="80"/>
              <w:left w:type="dxa" w:w="100"/>
              <w:bottom w:type="dxa" w:w="80"/>
              <w:right w:type="dxa" w:w="100"/>
            </w:tcMar>
          </w:tcPr>
          <w:p>
            <w:r>
              <w:rPr>
                <w:b w:val="false"/>
                <w:bCs w:val="false"/>
                <w:color w:val="1A2332"/>
                <w:sz w:val="19"/>
                <w:szCs w:val="19"/>
              </w:rPr>
              <w:t xml:space="preserve">/ceo</w:t>
            </w:r>
          </w:p>
        </w:tc>
        <w:tc>
          <w:tcPr>
            <w:tcW w:type="dxa" w:w="1800"/>
            <w:tcMar>
              <w:top w:type="dxa" w:w="80"/>
              <w:left w:type="dxa" w:w="100"/>
              <w:bottom w:type="dxa" w:w="80"/>
              <w:right w:type="dxa" w:w="100"/>
            </w:tcMar>
          </w:tcPr>
          <w:p>
            <w:r>
              <w:rPr>
                <w:b w:val="false"/>
                <w:bCs w:val="false"/>
                <w:color w:val="1A2332"/>
                <w:sz w:val="19"/>
                <w:szCs w:val="19"/>
              </w:rPr>
              <w:t xml:space="preserve">CEO</w:t>
            </w:r>
          </w:p>
        </w:tc>
        <w:tc>
          <w:tcPr>
            <w:tcW w:type="dxa" w:w="5150"/>
            <w:tcMar>
              <w:top w:type="dxa" w:w="80"/>
              <w:left w:type="dxa" w:w="100"/>
              <w:bottom w:type="dxa" w:w="80"/>
              <w:right w:type="dxa" w:w="100"/>
            </w:tcMar>
          </w:tcPr>
          <w:p>
            <w:r>
              <w:rPr>
                <w:b w:val="false"/>
                <w:bCs w:val="false"/>
                <w:color w:val="1A2332"/>
                <w:sz w:val="19"/>
                <w:szCs w:val="19"/>
              </w:rPr>
              <w:t xml:space="preserve">Full company-wide data, no restriction</w:t>
            </w:r>
          </w:p>
        </w:tc>
      </w:tr>
      <w:tr>
        <w:tc>
          <w:tcPr>
            <w:tcW w:type="dxa" w:w="2400"/>
            <w:shd w:fill="F5F7FA" w:val="clear"/>
            <w:tcMar>
              <w:top w:type="dxa" w:w="80"/>
              <w:left w:type="dxa" w:w="100"/>
              <w:bottom w:type="dxa" w:w="80"/>
              <w:right w:type="dxa" w:w="100"/>
            </w:tcMar>
          </w:tcPr>
          <w:p>
            <w:r>
              <w:rPr>
                <w:b w:val="false"/>
                <w:bCs w:val="false"/>
                <w:color w:val="1A2332"/>
                <w:sz w:val="19"/>
                <w:szCs w:val="19"/>
              </w:rPr>
              <w:t xml:space="preserve">/manage/[slug]</w:t>
            </w:r>
          </w:p>
        </w:tc>
        <w:tc>
          <w:tcPr>
            <w:tcW w:type="dxa" w:w="1800"/>
            <w:shd w:fill="F5F7FA" w:val="clear"/>
            <w:tcMar>
              <w:top w:type="dxa" w:w="80"/>
              <w:left w:type="dxa" w:w="100"/>
              <w:bottom w:type="dxa" w:w="80"/>
              <w:right w:type="dxa" w:w="100"/>
            </w:tcMar>
          </w:tcPr>
          <w:p>
            <w:r>
              <w:rPr>
                <w:b w:val="false"/>
                <w:bCs w:val="false"/>
                <w:color w:val="1A2332"/>
                <w:sz w:val="19"/>
                <w:szCs w:val="19"/>
              </w:rPr>
              <w:t xml:space="preserve">Manager</w:t>
            </w:r>
          </w:p>
        </w:tc>
        <w:tc>
          <w:tcPr>
            <w:tcW w:type="dxa" w:w="5150"/>
            <w:shd w:fill="F5F7FA" w:val="clear"/>
            <w:tcMar>
              <w:top w:type="dxa" w:w="80"/>
              <w:left w:type="dxa" w:w="100"/>
              <w:bottom w:type="dxa" w:w="80"/>
              <w:right w:type="dxa" w:w="100"/>
            </w:tcMar>
          </w:tcPr>
          <w:p>
            <w:r>
              <w:rPr>
                <w:b w:val="false"/>
                <w:bCs w:val="false"/>
                <w:color w:val="1A2332"/>
                <w:sz w:val="19"/>
                <w:szCs w:val="19"/>
              </w:rPr>
              <w:t xml:space="preserve">Own department only — slug is server-verified against the session, not trusted from the URL</w:t>
            </w:r>
          </w:p>
        </w:tc>
      </w:tr>
      <w:tr>
        <w:tc>
          <w:tcPr>
            <w:tcW w:type="dxa" w:w="2400"/>
            <w:tcMar>
              <w:top w:type="dxa" w:w="80"/>
              <w:left w:type="dxa" w:w="100"/>
              <w:bottom w:type="dxa" w:w="80"/>
              <w:right w:type="dxa" w:w="100"/>
            </w:tcMar>
          </w:tcPr>
          <w:p>
            <w:r>
              <w:rPr>
                <w:b w:val="false"/>
                <w:bCs w:val="false"/>
                <w:color w:val="1A2332"/>
                <w:sz w:val="19"/>
                <w:szCs w:val="19"/>
              </w:rPr>
              <w:t xml:space="preserve">/employee/[slug]</w:t>
            </w:r>
          </w:p>
        </w:tc>
        <w:tc>
          <w:tcPr>
            <w:tcW w:type="dxa" w:w="1800"/>
            <w:tcMar>
              <w:top w:type="dxa" w:w="80"/>
              <w:left w:type="dxa" w:w="100"/>
              <w:bottom w:type="dxa" w:w="80"/>
              <w:right w:type="dxa" w:w="100"/>
            </w:tcMar>
          </w:tcPr>
          <w:p>
            <w:r>
              <w:rPr>
                <w:b w:val="false"/>
                <w:bCs w:val="false"/>
                <w:color w:val="1A2332"/>
                <w:sz w:val="19"/>
                <w:szCs w:val="19"/>
              </w:rPr>
              <w:t xml:space="preserve">Employee</w:t>
            </w:r>
          </w:p>
        </w:tc>
        <w:tc>
          <w:tcPr>
            <w:tcW w:type="dxa" w:w="5150"/>
            <w:tcMar>
              <w:top w:type="dxa" w:w="80"/>
              <w:left w:type="dxa" w:w="100"/>
              <w:bottom w:type="dxa" w:w="80"/>
              <w:right w:type="dxa" w:w="100"/>
            </w:tcMar>
          </w:tcPr>
          <w:p>
            <w:r>
              <w:rPr>
                <w:b w:val="false"/>
                <w:bCs w:val="false"/>
                <w:color w:val="1A2332"/>
                <w:sz w:val="19"/>
                <w:szCs w:val="19"/>
              </w:rPr>
              <w:t xml:space="preserve">Own record only — same server-side ownership check</w:t>
            </w:r>
          </w:p>
        </w:tc>
      </w:tr>
      <w:tr>
        <w:tc>
          <w:tcPr>
            <w:tcW w:type="dxa" w:w="2400"/>
            <w:shd w:fill="F5F7FA" w:val="clear"/>
            <w:tcMar>
              <w:top w:type="dxa" w:w="80"/>
              <w:left w:type="dxa" w:w="100"/>
              <w:bottom w:type="dxa" w:w="80"/>
              <w:right w:type="dxa" w:w="100"/>
            </w:tcMar>
          </w:tcPr>
          <w:p>
            <w:r>
              <w:rPr>
                <w:b w:val="false"/>
                <w:bCs w:val="false"/>
                <w:color w:val="1A2332"/>
                <w:sz w:val="19"/>
                <w:szCs w:val="19"/>
              </w:rPr>
              <w:t xml:space="preserve">/test/[slug]</w:t>
            </w:r>
          </w:p>
        </w:tc>
        <w:tc>
          <w:tcPr>
            <w:tcW w:type="dxa" w:w="1800"/>
            <w:shd w:fill="F5F7FA" w:val="clear"/>
            <w:tcMar>
              <w:top w:type="dxa" w:w="80"/>
              <w:left w:type="dxa" w:w="100"/>
              <w:bottom w:type="dxa" w:w="80"/>
              <w:right w:type="dxa" w:w="100"/>
            </w:tcMar>
          </w:tcPr>
          <w:p>
            <w:r>
              <w:rPr>
                <w:b w:val="false"/>
                <w:bCs w:val="false"/>
                <w:color w:val="1A2332"/>
                <w:sz w:val="19"/>
                <w:szCs w:val="19"/>
              </w:rPr>
              <w:t xml:space="preserve">Tester</w:t>
            </w:r>
          </w:p>
        </w:tc>
        <w:tc>
          <w:tcPr>
            <w:tcW w:type="dxa" w:w="5150"/>
            <w:shd w:fill="F5F7FA" w:val="clear"/>
            <w:tcMar>
              <w:top w:type="dxa" w:w="80"/>
              <w:left w:type="dxa" w:w="100"/>
              <w:bottom w:type="dxa" w:w="80"/>
              <w:right w:type="dxa" w:w="100"/>
            </w:tcMar>
          </w:tcPr>
          <w:p>
            <w:r>
              <w:rPr>
                <w:b w:val="false"/>
                <w:bCs w:val="false"/>
                <w:color w:val="1A2332"/>
                <w:sz w:val="19"/>
                <w:szCs w:val="19"/>
              </w:rPr>
              <w:t xml:space="preserve">Any of the three views above, selected via an in-app picker</w:t>
            </w:r>
          </w:p>
        </w:tc>
      </w:tr>
      <w:tr>
        <w:tc>
          <w:tcPr>
            <w:tcW w:type="dxa" w:w="2400"/>
            <w:tcMar>
              <w:top w:type="dxa" w:w="80"/>
              <w:left w:type="dxa" w:w="100"/>
              <w:bottom w:type="dxa" w:w="80"/>
              <w:right w:type="dxa" w:w="100"/>
            </w:tcMar>
          </w:tcPr>
          <w:p>
            <w:r>
              <w:rPr>
                <w:b w:val="false"/>
                <w:bCs w:val="false"/>
                <w:color w:val="1A2332"/>
                <w:sz w:val="19"/>
                <w:szCs w:val="19"/>
              </w:rPr>
              <w:t xml:space="preserve">/about</w:t>
            </w:r>
          </w:p>
        </w:tc>
        <w:tc>
          <w:tcPr>
            <w:tcW w:type="dxa" w:w="1800"/>
            <w:tcMar>
              <w:top w:type="dxa" w:w="80"/>
              <w:left w:type="dxa" w:w="100"/>
              <w:bottom w:type="dxa" w:w="80"/>
              <w:right w:type="dxa" w:w="100"/>
            </w:tcMar>
          </w:tcPr>
          <w:p>
            <w:r>
              <w:rPr>
                <w:b w:val="false"/>
                <w:bCs w:val="false"/>
                <w:color w:val="1A2332"/>
                <w:sz w:val="19"/>
                <w:szCs w:val="19"/>
              </w:rPr>
              <w:t xml:space="preserve">Public</w:t>
            </w:r>
          </w:p>
        </w:tc>
        <w:tc>
          <w:tcPr>
            <w:tcW w:type="dxa" w:w="5150"/>
            <w:tcMar>
              <w:top w:type="dxa" w:w="80"/>
              <w:left w:type="dxa" w:w="100"/>
              <w:bottom w:type="dxa" w:w="80"/>
              <w:right w:type="dxa" w:w="100"/>
            </w:tcMar>
          </w:tcPr>
          <w:p>
            <w:r>
              <w:rPr>
                <w:b w:val="false"/>
                <w:bCs w:val="false"/>
                <w:color w:val="1A2332"/>
                <w:sz w:val="19"/>
                <w:szCs w:val="19"/>
              </w:rPr>
              <w:t xml:space="preserve">No authentication required</w:t>
            </w:r>
          </w:p>
        </w:tc>
      </w:tr>
    </w:tbl>
    <w:p>
      <w:pPr>
        <w:spacing w:after="160"/>
      </w:pPr>
      <w:r>
        <w:rPr>
          <w:sz w:val="21"/>
          <w:szCs w:val="21"/>
        </w:rPr>
        <w:t xml:space="preserve"/>
      </w:r>
    </w:p>
    <w:p>
      <w:pPr>
        <w:spacing w:after="160"/>
      </w:pPr>
      <w:r>
        <w:rPr>
          <w:sz w:val="21"/>
          <w:szCs w:val="21"/>
        </w:rPr>
        <w:t xml:space="preserve">A key security property implemented beyond the brief's literal text: both /manage/[slug] and /employee/[slug] verify server-side that the requested slug actually belongs to the logged-in session before rendering any data — a Manager cannot view another department's dashboard, and an Employee cannot view another employee's dashboard, by editing the URL.</w:t>
      </w:r>
    </w:p>
    <w:p>
      <w:pPr>
        <w:pStyle w:val="Heading1"/>
        <w:spacing w:after="160" w:before="360"/>
      </w:pPr>
      <w:r>
        <w:rPr>
          <w:b/>
          <w:bCs/>
          <w:color w:val="1A2332"/>
          <w:sz w:val="30"/>
          <w:szCs w:val="30"/>
        </w:rPr>
        <w:t xml:space="preserve">5. Development Process — Version 1</w:t>
      </w:r>
    </w:p>
    <w:p>
      <w:pPr>
        <w:spacing w:after="160"/>
      </w:pPr>
      <w:r>
        <w:rPr>
          <w:sz w:val="21"/>
          <w:szCs w:val="21"/>
        </w:rPr>
        <w:t xml:space="preserve">Given the combined scope (authentication, role routing, three dashboard tiers, roughly forty specified chart types, and a live Supabase schema), the build was deliberately split into five reviewable phases rather than attempted as one pass.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2650"/>
        <w:gridCol w:w="4950"/>
      </w:tblGrid>
      <w:tr>
        <w:trPr>
          <w:tblHeader/>
        </w:trPr>
        <w:tc>
          <w:tcPr>
            <w:tcW w:type="dxa" w:w="1750"/>
            <w:shd w:fill="1A2332" w:val="clear"/>
            <w:tcMar>
              <w:top w:type="dxa" w:w="80"/>
              <w:left w:type="dxa" w:w="100"/>
              <w:bottom w:type="dxa" w:w="80"/>
              <w:right w:type="dxa" w:w="100"/>
            </w:tcMar>
          </w:tcPr>
          <w:p>
            <w:r>
              <w:rPr>
                <w:b/>
                <w:bCs/>
                <w:color w:val="FFFFFF"/>
                <w:sz w:val="19"/>
                <w:szCs w:val="19"/>
              </w:rPr>
              <w:t xml:space="preserve">Phase</w:t>
            </w:r>
          </w:p>
        </w:tc>
        <w:tc>
          <w:tcPr>
            <w:tcW w:type="dxa" w:w="2650"/>
            <w:shd w:fill="1A2332" w:val="clear"/>
            <w:tcMar>
              <w:top w:type="dxa" w:w="80"/>
              <w:left w:type="dxa" w:w="100"/>
              <w:bottom w:type="dxa" w:w="80"/>
              <w:right w:type="dxa" w:w="100"/>
            </w:tcMar>
          </w:tcPr>
          <w:p>
            <w:r>
              <w:rPr>
                <w:b/>
                <w:bCs/>
                <w:color w:val="FFFFFF"/>
                <w:sz w:val="19"/>
                <w:szCs w:val="19"/>
              </w:rPr>
              <w:t xml:space="preserve">Deliverable</w:t>
            </w:r>
          </w:p>
        </w:tc>
        <w:tc>
          <w:tcPr>
            <w:tcW w:type="dxa" w:w="4950"/>
            <w:shd w:fill="1A2332" w:val="clear"/>
            <w:tcMar>
              <w:top w:type="dxa" w:w="80"/>
              <w:left w:type="dxa" w:w="100"/>
              <w:bottom w:type="dxa" w:w="80"/>
              <w:right w:type="dxa" w:w="100"/>
            </w:tcMar>
          </w:tcPr>
          <w:p>
            <w:r>
              <w:rPr>
                <w:b/>
                <w:bCs/>
                <w:color w:val="FFFFFF"/>
                <w:sz w:val="19"/>
                <w:szCs w:val="19"/>
              </w:rPr>
              <w:t xml:space="preserve">Key outcomes</w:t>
            </w:r>
          </w:p>
        </w:tc>
      </w:tr>
      <w:tr>
        <w:tc>
          <w:tcPr>
            <w:tcW w:type="dxa" w:w="1750"/>
            <w:tcMar>
              <w:top w:type="dxa" w:w="80"/>
              <w:left w:type="dxa" w:w="100"/>
              <w:bottom w:type="dxa" w:w="80"/>
              <w:right w:type="dxa" w:w="100"/>
            </w:tcMar>
          </w:tcPr>
          <w:p>
            <w:r>
              <w:rPr>
                <w:b w:val="false"/>
                <w:bCs w:val="false"/>
                <w:color w:val="1A2332"/>
                <w:sz w:val="19"/>
                <w:szCs w:val="19"/>
              </w:rPr>
              <w:t xml:space="preserve">1 — Foundation</w:t>
            </w:r>
          </w:p>
        </w:tc>
        <w:tc>
          <w:tcPr>
            <w:tcW w:type="dxa" w:w="2650"/>
            <w:tcMar>
              <w:top w:type="dxa" w:w="80"/>
              <w:left w:type="dxa" w:w="100"/>
              <w:bottom w:type="dxa" w:w="80"/>
              <w:right w:type="dxa" w:w="100"/>
            </w:tcMar>
          </w:tcPr>
          <w:p>
            <w:r>
              <w:rPr>
                <w:b w:val="false"/>
                <w:bCs w:val="false"/>
                <w:color w:val="1A2332"/>
                <w:sz w:val="19"/>
                <w:szCs w:val="19"/>
              </w:rPr>
              <w:t xml:space="preserve">Project scaffold, design tokens, schema, login</w:t>
            </w:r>
          </w:p>
        </w:tc>
        <w:tc>
          <w:tcPr>
            <w:tcW w:type="dxa" w:w="4950"/>
            <w:tcMar>
              <w:top w:type="dxa" w:w="80"/>
              <w:left w:type="dxa" w:w="100"/>
              <w:bottom w:type="dxa" w:w="80"/>
              <w:right w:type="dxa" w:w="100"/>
            </w:tcMar>
          </w:tcPr>
          <w:p>
            <w:r>
              <w:rPr>
                <w:b w:val="false"/>
                <w:bCs w:val="false"/>
                <w:color w:val="1A2332"/>
                <w:sz w:val="19"/>
                <w:szCs w:val="19"/>
              </w:rPr>
              <w:t xml:space="preserve">Next.js + Tailwind scaffold; Supabase client setup; login form; stub role pages</w:t>
            </w:r>
          </w:p>
        </w:tc>
      </w:tr>
      <w:tr>
        <w:tc>
          <w:tcPr>
            <w:tcW w:type="dxa" w:w="1750"/>
            <w:shd w:fill="F5F7FA" w:val="clear"/>
            <w:tcMar>
              <w:top w:type="dxa" w:w="80"/>
              <w:left w:type="dxa" w:w="100"/>
              <w:bottom w:type="dxa" w:w="80"/>
              <w:right w:type="dxa" w:w="100"/>
            </w:tcMar>
          </w:tcPr>
          <w:p>
            <w:r>
              <w:rPr>
                <w:b w:val="false"/>
                <w:bCs w:val="false"/>
                <w:color w:val="1A2332"/>
                <w:sz w:val="19"/>
                <w:szCs w:val="19"/>
              </w:rPr>
              <w:t xml:space="preserve">2 — Role Routing</w:t>
            </w:r>
          </w:p>
        </w:tc>
        <w:tc>
          <w:tcPr>
            <w:tcW w:type="dxa" w:w="2650"/>
            <w:shd w:fill="F5F7FA" w:val="clear"/>
            <w:tcMar>
              <w:top w:type="dxa" w:w="80"/>
              <w:left w:type="dxa" w:w="100"/>
              <w:bottom w:type="dxa" w:w="80"/>
              <w:right w:type="dxa" w:w="100"/>
            </w:tcMar>
          </w:tcPr>
          <w:p>
            <w:r>
              <w:rPr>
                <w:b w:val="false"/>
                <w:bCs w:val="false"/>
                <w:color w:val="1A2332"/>
                <w:sz w:val="19"/>
                <w:szCs w:val="19"/>
              </w:rPr>
              <w:t xml:space="preserve">Guarded routes, session handling</w:t>
            </w:r>
          </w:p>
        </w:tc>
        <w:tc>
          <w:tcPr>
            <w:tcW w:type="dxa" w:w="4950"/>
            <w:shd w:fill="F5F7FA" w:val="clear"/>
            <w:tcMar>
              <w:top w:type="dxa" w:w="80"/>
              <w:left w:type="dxa" w:w="100"/>
              <w:bottom w:type="dxa" w:w="80"/>
              <w:right w:type="dxa" w:w="100"/>
            </w:tcMar>
          </w:tcPr>
          <w:p>
            <w:r>
              <w:rPr>
                <w:b w:val="false"/>
                <w:bCs w:val="false"/>
                <w:color w:val="1A2332"/>
                <w:sz w:val="19"/>
                <w:szCs w:val="19"/>
              </w:rPr>
              <w:t xml:space="preserve">Custom JWT session (adapted from the original Supabase-Auth assumption once the live schema was confirmed); ownership guards on Manager/Employee routes</w:t>
            </w:r>
          </w:p>
        </w:tc>
      </w:tr>
      <w:tr>
        <w:tc>
          <w:tcPr>
            <w:tcW w:type="dxa" w:w="1750"/>
            <w:tcMar>
              <w:top w:type="dxa" w:w="80"/>
              <w:left w:type="dxa" w:w="100"/>
              <w:bottom w:type="dxa" w:w="80"/>
              <w:right w:type="dxa" w:w="100"/>
            </w:tcMar>
          </w:tcPr>
          <w:p>
            <w:r>
              <w:rPr>
                <w:b w:val="false"/>
                <w:bCs w:val="false"/>
                <w:color w:val="1A2332"/>
                <w:sz w:val="19"/>
                <w:szCs w:val="19"/>
              </w:rPr>
              <w:t xml:space="preserve">3 — CEO Dashboard</w:t>
            </w:r>
          </w:p>
        </w:tc>
        <w:tc>
          <w:tcPr>
            <w:tcW w:type="dxa" w:w="2650"/>
            <w:tcMar>
              <w:top w:type="dxa" w:w="80"/>
              <w:left w:type="dxa" w:w="100"/>
              <w:bottom w:type="dxa" w:w="80"/>
              <w:right w:type="dxa" w:w="100"/>
            </w:tcMar>
          </w:tcPr>
          <w:p>
            <w:r>
              <w:rPr>
                <w:b w:val="false"/>
                <w:bCs w:val="false"/>
                <w:color w:val="1A2332"/>
                <w:sz w:val="19"/>
                <w:szCs w:val="19"/>
              </w:rPr>
              <w:t xml:space="preserve">First real, data-backed dashboard</w:t>
            </w:r>
          </w:p>
        </w:tc>
        <w:tc>
          <w:tcPr>
            <w:tcW w:type="dxa" w:w="4950"/>
            <w:tcMar>
              <w:top w:type="dxa" w:w="80"/>
              <w:left w:type="dxa" w:w="100"/>
              <w:bottom w:type="dxa" w:w="80"/>
              <w:right w:type="dxa" w:w="100"/>
            </w:tcMar>
          </w:tcPr>
          <w:p>
            <w:r>
              <w:rPr>
                <w:b w:val="false"/>
                <w:bCs w:val="false"/>
                <w:color w:val="1A2332"/>
                <w:sz w:val="19"/>
                <w:szCs w:val="19"/>
              </w:rPr>
              <w:t xml:space="preserve">KPI cards and department ranking computed via a Postgres SQL function rather than client-side aggregation, for performance</w:t>
            </w:r>
          </w:p>
        </w:tc>
      </w:tr>
      <w:tr>
        <w:tc>
          <w:tcPr>
            <w:tcW w:type="dxa" w:w="1750"/>
            <w:shd w:fill="F5F7FA" w:val="clear"/>
            <w:tcMar>
              <w:top w:type="dxa" w:w="80"/>
              <w:left w:type="dxa" w:w="100"/>
              <w:bottom w:type="dxa" w:w="80"/>
              <w:right w:type="dxa" w:w="100"/>
            </w:tcMar>
          </w:tcPr>
          <w:p>
            <w:r>
              <w:rPr>
                <w:b w:val="false"/>
                <w:bCs w:val="false"/>
                <w:color w:val="1A2332"/>
                <w:sz w:val="19"/>
                <w:szCs w:val="19"/>
              </w:rPr>
              <w:t xml:space="preserve">4 — Manager + Employee + Tester</w:t>
            </w:r>
          </w:p>
        </w:tc>
        <w:tc>
          <w:tcPr>
            <w:tcW w:type="dxa" w:w="2650"/>
            <w:shd w:fill="F5F7FA" w:val="clear"/>
            <w:tcMar>
              <w:top w:type="dxa" w:w="80"/>
              <w:left w:type="dxa" w:w="100"/>
              <w:bottom w:type="dxa" w:w="80"/>
              <w:right w:type="dxa" w:w="100"/>
            </w:tcMar>
          </w:tcPr>
          <w:p>
            <w:r>
              <w:rPr>
                <w:b w:val="false"/>
                <w:bCs w:val="false"/>
                <w:color w:val="1A2332"/>
                <w:sz w:val="19"/>
                <w:szCs w:val="19"/>
              </w:rPr>
              <w:t xml:space="preserve">Remaining three dashboard tiers</w:t>
            </w:r>
          </w:p>
        </w:tc>
        <w:tc>
          <w:tcPr>
            <w:tcW w:type="dxa" w:w="4950"/>
            <w:shd w:fill="F5F7FA" w:val="clear"/>
            <w:tcMar>
              <w:top w:type="dxa" w:w="80"/>
              <w:left w:type="dxa" w:w="100"/>
              <w:bottom w:type="dxa" w:w="80"/>
              <w:right w:type="dxa" w:w="100"/>
            </w:tcMar>
          </w:tcPr>
          <w:p>
            <w:r>
              <w:rPr>
                <w:b w:val="false"/>
                <w:bCs w:val="false"/>
                <w:color w:val="1A2332"/>
                <w:sz w:val="19"/>
                <w:szCs w:val="19"/>
              </w:rPr>
              <w:t xml:space="preserve">Department- and individual-scoped SQL functions; Tester simulation mode with department/employee pickers</w:t>
            </w:r>
          </w:p>
        </w:tc>
      </w:tr>
      <w:tr>
        <w:tc>
          <w:tcPr>
            <w:tcW w:type="dxa" w:w="1750"/>
            <w:tcMar>
              <w:top w:type="dxa" w:w="80"/>
              <w:left w:type="dxa" w:w="100"/>
              <w:bottom w:type="dxa" w:w="80"/>
              <w:right w:type="dxa" w:w="100"/>
            </w:tcMar>
          </w:tcPr>
          <w:p>
            <w:r>
              <w:rPr>
                <w:b w:val="false"/>
                <w:bCs w:val="false"/>
                <w:color w:val="1A2332"/>
                <w:sz w:val="19"/>
                <w:szCs w:val="19"/>
              </w:rPr>
              <w:t xml:space="preserve">5 — QA &amp; Hardening</w:t>
            </w:r>
          </w:p>
        </w:tc>
        <w:tc>
          <w:tcPr>
            <w:tcW w:type="dxa" w:w="2650"/>
            <w:tcMar>
              <w:top w:type="dxa" w:w="80"/>
              <w:left w:type="dxa" w:w="100"/>
              <w:bottom w:type="dxa" w:w="80"/>
              <w:right w:type="dxa" w:w="100"/>
            </w:tcMar>
          </w:tcPr>
          <w:p>
            <w:r>
              <w:rPr>
                <w:b w:val="false"/>
                <w:bCs w:val="false"/>
                <w:color w:val="1A2332"/>
                <w:sz w:val="19"/>
                <w:szCs w:val="19"/>
              </w:rPr>
              <w:t xml:space="preserve">Production-readiness pass</w:t>
            </w:r>
          </w:p>
        </w:tc>
        <w:tc>
          <w:tcPr>
            <w:tcW w:type="dxa" w:w="4950"/>
            <w:tcMar>
              <w:top w:type="dxa" w:w="80"/>
              <w:left w:type="dxa" w:w="100"/>
              <w:bottom w:type="dxa" w:w="80"/>
              <w:right w:type="dxa" w:w="100"/>
            </w:tcMar>
          </w:tcPr>
          <w:p>
            <w:r>
              <w:rPr>
                <w:b w:val="false"/>
                <w:bCs w:val="false"/>
                <w:color w:val="1A2332"/>
                <w:sz w:val="19"/>
                <w:szCs w:val="19"/>
              </w:rPr>
              <w:t xml:space="preserve">Logout flow, login lockout after repeated failures, security headers, custom error/404 pages, robots.txt / sitemap.xml</w:t>
            </w:r>
          </w:p>
        </w:tc>
      </w:tr>
    </w:tbl>
    <w:p>
      <w:pPr>
        <w:pStyle w:val="Heading1"/>
        <w:spacing w:after="160" w:before="360"/>
      </w:pPr>
      <w:r>
        <w:rPr>
          <w:b/>
          <w:bCs/>
          <w:color w:val="1A2332"/>
          <w:sz w:val="30"/>
          <w:szCs w:val="30"/>
        </w:rPr>
        <w:t xml:space="preserve">6. Key Engineering Challenges and Resolutions</w:t>
      </w:r>
    </w:p>
    <w:p>
      <w:pPr>
        <w:spacing w:after="160"/>
      </w:pPr>
      <w:r>
        <w:rPr>
          <w:sz w:val="21"/>
          <w:szCs w:val="21"/>
        </w:rPr>
        <w:t xml:space="preserve">The most significant challenges were not in the application code itself but in reconciling the specification documents against the live database, which had drifted from the originally documented schema by the time development began. Each is recorded here because the resolution required diagnosis, not just implementation.</w:t>
      </w:r>
    </w:p>
    <w:p>
      <w:pPr>
        <w:pStyle w:val="Heading2"/>
        <w:spacing w:after="120" w:before="280"/>
      </w:pPr>
      <w:r>
        <w:rPr>
          <w:b/>
          <w:bCs/>
          <w:color w:val="1A2332"/>
          <w:sz w:val="24"/>
          <w:szCs w:val="24"/>
        </w:rPr>
        <w:t xml:space="preserve">6.1 Schema drift between specification and live database</w:t>
      </w:r>
    </w:p>
    <w:p>
      <w:pPr>
        <w:spacing w:after="160"/>
      </w:pPr>
      <w:r>
        <w:rPr>
          <w:sz w:val="21"/>
          <w:szCs w:val="21"/>
        </w:rPr>
        <w:t xml:space="preserve">The employee_accounts table in production had no auth_user_id column and stored password hashes directly, rather than delegating to Supabase Auth as first assumed. Similarly, the employees table had no first_name/last_name columns despite the UI code initially assuming them — the real identifying fields were employee_code and job_title. Both were caught by querying information_schema.columns directly against the live database rather than trusting the specification documents, and the application code was corrected to match reality.</w:t>
      </w:r>
    </w:p>
    <w:p>
      <w:pPr>
        <w:pStyle w:val="Heading2"/>
        <w:spacing w:after="120" w:before="280"/>
      </w:pPr>
      <w:r>
        <w:rPr>
          <w:b/>
          <w:bCs/>
          <w:color w:val="1A2332"/>
          <w:sz w:val="24"/>
          <w:szCs w:val="24"/>
        </w:rPr>
        <w:t xml:space="preserve">6.2 A row-multiplication (“fan-out”) bug in dashboard aggregation</w:t>
      </w:r>
    </w:p>
    <w:p>
      <w:pPr>
        <w:spacing w:after="160"/>
      </w:pPr>
      <w:r>
        <w:rPr>
          <w:sz w:val="21"/>
          <w:szCs w:val="21"/>
        </w:rPr>
        <w:t xml:space="preserve">The Manager dashboard initially reported implausible totals (for example, over 11,000 employees in a single department). Root cause: employee_metrics contained more than one row per employee, and the SQL join used to compute KPIs multiplied every count and sum by that duplication factor. This also explained a second, related defect — the Performance Rating and Work-Life Balance charts showing identical numbers — since both were scaled by the same fan-out factor. The fix forces exactly one (most-recently-updated) metrics row per employee via a DISTINCT ON subquery before any aggregation runs, applied uniformly across all three dashboard-overview SQL functions.</w:t>
      </w:r>
    </w:p>
    <w:p>
      <w:pPr>
        <w:pStyle w:val="Heading2"/>
        <w:spacing w:after="120" w:before="280"/>
      </w:pPr>
      <w:r>
        <w:rPr>
          <w:b/>
          <w:bCs/>
          <w:color w:val="1A2332"/>
          <w:sz w:val="24"/>
          <w:szCs w:val="24"/>
        </w:rPr>
        <w:t xml:space="preserve">6.3 Deployment/database synchronisation</w:t>
      </w:r>
    </w:p>
    <w:p>
      <w:pPr>
        <w:spacing w:after="160"/>
      </w:pPr>
      <w:r>
        <w:rPr>
          <w:sz w:val="21"/>
          <w:szCs w:val="21"/>
        </w:rPr>
        <w:t xml:space="preserve">Several defects traced back to SQL migration files being handed over but not yet executed against the live Supabase instance — the application code would then reference columns or functions that did not exist yet in production. This was resolved procedurally: every schema change is now delivered as a numbered, idempotent migration file alongside the code that depends on it, with an explicit instruction to run it before deploying.</w:t>
      </w:r>
    </w:p>
    <w:p>
      <w:pPr>
        <w:pStyle w:val="Heading2"/>
        <w:spacing w:after="120" w:before="280"/>
      </w:pPr>
      <w:r>
        <w:rPr>
          <w:b/>
          <w:bCs/>
          <w:color w:val="1A2332"/>
          <w:sz w:val="24"/>
          <w:szCs w:val="24"/>
        </w:rPr>
        <w:t xml:space="preserve">6.4 Service-role data access without Supabase Auth</w:t>
      </w:r>
    </w:p>
    <w:p>
      <w:pPr>
        <w:spacing w:after="160"/>
      </w:pPr>
      <w:r>
        <w:rPr>
          <w:sz w:val="21"/>
          <w:szCs w:val="21"/>
        </w:rPr>
        <w:t xml:space="preserve">Because authentication is handled by the application's own signed session rather than Supabase Auth, there is no auth.uid() context for Row Level Security to key off. Data access therefore uses the Supabase service-role client exclusively on the server, with authorisation enforced in application code (session role checks and ownership guards) rather than in RLS policies — a deliberate architectural trade-off documented at the point it was introduced.</w:t>
      </w:r>
    </w:p>
    <w:p>
      <w:pPr>
        <w:pStyle w:val="Heading1"/>
        <w:spacing w:after="160" w:before="360"/>
      </w:pPr>
      <w:r>
        <w:rPr>
          <w:b/>
          <w:bCs/>
          <w:color w:val="1A2332"/>
          <w:sz w:val="30"/>
          <w:szCs w:val="30"/>
        </w:rPr>
        <w:t xml:space="preserve">7. Version 2 — UI Redesign and Data-Integrity Fixes</w:t>
      </w:r>
    </w:p>
    <w:p>
      <w:pPr>
        <w:spacing w:after="160"/>
      </w:pPr>
      <w:r>
        <w:rPr>
          <w:sz w:val="21"/>
          <w:szCs w:val="21"/>
        </w:rPr>
        <w:t xml:space="preserve">Version 2 was scoped from a dedicated design specification produced after reviewing the live Version 1 UI, and combined a visual redesign with fixes to defects the new specification explicitly called out.</w:t>
      </w:r>
    </w:p>
    <w:p>
      <w:pPr>
        <w:pStyle w:val="Heading2"/>
        <w:spacing w:after="120" w:before="280"/>
      </w:pPr>
      <w:r>
        <w:rPr>
          <w:b/>
          <w:bCs/>
          <w:color w:val="1A2332"/>
          <w:sz w:val="24"/>
          <w:szCs w:val="24"/>
        </w:rPr>
        <w:t xml:space="preserve">7.1 Visual redesign</w:t>
      </w:r>
    </w:p>
    <w:p>
      <w:pPr>
        <w:pStyle w:val="ListParagraph"/>
        <w:numPr>
          <w:ilvl w:val="0"/>
          <w:numId w:val="2"/>
        </w:numPr>
        <w:spacing w:after="60"/>
      </w:pPr>
      <w:r>
        <w:rPr>
          <w:sz w:val="21"/>
          <w:szCs w:val="21"/>
        </w:rPr>
        <w:t xml:space="preserve">Fixed 256px sidebar navigation (replacing a plain top bar), role-aware nav links, active-state indicator.</w:t>
      </w:r>
    </w:p>
    <w:p>
      <w:pPr>
        <w:pStyle w:val="ListParagraph"/>
        <w:numPr>
          <w:ilvl w:val="0"/>
          <w:numId w:val="2"/>
        </w:numPr>
        <w:spacing w:after="60"/>
      </w:pPr>
      <w:r>
        <w:rPr>
          <w:sz w:val="21"/>
          <w:szCs w:val="21"/>
        </w:rPr>
        <w:t xml:space="preserve">Real chart rendering via Recharts (donut and bar charts) replacing hand-drawn div-based bars.</w:t>
      </w:r>
    </w:p>
    <w:p>
      <w:pPr>
        <w:pStyle w:val="ListParagraph"/>
        <w:numPr>
          <w:ilvl w:val="0"/>
          <w:numId w:val="2"/>
        </w:numPr>
        <w:spacing w:after="60"/>
      </w:pPr>
      <w:r>
        <w:rPr>
          <w:sz w:val="21"/>
          <w:szCs w:val="21"/>
        </w:rPr>
        <w:t xml:space="preserve">Consistent, semantic chart colour mapping (Performance = orange, Salary = blue, etc.) instead of arbitrary colours.</w:t>
      </w:r>
    </w:p>
    <w:p>
      <w:pPr>
        <w:pStyle w:val="ListParagraph"/>
        <w:numPr>
          <w:ilvl w:val="0"/>
          <w:numId w:val="2"/>
        </w:numPr>
        <w:spacing w:after="60"/>
      </w:pPr>
      <w:r>
        <w:rPr>
          <w:sz w:val="21"/>
          <w:szCs w:val="21"/>
        </w:rPr>
        <w:t xml:space="preserve">KPI cards redesigned with icons and hover states; employee table gained search, sorting, pagination, and CSV export.</w:t>
      </w:r>
    </w:p>
    <w:p>
      <w:pPr>
        <w:pStyle w:val="ListParagraph"/>
        <w:numPr>
          <w:ilvl w:val="0"/>
          <w:numId w:val="2"/>
        </w:numPr>
        <w:spacing w:after="60"/>
      </w:pPr>
      <w:r>
        <w:rPr>
          <w:sz w:val="21"/>
          <w:szCs w:val="21"/>
        </w:rPr>
        <w:t xml:space="preserve">CEO dashboard gained a working department filter, URL-driven and server-computed.</w:t>
      </w:r>
    </w:p>
    <w:p>
      <w:pPr>
        <w:pStyle w:val="ListParagraph"/>
        <w:numPr>
          <w:ilvl w:val="0"/>
          <w:numId w:val="2"/>
        </w:numPr>
        <w:spacing w:after="60"/>
      </w:pPr>
      <w:r>
        <w:rPr>
          <w:sz w:val="21"/>
          <w:szCs w:val="21"/>
        </w:rPr>
        <w:t xml:space="preserve">Custom application logo integrated as favicon, sidebar mark, and login/about branding.</w:t>
      </w:r>
    </w:p>
    <w:p>
      <w:pPr>
        <w:pStyle w:val="Heading2"/>
        <w:spacing w:after="120" w:before="280"/>
      </w:pPr>
      <w:r>
        <w:rPr>
          <w:b/>
          <w:bCs/>
          <w:color w:val="1A2332"/>
          <w:sz w:val="24"/>
          <w:szCs w:val="24"/>
        </w:rPr>
        <w:t xml:space="preserve">7.2 Defects fixed (root cause, not visual patches)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050"/>
      </w:tblGrid>
      <w:tr>
        <w:trPr>
          <w:tblHeader/>
        </w:trPr>
        <w:tc>
          <w:tcPr>
            <w:tcW w:type="dxa" w:w="3200"/>
            <w:shd w:fill="1A2332" w:val="clear"/>
            <w:tcMar>
              <w:top w:type="dxa" w:w="80"/>
              <w:left w:type="dxa" w:w="100"/>
              <w:bottom w:type="dxa" w:w="80"/>
              <w:right w:type="dxa" w:w="100"/>
            </w:tcMar>
          </w:tcPr>
          <w:p>
            <w:r>
              <w:rPr>
                <w:b/>
                <w:bCs/>
                <w:color w:val="FFFFFF"/>
                <w:sz w:val="19"/>
                <w:szCs w:val="19"/>
              </w:rPr>
              <w:t xml:space="preserve">Defect</w:t>
            </w:r>
          </w:p>
        </w:tc>
        <w:tc>
          <w:tcPr>
            <w:tcW w:type="dxa" w:w="3200"/>
            <w:shd w:fill="1A2332" w:val="clear"/>
            <w:tcMar>
              <w:top w:type="dxa" w:w="80"/>
              <w:left w:type="dxa" w:w="100"/>
              <w:bottom w:type="dxa" w:w="80"/>
              <w:right w:type="dxa" w:w="100"/>
            </w:tcMar>
          </w:tcPr>
          <w:p>
            <w:r>
              <w:rPr>
                <w:b/>
                <w:bCs/>
                <w:color w:val="FFFFFF"/>
                <w:sz w:val="19"/>
                <w:szCs w:val="19"/>
              </w:rPr>
              <w:t xml:space="preserve">Root cause</w:t>
            </w:r>
          </w:p>
        </w:tc>
        <w:tc>
          <w:tcPr>
            <w:tcW w:type="dxa" w:w="3050"/>
            <w:shd w:fill="1A2332" w:val="clear"/>
            <w:tcMar>
              <w:top w:type="dxa" w:w="80"/>
              <w:left w:type="dxa" w:w="100"/>
              <w:bottom w:type="dxa" w:w="80"/>
              <w:right w:type="dxa" w:w="100"/>
            </w:tcMar>
          </w:tcPr>
          <w:p>
            <w:r>
              <w:rPr>
                <w:b/>
                <w:bCs/>
                <w:color w:val="FFFFFF"/>
                <w:sz w:val="19"/>
                <w:szCs w:val="19"/>
              </w:rPr>
              <w:t xml:space="preserve">Fix</w:t>
            </w:r>
          </w:p>
        </w:tc>
      </w:tr>
      <w:tr>
        <w:tc>
          <w:tcPr>
            <w:tcW w:type="dxa" w:w="3200"/>
            <w:tcMar>
              <w:top w:type="dxa" w:w="80"/>
              <w:left w:type="dxa" w:w="100"/>
              <w:bottom w:type="dxa" w:w="80"/>
              <w:right w:type="dxa" w:w="100"/>
            </w:tcMar>
          </w:tcPr>
          <w:p>
            <w:r>
              <w:rPr>
                <w:b w:val="false"/>
                <w:bCs w:val="false"/>
                <w:color w:val="1A2332"/>
                <w:sz w:val="19"/>
                <w:szCs w:val="19"/>
              </w:rPr>
              <w:t xml:space="preserve">Manager dashboard showed inflated totals (11,000+ employees in one department)</w:t>
            </w:r>
          </w:p>
        </w:tc>
        <w:tc>
          <w:tcPr>
            <w:tcW w:type="dxa" w:w="3200"/>
            <w:tcMar>
              <w:top w:type="dxa" w:w="80"/>
              <w:left w:type="dxa" w:w="100"/>
              <w:bottom w:type="dxa" w:w="80"/>
              <w:right w:type="dxa" w:w="100"/>
            </w:tcMar>
          </w:tcPr>
          <w:p>
            <w:r>
              <w:rPr>
                <w:b w:val="false"/>
                <w:bCs w:val="false"/>
                <w:color w:val="1A2332"/>
                <w:sz w:val="19"/>
                <w:szCs w:val="19"/>
              </w:rPr>
              <w:t xml:space="preserve">employee_metrics had multiple rows per employee; join fan-out multiplied every aggregate</w:t>
            </w:r>
          </w:p>
        </w:tc>
        <w:tc>
          <w:tcPr>
            <w:tcW w:type="dxa" w:w="3050"/>
            <w:tcMar>
              <w:top w:type="dxa" w:w="80"/>
              <w:left w:type="dxa" w:w="100"/>
              <w:bottom w:type="dxa" w:w="80"/>
              <w:right w:type="dxa" w:w="100"/>
            </w:tcMar>
          </w:tcPr>
          <w:p>
            <w:r>
              <w:rPr>
                <w:b w:val="false"/>
                <w:bCs w:val="false"/>
                <w:color w:val="1A2332"/>
                <w:sz w:val="19"/>
                <w:szCs w:val="19"/>
              </w:rPr>
              <w:t xml:space="preserve">DISTINCT ON dedup subquery applied before aggregation in all three dashboard SQL functions</w:t>
            </w:r>
          </w:p>
        </w:tc>
      </w:tr>
      <w:tr>
        <w:tc>
          <w:tcPr>
            <w:tcW w:type="dxa" w:w="3200"/>
            <w:shd w:fill="F5F7FA" w:val="clear"/>
            <w:tcMar>
              <w:top w:type="dxa" w:w="80"/>
              <w:left w:type="dxa" w:w="100"/>
              <w:bottom w:type="dxa" w:w="80"/>
              <w:right w:type="dxa" w:w="100"/>
            </w:tcMar>
          </w:tcPr>
          <w:p>
            <w:r>
              <w:rPr>
                <w:b w:val="false"/>
                <w:bCs w:val="false"/>
                <w:color w:val="1A2332"/>
                <w:sz w:val="19"/>
                <w:szCs w:val="19"/>
              </w:rPr>
              <w:t xml:space="preserve">Performance Rating and Work-Life Balance charts showed identical values</w:t>
            </w:r>
          </w:p>
        </w:tc>
        <w:tc>
          <w:tcPr>
            <w:tcW w:type="dxa" w:w="3200"/>
            <w:shd w:fill="F5F7FA" w:val="clear"/>
            <w:tcMar>
              <w:top w:type="dxa" w:w="80"/>
              <w:left w:type="dxa" w:w="100"/>
              <w:bottom w:type="dxa" w:w="80"/>
              <w:right w:type="dxa" w:w="100"/>
            </w:tcMar>
          </w:tcPr>
          <w:p>
            <w:r>
              <w:rPr>
                <w:b w:val="false"/>
                <w:bCs w:val="false"/>
                <w:color w:val="1A2332"/>
                <w:sz w:val="19"/>
                <w:szCs w:val="19"/>
              </w:rPr>
              <w:t xml:space="preserve">Same fan-out bug scaling both groupings by an identical factor</w:t>
            </w:r>
          </w:p>
        </w:tc>
        <w:tc>
          <w:tcPr>
            <w:tcW w:type="dxa" w:w="3050"/>
            <w:shd w:fill="F5F7FA" w:val="clear"/>
            <w:tcMar>
              <w:top w:type="dxa" w:w="80"/>
              <w:left w:type="dxa" w:w="100"/>
              <w:bottom w:type="dxa" w:w="80"/>
              <w:right w:type="dxa" w:w="100"/>
            </w:tcMar>
          </w:tcPr>
          <w:p>
            <w:r>
              <w:rPr>
                <w:b w:val="false"/>
                <w:bCs w:val="false"/>
                <w:color w:val="1A2332"/>
                <w:sz w:val="19"/>
                <w:szCs w:val="19"/>
              </w:rPr>
              <w:t xml:space="preserve">Resolved by the same fan-out fix; charts additionally hardened to never share a query or colour mapping</w:t>
            </w:r>
          </w:p>
        </w:tc>
      </w:tr>
      <w:tr>
        <w:tc>
          <w:tcPr>
            <w:tcW w:type="dxa" w:w="3200"/>
            <w:tcMar>
              <w:top w:type="dxa" w:w="80"/>
              <w:left w:type="dxa" w:w="100"/>
              <w:bottom w:type="dxa" w:w="80"/>
              <w:right w:type="dxa" w:w="100"/>
            </w:tcMar>
          </w:tcPr>
          <w:p>
            <w:r>
              <w:rPr>
                <w:b w:val="false"/>
                <w:bCs w:val="false"/>
                <w:color w:val="1A2332"/>
                <w:sz w:val="19"/>
                <w:szCs w:val="19"/>
              </w:rPr>
              <w:t xml:space="preserve">Manager/Employee table showed blank names</w:t>
            </w:r>
          </w:p>
        </w:tc>
        <w:tc>
          <w:tcPr>
            <w:tcW w:type="dxa" w:w="3200"/>
            <w:tcMar>
              <w:top w:type="dxa" w:w="80"/>
              <w:left w:type="dxa" w:w="100"/>
              <w:bottom w:type="dxa" w:w="80"/>
              <w:right w:type="dxa" w:w="100"/>
            </w:tcMar>
          </w:tcPr>
          <w:p>
            <w:r>
              <w:rPr>
                <w:b w:val="false"/>
                <w:bCs w:val="false"/>
                <w:color w:val="1A2332"/>
                <w:sz w:val="19"/>
                <w:szCs w:val="19"/>
              </w:rPr>
              <w:t xml:space="preserve">Code assumed first_name/last_name columns that do not exist in the live schema</w:t>
            </w:r>
          </w:p>
        </w:tc>
        <w:tc>
          <w:tcPr>
            <w:tcW w:type="dxa" w:w="3050"/>
            <w:tcMar>
              <w:top w:type="dxa" w:w="80"/>
              <w:left w:type="dxa" w:w="100"/>
              <w:bottom w:type="dxa" w:w="80"/>
              <w:right w:type="dxa" w:w="100"/>
            </w:tcMar>
          </w:tcPr>
          <w:p>
            <w:r>
              <w:rPr>
                <w:b w:val="false"/>
                <w:bCs w:val="false"/>
                <w:color w:val="1A2332"/>
                <w:sz w:val="19"/>
                <w:szCs w:val="19"/>
              </w:rPr>
              <w:t xml:space="preserve">Switched to the real identifying fields: employee_code and job_title</w:t>
            </w:r>
          </w:p>
        </w:tc>
      </w:tr>
    </w:tbl>
    <w:p>
      <w:pPr>
        <w:pStyle w:val="Heading2"/>
        <w:spacing w:after="120" w:before="280"/>
      </w:pPr>
      <w:r>
        <w:rPr>
          <w:b/>
          <w:bCs/>
          <w:color w:val="1A2332"/>
          <w:sz w:val="24"/>
          <w:szCs w:val="24"/>
        </w:rPr>
        <w:t xml:space="preserve">7.3 Chart coverage added in Version 2</w:t>
      </w:r>
    </w:p>
    <w:p>
      <w:pPr>
        <w:spacing w:after="160"/>
      </w:pPr>
      <w:r>
        <w:rPr>
          <w:sz w:val="21"/>
          <w:szCs w:val="21"/>
        </w:rPr>
        <w:t xml:space="preserve">The original specification lists roughly forty distinct chart types across the three dashboards. Version 2 expanded coverage from two charts per dashboard to five or six, adding Gender Distribution, Education Level Distribution, and Salary Level Distribution to both the CEO and Manager dashboards, plus a Workload Distribution chart on the Manager dashboard and a “You vs. Department Average” comparison chart on the Employee dashboard — the one chart type that is meaningful for a single-person view, since a distribution chart requires more than one data point.</w:t>
      </w:r>
    </w:p>
    <w:p>
      <w:pPr>
        <w:pStyle w:val="Heading1"/>
        <w:spacing w:after="160" w:before="360"/>
      </w:pPr>
      <w:r>
        <w:rPr>
          <w:b/>
          <w:bCs/>
          <w:color w:val="1A2332"/>
          <w:sz w:val="30"/>
          <w:szCs w:val="30"/>
        </w:rPr>
        <w:t xml:space="preserve">8. Specification Coverage Analysis</w:t>
      </w:r>
    </w:p>
    <w:p>
      <w:pPr>
        <w:spacing w:after="160"/>
      </w:pPr>
      <w:r>
        <w:rPr>
          <w:sz w:val="21"/>
          <w:szCs w:val="21"/>
        </w:rPr>
        <w:t xml:space="preserve">In the interest of an accurate report rather than an optimistic one, the following table maps what the original brief specified against what is currently implemented.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2350"/>
        <w:gridCol w:w="2350"/>
        <w:gridCol w:w="1950"/>
      </w:tblGrid>
      <w:tr>
        <w:trPr>
          <w:tblHeader/>
        </w:trPr>
        <w:tc>
          <w:tcPr>
            <w:tcW w:type="dxa" w:w="2700"/>
            <w:shd w:fill="1A2332" w:val="clear"/>
            <w:tcMar>
              <w:top w:type="dxa" w:w="80"/>
              <w:left w:type="dxa" w:w="100"/>
              <w:bottom w:type="dxa" w:w="80"/>
              <w:right w:type="dxa" w:w="100"/>
            </w:tcMar>
          </w:tcPr>
          <w:p>
            <w:r>
              <w:rPr>
                <w:b/>
                <w:bCs/>
                <w:color w:val="FFFFFF"/>
                <w:sz w:val="19"/>
                <w:szCs w:val="19"/>
              </w:rPr>
              <w:t xml:space="preserve">Area</w:t>
            </w:r>
          </w:p>
        </w:tc>
        <w:tc>
          <w:tcPr>
            <w:tcW w:type="dxa" w:w="2350"/>
            <w:shd w:fill="1A2332" w:val="clear"/>
            <w:tcMar>
              <w:top w:type="dxa" w:w="80"/>
              <w:left w:type="dxa" w:w="100"/>
              <w:bottom w:type="dxa" w:w="80"/>
              <w:right w:type="dxa" w:w="100"/>
            </w:tcMar>
          </w:tcPr>
          <w:p>
            <w:r>
              <w:rPr>
                <w:b/>
                <w:bCs/>
                <w:color w:val="FFFFFF"/>
                <w:sz w:val="19"/>
                <w:szCs w:val="19"/>
              </w:rPr>
              <w:t xml:space="preserve">Specified</w:t>
            </w:r>
          </w:p>
        </w:tc>
        <w:tc>
          <w:tcPr>
            <w:tcW w:type="dxa" w:w="2350"/>
            <w:shd w:fill="1A2332" w:val="clear"/>
            <w:tcMar>
              <w:top w:type="dxa" w:w="80"/>
              <w:left w:type="dxa" w:w="100"/>
              <w:bottom w:type="dxa" w:w="80"/>
              <w:right w:type="dxa" w:w="100"/>
            </w:tcMar>
          </w:tcPr>
          <w:p>
            <w:r>
              <w:rPr>
                <w:b/>
                <w:bCs/>
                <w:color w:val="FFFFFF"/>
                <w:sz w:val="19"/>
                <w:szCs w:val="19"/>
              </w:rPr>
              <w:t xml:space="preserve">Implemented</w:t>
            </w:r>
          </w:p>
        </w:tc>
        <w:tc>
          <w:tcPr>
            <w:tcW w:type="dxa" w:w="1950"/>
            <w:shd w:fill="1A2332" w:val="clear"/>
            <w:tcMar>
              <w:top w:type="dxa" w:w="80"/>
              <w:left w:type="dxa" w:w="100"/>
              <w:bottom w:type="dxa" w:w="80"/>
              <w:right w:type="dxa" w:w="100"/>
            </w:tcMar>
          </w:tcPr>
          <w:p>
            <w:r>
              <w:rPr>
                <w:b/>
                <w:bCs/>
                <w:color w:val="FFFFFF"/>
                <w:sz w:val="19"/>
                <w:szCs w:val="19"/>
              </w:rPr>
              <w:t xml:space="preserve">Status</w:t>
            </w:r>
          </w:p>
        </w:tc>
      </w:tr>
      <w:tr>
        <w:tc>
          <w:tcPr>
            <w:tcW w:type="dxa" w:w="2700"/>
            <w:tcMar>
              <w:top w:type="dxa" w:w="80"/>
              <w:left w:type="dxa" w:w="100"/>
              <w:bottom w:type="dxa" w:w="80"/>
              <w:right w:type="dxa" w:w="100"/>
            </w:tcMar>
          </w:tcPr>
          <w:p>
            <w:r>
              <w:rPr>
                <w:b w:val="false"/>
                <w:bCs w:val="false"/>
                <w:color w:val="1A2332"/>
                <w:sz w:val="19"/>
                <w:szCs w:val="19"/>
              </w:rPr>
              <w:t xml:space="preserve">Authentication &amp; role routing</w:t>
            </w:r>
          </w:p>
        </w:tc>
        <w:tc>
          <w:tcPr>
            <w:tcW w:type="dxa" w:w="2350"/>
            <w:tcMar>
              <w:top w:type="dxa" w:w="80"/>
              <w:left w:type="dxa" w:w="100"/>
              <w:bottom w:type="dxa" w:w="80"/>
              <w:right w:type="dxa" w:w="100"/>
            </w:tcMar>
          </w:tcPr>
          <w:p>
            <w:r>
              <w:rPr>
                <w:b w:val="false"/>
                <w:bCs w:val="false"/>
                <w:color w:val="1A2332"/>
                <w:sz w:val="19"/>
                <w:szCs w:val="19"/>
              </w:rPr>
              <w:t xml:space="preserve">Full</w:t>
            </w:r>
          </w:p>
        </w:tc>
        <w:tc>
          <w:tcPr>
            <w:tcW w:type="dxa" w:w="2350"/>
            <w:tcMar>
              <w:top w:type="dxa" w:w="80"/>
              <w:left w:type="dxa" w:w="100"/>
              <w:bottom w:type="dxa" w:w="80"/>
              <w:right w:type="dxa" w:w="100"/>
            </w:tcMar>
          </w:tcPr>
          <w:p>
            <w:r>
              <w:rPr>
                <w:b w:val="false"/>
                <w:bCs w:val="false"/>
                <w:color w:val="1A2332"/>
                <w:sz w:val="19"/>
                <w:szCs w:val="19"/>
              </w:rPr>
              <w:t xml:space="preserve">Full</w:t>
            </w:r>
          </w:p>
        </w:tc>
        <w:tc>
          <w:tcPr>
            <w:tcW w:type="dxa" w:w="1950"/>
            <w:tcMar>
              <w:top w:type="dxa" w:w="80"/>
              <w:left w:type="dxa" w:w="100"/>
              <w:bottom w:type="dxa" w:w="80"/>
              <w:right w:type="dxa" w:w="100"/>
            </w:tcMar>
          </w:tcPr>
          <w:p>
            <w:r>
              <w:rPr>
                <w:b w:val="false"/>
                <w:bCs w:val="false"/>
                <w:color w:val="1A2332"/>
                <w:sz w:val="19"/>
                <w:szCs w:val="19"/>
              </w:rPr>
              <w:t xml:space="preserve">Complete</w:t>
            </w:r>
          </w:p>
        </w:tc>
      </w:tr>
      <w:tr>
        <w:tc>
          <w:tcPr>
            <w:tcW w:type="dxa" w:w="2700"/>
            <w:shd w:fill="F5F7FA" w:val="clear"/>
            <w:tcMar>
              <w:top w:type="dxa" w:w="80"/>
              <w:left w:type="dxa" w:w="100"/>
              <w:bottom w:type="dxa" w:w="80"/>
              <w:right w:type="dxa" w:w="100"/>
            </w:tcMar>
          </w:tcPr>
          <w:p>
            <w:r>
              <w:rPr>
                <w:b w:val="false"/>
                <w:bCs w:val="false"/>
                <w:color w:val="1A2332"/>
                <w:sz w:val="19"/>
                <w:szCs w:val="19"/>
              </w:rPr>
              <w:t xml:space="preserve">Route-level ownership guards</w:t>
            </w:r>
          </w:p>
        </w:tc>
        <w:tc>
          <w:tcPr>
            <w:tcW w:type="dxa" w:w="2350"/>
            <w:shd w:fill="F5F7FA" w:val="clear"/>
            <w:tcMar>
              <w:top w:type="dxa" w:w="80"/>
              <w:left w:type="dxa" w:w="100"/>
              <w:bottom w:type="dxa" w:w="80"/>
              <w:right w:type="dxa" w:w="100"/>
            </w:tcMar>
          </w:tcPr>
          <w:p>
            <w:r>
              <w:rPr>
                <w:b w:val="false"/>
                <w:bCs w:val="false"/>
                <w:color w:val="1A2332"/>
                <w:sz w:val="19"/>
                <w:szCs w:val="19"/>
              </w:rPr>
              <w:t xml:space="preserve">Implied</w:t>
            </w:r>
          </w:p>
        </w:tc>
        <w:tc>
          <w:tcPr>
            <w:tcW w:type="dxa" w:w="2350"/>
            <w:shd w:fill="F5F7FA" w:val="clear"/>
            <w:tcMar>
              <w:top w:type="dxa" w:w="80"/>
              <w:left w:type="dxa" w:w="100"/>
              <w:bottom w:type="dxa" w:w="80"/>
              <w:right w:type="dxa" w:w="100"/>
            </w:tcMar>
          </w:tcPr>
          <w:p>
            <w:r>
              <w:rPr>
                <w:b w:val="false"/>
                <w:bCs w:val="false"/>
                <w:color w:val="1A2332"/>
                <w:sz w:val="19"/>
                <w:szCs w:val="19"/>
              </w:rPr>
              <w:t xml:space="preserve">Full</w:t>
            </w:r>
          </w:p>
        </w:tc>
        <w:tc>
          <w:tcPr>
            <w:tcW w:type="dxa" w:w="1950"/>
            <w:shd w:fill="F5F7FA" w:val="clear"/>
            <w:tcMar>
              <w:top w:type="dxa" w:w="80"/>
              <w:left w:type="dxa" w:w="100"/>
              <w:bottom w:type="dxa" w:w="80"/>
              <w:right w:type="dxa" w:w="100"/>
            </w:tcMar>
          </w:tcPr>
          <w:p>
            <w:r>
              <w:rPr>
                <w:b w:val="false"/>
                <w:bCs w:val="false"/>
                <w:color w:val="1A2332"/>
                <w:sz w:val="19"/>
                <w:szCs w:val="19"/>
              </w:rPr>
              <w:t xml:space="preserve">Complete (exceeds literal spec)</w:t>
            </w:r>
          </w:p>
        </w:tc>
      </w:tr>
      <w:tr>
        <w:tc>
          <w:tcPr>
            <w:tcW w:type="dxa" w:w="2700"/>
            <w:tcMar>
              <w:top w:type="dxa" w:w="80"/>
              <w:left w:type="dxa" w:w="100"/>
              <w:bottom w:type="dxa" w:w="80"/>
              <w:right w:type="dxa" w:w="100"/>
            </w:tcMar>
          </w:tcPr>
          <w:p>
            <w:r>
              <w:rPr>
                <w:b w:val="false"/>
                <w:bCs w:val="false"/>
                <w:color w:val="1A2332"/>
                <w:sz w:val="19"/>
                <w:szCs w:val="19"/>
              </w:rPr>
              <w:t xml:space="preserve">CEO dashboard — KPI cards</w:t>
            </w:r>
          </w:p>
        </w:tc>
        <w:tc>
          <w:tcPr>
            <w:tcW w:type="dxa" w:w="2350"/>
            <w:tcMar>
              <w:top w:type="dxa" w:w="80"/>
              <w:left w:type="dxa" w:w="100"/>
              <w:bottom w:type="dxa" w:w="80"/>
              <w:right w:type="dxa" w:w="100"/>
            </w:tcMar>
          </w:tcPr>
          <w:p>
            <w:r>
              <w:rPr>
                <w:b w:val="false"/>
                <w:bCs w:val="false"/>
                <w:color w:val="1A2332"/>
                <w:sz w:val="19"/>
                <w:szCs w:val="19"/>
              </w:rPr>
              <w:t xml:space="preserve">6 KPIs</w:t>
            </w:r>
          </w:p>
        </w:tc>
        <w:tc>
          <w:tcPr>
            <w:tcW w:type="dxa" w:w="2350"/>
            <w:tcMar>
              <w:top w:type="dxa" w:w="80"/>
              <w:left w:type="dxa" w:w="100"/>
              <w:bottom w:type="dxa" w:w="80"/>
              <w:right w:type="dxa" w:w="100"/>
            </w:tcMar>
          </w:tcPr>
          <w:p>
            <w:r>
              <w:rPr>
                <w:b w:val="false"/>
                <w:bCs w:val="false"/>
                <w:color w:val="1A2332"/>
                <w:sz w:val="19"/>
                <w:szCs w:val="19"/>
              </w:rPr>
              <w:t xml:space="preserve">9 KPIs</w:t>
            </w:r>
          </w:p>
        </w:tc>
        <w:tc>
          <w:tcPr>
            <w:tcW w:type="dxa" w:w="1950"/>
            <w:tcMar>
              <w:top w:type="dxa" w:w="80"/>
              <w:left w:type="dxa" w:w="100"/>
              <w:bottom w:type="dxa" w:w="80"/>
              <w:right w:type="dxa" w:w="100"/>
            </w:tcMar>
          </w:tcPr>
          <w:p>
            <w:r>
              <w:rPr>
                <w:b w:val="false"/>
                <w:bCs w:val="false"/>
                <w:color w:val="1A2332"/>
                <w:sz w:val="19"/>
                <w:szCs w:val="19"/>
              </w:rPr>
              <w:t xml:space="preserve">Complete</w:t>
            </w:r>
          </w:p>
        </w:tc>
      </w:tr>
      <w:tr>
        <w:tc>
          <w:tcPr>
            <w:tcW w:type="dxa" w:w="2700"/>
            <w:shd w:fill="F5F7FA" w:val="clear"/>
            <w:tcMar>
              <w:top w:type="dxa" w:w="80"/>
              <w:left w:type="dxa" w:w="100"/>
              <w:bottom w:type="dxa" w:w="80"/>
              <w:right w:type="dxa" w:w="100"/>
            </w:tcMar>
          </w:tcPr>
          <w:p>
            <w:r>
              <w:rPr>
                <w:b w:val="false"/>
                <w:bCs w:val="false"/>
                <w:color w:val="1A2332"/>
                <w:sz w:val="19"/>
                <w:szCs w:val="19"/>
              </w:rPr>
              <w:t xml:space="preserve">CEO dashboard — charts</w:t>
            </w:r>
          </w:p>
        </w:tc>
        <w:tc>
          <w:tcPr>
            <w:tcW w:type="dxa" w:w="2350"/>
            <w:shd w:fill="F5F7FA" w:val="clear"/>
            <w:tcMar>
              <w:top w:type="dxa" w:w="80"/>
              <w:left w:type="dxa" w:w="100"/>
              <w:bottom w:type="dxa" w:w="80"/>
              <w:right w:type="dxa" w:w="100"/>
            </w:tcMar>
          </w:tcPr>
          <w:p>
            <w:r>
              <w:rPr>
                <w:b w:val="false"/>
                <w:bCs w:val="false"/>
                <w:color w:val="1A2332"/>
                <w:sz w:val="19"/>
                <w:szCs w:val="19"/>
              </w:rPr>
              <w:t xml:space="preserve">~14 chart types (incl. box plots, scatter, tree map)</w:t>
            </w:r>
          </w:p>
        </w:tc>
        <w:tc>
          <w:tcPr>
            <w:tcW w:type="dxa" w:w="2350"/>
            <w:shd w:fill="F5F7FA" w:val="clear"/>
            <w:tcMar>
              <w:top w:type="dxa" w:w="80"/>
              <w:left w:type="dxa" w:w="100"/>
              <w:bottom w:type="dxa" w:w="80"/>
              <w:right w:type="dxa" w:w="100"/>
            </w:tcMar>
          </w:tcPr>
          <w:p>
            <w:r>
              <w:rPr>
                <w:b w:val="false"/>
                <w:bCs w:val="false"/>
                <w:color w:val="1A2332"/>
                <w:sz w:val="19"/>
                <w:szCs w:val="19"/>
              </w:rPr>
              <w:t xml:space="preserve">5 chart types (ranking, 4 distributions)</w:t>
            </w:r>
          </w:p>
        </w:tc>
        <w:tc>
          <w:tcPr>
            <w:tcW w:type="dxa" w:w="1950"/>
            <w:shd w:fill="F5F7FA" w:val="clear"/>
            <w:tcMar>
              <w:top w:type="dxa" w:w="80"/>
              <w:left w:type="dxa" w:w="100"/>
              <w:bottom w:type="dxa" w:w="80"/>
              <w:right w:type="dxa" w:w="100"/>
            </w:tcMar>
          </w:tcPr>
          <w:p>
            <w:r>
              <w:rPr>
                <w:b w:val="false"/>
                <w:bCs w:val="false"/>
                <w:color w:val="1A2332"/>
                <w:sz w:val="19"/>
                <w:szCs w:val="19"/>
              </w:rPr>
              <w:t xml:space="preserve">Partial — see Section 9</w:t>
            </w:r>
          </w:p>
        </w:tc>
      </w:tr>
      <w:tr>
        <w:tc>
          <w:tcPr>
            <w:tcW w:type="dxa" w:w="2700"/>
            <w:tcMar>
              <w:top w:type="dxa" w:w="80"/>
              <w:left w:type="dxa" w:w="100"/>
              <w:bottom w:type="dxa" w:w="80"/>
              <w:right w:type="dxa" w:w="100"/>
            </w:tcMar>
          </w:tcPr>
          <w:p>
            <w:r>
              <w:rPr>
                <w:b w:val="false"/>
                <w:bCs w:val="false"/>
                <w:color w:val="1A2332"/>
                <w:sz w:val="19"/>
                <w:szCs w:val="19"/>
              </w:rPr>
              <w:t xml:space="preserve">CEO dashboard — global filters</w:t>
            </w:r>
          </w:p>
        </w:tc>
        <w:tc>
          <w:tcPr>
            <w:tcW w:type="dxa" w:w="2350"/>
            <w:tcMar>
              <w:top w:type="dxa" w:w="80"/>
              <w:left w:type="dxa" w:w="100"/>
              <w:bottom w:type="dxa" w:w="80"/>
              <w:right w:type="dxa" w:w="100"/>
            </w:tcMar>
          </w:tcPr>
          <w:p>
            <w:r>
              <w:rPr>
                <w:b w:val="false"/>
                <w:bCs w:val="false"/>
                <w:color w:val="1A2332"/>
                <w:sz w:val="19"/>
                <w:szCs w:val="19"/>
              </w:rPr>
              <w:t xml:space="preserve">5 filter dimensions</w:t>
            </w:r>
          </w:p>
        </w:tc>
        <w:tc>
          <w:tcPr>
            <w:tcW w:type="dxa" w:w="2350"/>
            <w:tcMar>
              <w:top w:type="dxa" w:w="80"/>
              <w:left w:type="dxa" w:w="100"/>
              <w:bottom w:type="dxa" w:w="80"/>
              <w:right w:type="dxa" w:w="100"/>
            </w:tcMar>
          </w:tcPr>
          <w:p>
            <w:r>
              <w:rPr>
                <w:b w:val="false"/>
                <w:bCs w:val="false"/>
                <w:color w:val="1A2332"/>
                <w:sz w:val="19"/>
                <w:szCs w:val="19"/>
              </w:rPr>
              <w:t xml:space="preserve">1 (department)</w:t>
            </w:r>
          </w:p>
        </w:tc>
        <w:tc>
          <w:tcPr>
            <w:tcW w:type="dxa" w:w="1950"/>
            <w:tcMar>
              <w:top w:type="dxa" w:w="80"/>
              <w:left w:type="dxa" w:w="100"/>
              <w:bottom w:type="dxa" w:w="80"/>
              <w:right w:type="dxa" w:w="100"/>
            </w:tcMar>
          </w:tcPr>
          <w:p>
            <w:r>
              <w:rPr>
                <w:b w:val="false"/>
                <w:bCs w:val="false"/>
                <w:color w:val="1A2332"/>
                <w:sz w:val="19"/>
                <w:szCs w:val="19"/>
              </w:rPr>
              <w:t xml:space="preserve">Partial</w:t>
            </w:r>
          </w:p>
        </w:tc>
      </w:tr>
      <w:tr>
        <w:tc>
          <w:tcPr>
            <w:tcW w:type="dxa" w:w="2700"/>
            <w:shd w:fill="F5F7FA" w:val="clear"/>
            <w:tcMar>
              <w:top w:type="dxa" w:w="80"/>
              <w:left w:type="dxa" w:w="100"/>
              <w:bottom w:type="dxa" w:w="80"/>
              <w:right w:type="dxa" w:w="100"/>
            </w:tcMar>
          </w:tcPr>
          <w:p>
            <w:r>
              <w:rPr>
                <w:b w:val="false"/>
                <w:bCs w:val="false"/>
                <w:color w:val="1A2332"/>
                <w:sz w:val="19"/>
                <w:szCs w:val="19"/>
              </w:rPr>
              <w:t xml:space="preserve">Manager dashboard — KPI cards</w:t>
            </w:r>
          </w:p>
        </w:tc>
        <w:tc>
          <w:tcPr>
            <w:tcW w:type="dxa" w:w="2350"/>
            <w:shd w:fill="F5F7FA" w:val="clear"/>
            <w:tcMar>
              <w:top w:type="dxa" w:w="80"/>
              <w:left w:type="dxa" w:w="100"/>
              <w:bottom w:type="dxa" w:w="80"/>
              <w:right w:type="dxa" w:w="100"/>
            </w:tcMar>
          </w:tcPr>
          <w:p>
            <w:r>
              <w:rPr>
                <w:b w:val="false"/>
                <w:bCs w:val="false"/>
                <w:color w:val="1A2332"/>
                <w:sz w:val="19"/>
                <w:szCs w:val="19"/>
              </w:rPr>
              <w:t xml:space="preserve">8 KPIs</w:t>
            </w:r>
          </w:p>
        </w:tc>
        <w:tc>
          <w:tcPr>
            <w:tcW w:type="dxa" w:w="2350"/>
            <w:shd w:fill="F5F7FA" w:val="clear"/>
            <w:tcMar>
              <w:top w:type="dxa" w:w="80"/>
              <w:left w:type="dxa" w:w="100"/>
              <w:bottom w:type="dxa" w:w="80"/>
              <w:right w:type="dxa" w:w="100"/>
            </w:tcMar>
          </w:tcPr>
          <w:p>
            <w:r>
              <w:rPr>
                <w:b w:val="false"/>
                <w:bCs w:val="false"/>
                <w:color w:val="1A2332"/>
                <w:sz w:val="19"/>
                <w:szCs w:val="19"/>
              </w:rPr>
              <w:t xml:space="preserve">7 KPIs</w:t>
            </w:r>
          </w:p>
        </w:tc>
        <w:tc>
          <w:tcPr>
            <w:tcW w:type="dxa" w:w="1950"/>
            <w:shd w:fill="F5F7FA" w:val="clear"/>
            <w:tcMar>
              <w:top w:type="dxa" w:w="80"/>
              <w:left w:type="dxa" w:w="100"/>
              <w:bottom w:type="dxa" w:w="80"/>
              <w:right w:type="dxa" w:w="100"/>
            </w:tcMar>
          </w:tcPr>
          <w:p>
            <w:r>
              <w:rPr>
                <w:b w:val="false"/>
                <w:bCs w:val="false"/>
                <w:color w:val="1A2332"/>
                <w:sz w:val="19"/>
                <w:szCs w:val="19"/>
              </w:rPr>
              <w:t xml:space="preserve">Near complete</w:t>
            </w:r>
          </w:p>
        </w:tc>
      </w:tr>
      <w:tr>
        <w:tc>
          <w:tcPr>
            <w:tcW w:type="dxa" w:w="2700"/>
            <w:tcMar>
              <w:top w:type="dxa" w:w="80"/>
              <w:left w:type="dxa" w:w="100"/>
              <w:bottom w:type="dxa" w:w="80"/>
              <w:right w:type="dxa" w:w="100"/>
            </w:tcMar>
          </w:tcPr>
          <w:p>
            <w:r>
              <w:rPr>
                <w:b w:val="false"/>
                <w:bCs w:val="false"/>
                <w:color w:val="1A2332"/>
                <w:sz w:val="19"/>
                <w:szCs w:val="19"/>
              </w:rPr>
              <w:t xml:space="preserve">Manager dashboard — charts</w:t>
            </w:r>
          </w:p>
        </w:tc>
        <w:tc>
          <w:tcPr>
            <w:tcW w:type="dxa" w:w="2350"/>
            <w:tcMar>
              <w:top w:type="dxa" w:w="80"/>
              <w:left w:type="dxa" w:w="100"/>
              <w:bottom w:type="dxa" w:w="80"/>
              <w:right w:type="dxa" w:w="100"/>
            </w:tcMar>
          </w:tcPr>
          <w:p>
            <w:r>
              <w:rPr>
                <w:b w:val="false"/>
                <w:bCs w:val="false"/>
                <w:color w:val="1A2332"/>
                <w:sz w:val="19"/>
                <w:szCs w:val="19"/>
              </w:rPr>
              <w:t xml:space="preserve">~10 chart types</w:t>
            </w:r>
          </w:p>
        </w:tc>
        <w:tc>
          <w:tcPr>
            <w:tcW w:type="dxa" w:w="2350"/>
            <w:tcMar>
              <w:top w:type="dxa" w:w="80"/>
              <w:left w:type="dxa" w:w="100"/>
              <w:bottom w:type="dxa" w:w="80"/>
              <w:right w:type="dxa" w:w="100"/>
            </w:tcMar>
          </w:tcPr>
          <w:p>
            <w:r>
              <w:rPr>
                <w:b w:val="false"/>
                <w:bCs w:val="false"/>
                <w:color w:val="1A2332"/>
                <w:sz w:val="19"/>
                <w:szCs w:val="19"/>
              </w:rPr>
              <w:t xml:space="preserve">6 chart types</w:t>
            </w:r>
          </w:p>
        </w:tc>
        <w:tc>
          <w:tcPr>
            <w:tcW w:type="dxa" w:w="1950"/>
            <w:tcMar>
              <w:top w:type="dxa" w:w="80"/>
              <w:left w:type="dxa" w:w="100"/>
              <w:bottom w:type="dxa" w:w="80"/>
              <w:right w:type="dxa" w:w="100"/>
            </w:tcMar>
          </w:tcPr>
          <w:p>
            <w:r>
              <w:rPr>
                <w:b w:val="false"/>
                <w:bCs w:val="false"/>
                <w:color w:val="1A2332"/>
                <w:sz w:val="19"/>
                <w:szCs w:val="19"/>
              </w:rPr>
              <w:t xml:space="preserve">Partial</w:t>
            </w:r>
          </w:p>
        </w:tc>
      </w:tr>
      <w:tr>
        <w:tc>
          <w:tcPr>
            <w:tcW w:type="dxa" w:w="2700"/>
            <w:shd w:fill="F5F7FA" w:val="clear"/>
            <w:tcMar>
              <w:top w:type="dxa" w:w="80"/>
              <w:left w:type="dxa" w:w="100"/>
              <w:bottom w:type="dxa" w:w="80"/>
              <w:right w:type="dxa" w:w="100"/>
            </w:tcMar>
          </w:tcPr>
          <w:p>
            <w:r>
              <w:rPr>
                <w:b w:val="false"/>
                <w:bCs w:val="false"/>
                <w:color w:val="1A2332"/>
                <w:sz w:val="19"/>
                <w:szCs w:val="19"/>
              </w:rPr>
              <w:t xml:space="preserve">Employee dashboard — info cards</w:t>
            </w:r>
          </w:p>
        </w:tc>
        <w:tc>
          <w:tcPr>
            <w:tcW w:type="dxa" w:w="2350"/>
            <w:shd w:fill="F5F7FA" w:val="clear"/>
            <w:tcMar>
              <w:top w:type="dxa" w:w="80"/>
              <w:left w:type="dxa" w:w="100"/>
              <w:bottom w:type="dxa" w:w="80"/>
              <w:right w:type="dxa" w:w="100"/>
            </w:tcMar>
          </w:tcPr>
          <w:p>
            <w:r>
              <w:rPr>
                <w:b w:val="false"/>
                <w:bCs w:val="false"/>
                <w:color w:val="1A2332"/>
                <w:sz w:val="19"/>
                <w:szCs w:val="19"/>
              </w:rPr>
              <w:t xml:space="preserve">12 fields</w:t>
            </w:r>
          </w:p>
        </w:tc>
        <w:tc>
          <w:tcPr>
            <w:tcW w:type="dxa" w:w="2350"/>
            <w:shd w:fill="F5F7FA" w:val="clear"/>
            <w:tcMar>
              <w:top w:type="dxa" w:w="80"/>
              <w:left w:type="dxa" w:w="100"/>
              <w:bottom w:type="dxa" w:w="80"/>
              <w:right w:type="dxa" w:w="100"/>
            </w:tcMar>
          </w:tcPr>
          <w:p>
            <w:r>
              <w:rPr>
                <w:b w:val="false"/>
                <w:bCs w:val="false"/>
                <w:color w:val="1A2332"/>
                <w:sz w:val="19"/>
                <w:szCs w:val="19"/>
              </w:rPr>
              <w:t xml:space="preserve">11 fields (adapted to real schema)</w:t>
            </w:r>
          </w:p>
        </w:tc>
        <w:tc>
          <w:tcPr>
            <w:tcW w:type="dxa" w:w="1950"/>
            <w:shd w:fill="F5F7FA" w:val="clear"/>
            <w:tcMar>
              <w:top w:type="dxa" w:w="80"/>
              <w:left w:type="dxa" w:w="100"/>
              <w:bottom w:type="dxa" w:w="80"/>
              <w:right w:type="dxa" w:w="100"/>
            </w:tcMar>
          </w:tcPr>
          <w:p>
            <w:r>
              <w:rPr>
                <w:b w:val="false"/>
                <w:bCs w:val="false"/>
                <w:color w:val="1A2332"/>
                <w:sz w:val="19"/>
                <w:szCs w:val="19"/>
              </w:rPr>
              <w:t xml:space="preserve">Near complete</w:t>
            </w:r>
          </w:p>
        </w:tc>
      </w:tr>
      <w:tr>
        <w:tc>
          <w:tcPr>
            <w:tcW w:type="dxa" w:w="2700"/>
            <w:tcMar>
              <w:top w:type="dxa" w:w="80"/>
              <w:left w:type="dxa" w:w="100"/>
              <w:bottom w:type="dxa" w:w="80"/>
              <w:right w:type="dxa" w:w="100"/>
            </w:tcMar>
          </w:tcPr>
          <w:p>
            <w:r>
              <w:rPr>
                <w:b w:val="false"/>
                <w:bCs w:val="false"/>
                <w:color w:val="1A2332"/>
                <w:sz w:val="19"/>
                <w:szCs w:val="19"/>
              </w:rPr>
              <w:t xml:space="preserve">Employee dashboard — gauges/charts</w:t>
            </w:r>
          </w:p>
        </w:tc>
        <w:tc>
          <w:tcPr>
            <w:tcW w:type="dxa" w:w="2350"/>
            <w:tcMar>
              <w:top w:type="dxa" w:w="80"/>
              <w:left w:type="dxa" w:w="100"/>
              <w:bottom w:type="dxa" w:w="80"/>
              <w:right w:type="dxa" w:w="100"/>
            </w:tcMar>
          </w:tcPr>
          <w:p>
            <w:r>
              <w:rPr>
                <w:b w:val="false"/>
                <w:bCs w:val="false"/>
                <w:color w:val="1A2332"/>
                <w:sz w:val="19"/>
                <w:szCs w:val="19"/>
              </w:rPr>
              <w:t xml:space="preserve">9 visuals incl. 3 gauges</w:t>
            </w:r>
          </w:p>
        </w:tc>
        <w:tc>
          <w:tcPr>
            <w:tcW w:type="dxa" w:w="2350"/>
            <w:tcMar>
              <w:top w:type="dxa" w:w="80"/>
              <w:left w:type="dxa" w:w="100"/>
              <w:bottom w:type="dxa" w:w="80"/>
              <w:right w:type="dxa" w:w="100"/>
            </w:tcMar>
          </w:tcPr>
          <w:p>
            <w:r>
              <w:rPr>
                <w:b w:val="false"/>
                <w:bCs w:val="false"/>
                <w:color w:val="1A2332"/>
                <w:sz w:val="19"/>
                <w:szCs w:val="19"/>
              </w:rPr>
              <w:t xml:space="preserve">1 comparison chart</w:t>
            </w:r>
          </w:p>
        </w:tc>
        <w:tc>
          <w:tcPr>
            <w:tcW w:type="dxa" w:w="1950"/>
            <w:tcMar>
              <w:top w:type="dxa" w:w="80"/>
              <w:left w:type="dxa" w:w="100"/>
              <w:bottom w:type="dxa" w:w="80"/>
              <w:right w:type="dxa" w:w="100"/>
            </w:tcMar>
          </w:tcPr>
          <w:p>
            <w:r>
              <w:rPr>
                <w:b w:val="false"/>
                <w:bCs w:val="false"/>
                <w:color w:val="1A2332"/>
                <w:sz w:val="19"/>
                <w:szCs w:val="19"/>
              </w:rPr>
              <w:t xml:space="preserve">Partial — see Section 9</w:t>
            </w:r>
          </w:p>
        </w:tc>
      </w:tr>
      <w:tr>
        <w:tc>
          <w:tcPr>
            <w:tcW w:type="dxa" w:w="2700"/>
            <w:shd w:fill="F5F7FA" w:val="clear"/>
            <w:tcMar>
              <w:top w:type="dxa" w:w="80"/>
              <w:left w:type="dxa" w:w="100"/>
              <w:bottom w:type="dxa" w:w="80"/>
              <w:right w:type="dxa" w:w="100"/>
            </w:tcMar>
          </w:tcPr>
          <w:p>
            <w:r>
              <w:rPr>
                <w:b w:val="false"/>
                <w:bCs w:val="false"/>
                <w:color w:val="1A2332"/>
                <w:sz w:val="19"/>
                <w:szCs w:val="19"/>
              </w:rPr>
              <w:t xml:space="preserve">Security hardening</w:t>
            </w:r>
          </w:p>
        </w:tc>
        <w:tc>
          <w:tcPr>
            <w:tcW w:type="dxa" w:w="2350"/>
            <w:shd w:fill="F5F7FA" w:val="clear"/>
            <w:tcMar>
              <w:top w:type="dxa" w:w="80"/>
              <w:left w:type="dxa" w:w="100"/>
              <w:bottom w:type="dxa" w:w="80"/>
              <w:right w:type="dxa" w:w="100"/>
            </w:tcMar>
          </w:tcPr>
          <w:p>
            <w:r>
              <w:rPr>
                <w:b w:val="false"/>
                <w:bCs w:val="false"/>
                <w:color w:val="1A2332"/>
                <w:sz w:val="19"/>
                <w:szCs w:val="19"/>
              </w:rPr>
              <w:t xml:space="preserve">Implied by brief</w:t>
            </w:r>
          </w:p>
        </w:tc>
        <w:tc>
          <w:tcPr>
            <w:tcW w:type="dxa" w:w="2350"/>
            <w:shd w:fill="F5F7FA" w:val="clear"/>
            <w:tcMar>
              <w:top w:type="dxa" w:w="80"/>
              <w:left w:type="dxa" w:w="100"/>
              <w:bottom w:type="dxa" w:w="80"/>
              <w:right w:type="dxa" w:w="100"/>
            </w:tcMar>
          </w:tcPr>
          <w:p>
            <w:r>
              <w:rPr>
                <w:b w:val="false"/>
                <w:bCs w:val="false"/>
                <w:color w:val="1A2332"/>
                <w:sz w:val="19"/>
                <w:szCs w:val="19"/>
              </w:rPr>
              <w:t xml:space="preserve">Lockout, headers, session security</w:t>
            </w:r>
          </w:p>
        </w:tc>
        <w:tc>
          <w:tcPr>
            <w:tcW w:type="dxa" w:w="1950"/>
            <w:shd w:fill="F5F7FA" w:val="clear"/>
            <w:tcMar>
              <w:top w:type="dxa" w:w="80"/>
              <w:left w:type="dxa" w:w="100"/>
              <w:bottom w:type="dxa" w:w="80"/>
              <w:right w:type="dxa" w:w="100"/>
            </w:tcMar>
          </w:tcPr>
          <w:p>
            <w:r>
              <w:rPr>
                <w:b w:val="false"/>
                <w:bCs w:val="false"/>
                <w:color w:val="1A2332"/>
                <w:sz w:val="19"/>
                <w:szCs w:val="19"/>
              </w:rPr>
              <w:t xml:space="preserve">Complete</w:t>
            </w:r>
          </w:p>
        </w:tc>
      </w:tr>
      <w:tr>
        <w:tc>
          <w:tcPr>
            <w:tcW w:type="dxa" w:w="2700"/>
            <w:tcMar>
              <w:top w:type="dxa" w:w="80"/>
              <w:left w:type="dxa" w:w="100"/>
              <w:bottom w:type="dxa" w:w="80"/>
              <w:right w:type="dxa" w:w="100"/>
            </w:tcMar>
          </w:tcPr>
          <w:p>
            <w:r>
              <w:rPr>
                <w:b w:val="false"/>
                <w:bCs w:val="false"/>
                <w:color w:val="1A2332"/>
                <w:sz w:val="19"/>
                <w:szCs w:val="19"/>
              </w:rPr>
              <w:t xml:space="preserve">SEO</w:t>
            </w:r>
          </w:p>
        </w:tc>
        <w:tc>
          <w:tcPr>
            <w:tcW w:type="dxa" w:w="2350"/>
            <w:tcMar>
              <w:top w:type="dxa" w:w="80"/>
              <w:left w:type="dxa" w:w="100"/>
              <w:bottom w:type="dxa" w:w="80"/>
              <w:right w:type="dxa" w:w="100"/>
            </w:tcMar>
          </w:tcPr>
          <w:p>
            <w:r>
              <w:rPr>
                <w:b w:val="false"/>
                <w:bCs w:val="false"/>
                <w:color w:val="1A2332"/>
                <w:sz w:val="19"/>
                <w:szCs w:val="19"/>
              </w:rPr>
              <w:t xml:space="preserve">Explicit requirement</w:t>
            </w:r>
          </w:p>
        </w:tc>
        <w:tc>
          <w:tcPr>
            <w:tcW w:type="dxa" w:w="2350"/>
            <w:tcMar>
              <w:top w:type="dxa" w:w="80"/>
              <w:left w:type="dxa" w:w="100"/>
              <w:bottom w:type="dxa" w:w="80"/>
              <w:right w:type="dxa" w:w="100"/>
            </w:tcMar>
          </w:tcPr>
          <w:p>
            <w:r>
              <w:rPr>
                <w:b w:val="false"/>
                <w:bCs w:val="false"/>
                <w:color w:val="1A2332"/>
                <w:sz w:val="19"/>
                <w:szCs w:val="19"/>
              </w:rPr>
              <w:t xml:space="preserve">robots.txt, sitemap.xml, metadata</w:t>
            </w:r>
          </w:p>
        </w:tc>
        <w:tc>
          <w:tcPr>
            <w:tcW w:type="dxa" w:w="1950"/>
            <w:tcMar>
              <w:top w:type="dxa" w:w="80"/>
              <w:left w:type="dxa" w:w="100"/>
              <w:bottom w:type="dxa" w:w="80"/>
              <w:right w:type="dxa" w:w="100"/>
            </w:tcMar>
          </w:tcPr>
          <w:p>
            <w:r>
              <w:rPr>
                <w:b w:val="false"/>
                <w:bCs w:val="false"/>
                <w:color w:val="1A2332"/>
                <w:sz w:val="19"/>
                <w:szCs w:val="19"/>
              </w:rPr>
              <w:t xml:space="preserve">Complete</w:t>
            </w:r>
          </w:p>
        </w:tc>
      </w:tr>
    </w:tbl>
    <w:p>
      <w:pPr>
        <w:pStyle w:val="Heading1"/>
        <w:spacing w:after="160" w:before="360"/>
      </w:pPr>
      <w:r>
        <w:rPr>
          <w:b/>
          <w:bCs/>
          <w:color w:val="1A2332"/>
          <w:sz w:val="30"/>
          <w:szCs w:val="30"/>
        </w:rPr>
        <w:t xml:space="preserve">9. Known Gaps and Recommended Next Steps</w:t>
      </w:r>
    </w:p>
    <w:p>
      <w:pPr>
        <w:spacing w:after="160"/>
      </w:pPr>
      <w:r>
        <w:rPr>
          <w:sz w:val="21"/>
          <w:szCs w:val="21"/>
        </w:rPr>
        <w:t xml:space="preserve">Recorded plainly for planning purposes, in rough priority order:</w:t>
      </w:r>
    </w:p>
    <w:p>
      <w:pPr>
        <w:pStyle w:val="ListParagraph"/>
        <w:numPr>
          <w:ilvl w:val="0"/>
          <w:numId w:val="2"/>
        </w:numPr>
        <w:spacing w:after="60"/>
      </w:pPr>
      <w:r>
        <w:rPr>
          <w:sz w:val="21"/>
          <w:szCs w:val="21"/>
        </w:rPr>
        <w:t xml:space="preserve">Remaining CEO/Manager chart types from the original spec: scatter plots (Workload vs. Satisfaction, Training vs. Performance), box plots (Salary Distribution), tree maps (Employee Status), and stacked/clustered variants not yet built.</w:t>
      </w:r>
    </w:p>
    <w:p>
      <w:pPr>
        <w:pStyle w:val="ListParagraph"/>
        <w:numPr>
          <w:ilvl w:val="0"/>
          <w:numId w:val="2"/>
        </w:numPr>
        <w:spacing w:after="60"/>
      </w:pPr>
      <w:r>
        <w:rPr>
          <w:sz w:val="21"/>
          <w:szCs w:val="21"/>
        </w:rPr>
        <w:t xml:space="preserve">Employee dashboard gauges (Performance, Satisfaction, Overall Performance Index) — specified as gauge visuals, not yet implemented as such.</w:t>
      </w:r>
    </w:p>
    <w:p>
      <w:pPr>
        <w:pStyle w:val="ListParagraph"/>
        <w:numPr>
          <w:ilvl w:val="0"/>
          <w:numId w:val="2"/>
        </w:numPr>
        <w:spacing w:after="60"/>
      </w:pPr>
      <w:r>
        <w:rPr>
          <w:sz w:val="21"/>
          <w:szCs w:val="21"/>
        </w:rPr>
        <w:t xml:space="preserve">Remaining CEO global filter dimensions: Gender, Education, Experience, Year (only Department is wired up).</w:t>
      </w:r>
    </w:p>
    <w:p>
      <w:pPr>
        <w:pStyle w:val="ListParagraph"/>
        <w:numPr>
          <w:ilvl w:val="0"/>
          <w:numId w:val="2"/>
        </w:numPr>
        <w:spacing w:after="60"/>
      </w:pPr>
      <w:r>
        <w:rPr>
          <w:sz w:val="21"/>
          <w:szCs w:val="21"/>
        </w:rPr>
        <w:t xml:space="preserve">Password reset flow — currently requires manual database update.</w:t>
      </w:r>
    </w:p>
    <w:p>
      <w:pPr>
        <w:pStyle w:val="ListParagraph"/>
        <w:numPr>
          <w:ilvl w:val="0"/>
          <w:numId w:val="2"/>
        </w:numPr>
        <w:spacing w:after="60"/>
      </w:pPr>
      <w:r>
        <w:rPr>
          <w:sz w:val="21"/>
          <w:szCs w:val="21"/>
        </w:rPr>
        <w:t xml:space="preserve">Per-employee unique password provisioning, replacing the shared test password used during development.</w:t>
      </w:r>
    </w:p>
    <w:p>
      <w:pPr>
        <w:pStyle w:val="ListParagraph"/>
        <w:numPr>
          <w:ilvl w:val="0"/>
          <w:numId w:val="2"/>
        </w:numPr>
        <w:spacing w:after="60"/>
      </w:pPr>
      <w:r>
        <w:rPr>
          <w:sz w:val="21"/>
          <w:szCs w:val="21"/>
        </w:rPr>
        <w:t xml:space="preserve">Audit logging of dashboard access.</w:t>
      </w:r>
    </w:p>
    <w:p>
      <w:pPr>
        <w:pStyle w:val="ListParagraph"/>
        <w:numPr>
          <w:ilvl w:val="0"/>
          <w:numId w:val="2"/>
        </w:numPr>
        <w:spacing w:after="60"/>
      </w:pPr>
      <w:r>
        <w:rPr>
          <w:sz w:val="21"/>
          <w:szCs w:val="21"/>
        </w:rPr>
        <w:t xml:space="preserve">IP-based rate limiting at the platform/edge layer, complementing the existing per-account lockout.</w:t>
      </w:r>
    </w:p>
    <w:p>
      <w:pPr>
        <w:pStyle w:val="Heading1"/>
        <w:spacing w:after="160" w:before="360"/>
      </w:pPr>
      <w:r>
        <w:rPr>
          <w:b/>
          <w:bCs/>
          <w:color w:val="1A2332"/>
          <w:sz w:val="30"/>
          <w:szCs w:val="30"/>
        </w:rPr>
        <w:t xml:space="preserve">10. Conclusion</w:t>
      </w:r>
    </w:p>
    <w:p>
      <w:pPr>
        <w:spacing w:after="160"/>
      </w:pPr>
      <w:r>
        <w:rPr>
          <w:sz w:val="21"/>
          <w:szCs w:val="21"/>
        </w:rPr>
        <w:t xml:space="preserve">The platform successfully implements the core architecture specified in the original brief: role-based authentication, four independently-guarded route trees, and data-backed dashboards for all three organisational tiers plus a QA simulation mode. Version 2 addressed real data-integrity defects at their root cause rather than patching symptoms, and materially closed the gap between the specified design system and the shipped UI. The specification's full chart catalogue remains partially implemented, which is recorded transparently in Section 8 rather than presented as complete, and forms the basis of the prioritised roadmap in Section 9.</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2026-08-20T11:30:41.441Z</dcterms:created>
  <dcterms:modified xsi:type="dcterms:W3CDTF">2026-08-20T11:30:41.456Z</dcterms:modified>
</cp:coreProperties>
</file>

<file path=docProps/custom.xml><?xml version="1.0" encoding="utf-8"?>
<Properties xmlns="http://schemas.openxmlformats.org/officeDocument/2006/custom-properties" xmlns:vt="http://schemas.openxmlformats.org/officeDocument/2006/docPropsVTypes"/>
</file>