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61"/>
        <w:gridCol w:w="5815"/>
      </w:tblGrid>
      <w:tr w:rsidR="00C5646E" w:rsidRPr="00C5646E" w14:paraId="0D847033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4547C5A9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D76B47E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DF7264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Prompt</w:t>
            </w:r>
          </w:p>
        </w:tc>
      </w:tr>
      <w:tr w:rsidR="00C5646E" w:rsidRPr="00C5646E" w14:paraId="7EEB184D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2CD1187D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6CA54395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Gather full functional requirements</w:t>
            </w:r>
          </w:p>
        </w:tc>
        <w:tc>
          <w:tcPr>
            <w:tcW w:w="0" w:type="auto"/>
            <w:vAlign w:val="center"/>
            <w:hideMark/>
          </w:tcPr>
          <w:p w14:paraId="1B1E929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“Analyze the IMIC insurance scenario and list all functional requirements for Policy Holder, Agent, and Company Staff portals. Break them down by modules, user flows, data inputs, and validations.”</w:t>
            </w:r>
          </w:p>
        </w:tc>
      </w:tr>
      <w:tr w:rsidR="00C5646E" w:rsidRPr="00C5646E" w14:paraId="3A2796F1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1C103391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3497033D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Identify missing gaps</w:t>
            </w:r>
          </w:p>
        </w:tc>
        <w:tc>
          <w:tcPr>
            <w:tcW w:w="0" w:type="auto"/>
            <w:vAlign w:val="center"/>
            <w:hideMark/>
          </w:tcPr>
          <w:p w14:paraId="2064128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“Review the IMIC insurance workflow and identify hidden or missing requirements that are not explicitly stated but necessary for a complete system design.”</w:t>
            </w:r>
          </w:p>
        </w:tc>
      </w:tr>
      <w:tr w:rsidR="00C5646E" w:rsidRPr="00C5646E" w14:paraId="4A40C617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1BD6637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0AB34DEA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Elicit business rules</w:t>
            </w:r>
          </w:p>
        </w:tc>
        <w:tc>
          <w:tcPr>
            <w:tcW w:w="0" w:type="auto"/>
            <w:vAlign w:val="center"/>
            <w:hideMark/>
          </w:tcPr>
          <w:p w14:paraId="1BC0B08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“Extract all business rules from the IMIC case study, including policy approval rules, claim rejection criteria, document upload constraints, and premium computation rules.”</w:t>
            </w:r>
          </w:p>
        </w:tc>
      </w:tr>
      <w:tr w:rsidR="00C5646E" w:rsidRPr="00C5646E" w14:paraId="731F39FC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31FC502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379B9BF2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Clarify dependencies</w:t>
            </w:r>
          </w:p>
        </w:tc>
        <w:tc>
          <w:tcPr>
            <w:tcW w:w="0" w:type="auto"/>
            <w:vAlign w:val="center"/>
            <w:hideMark/>
          </w:tcPr>
          <w:p w14:paraId="67BA5A18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“List all dependencies and cross</w:t>
            </w:r>
            <w:r w:rsidRPr="00C5646E">
              <w:rPr>
                <w:rFonts w:ascii="Calibri" w:hAnsi="Calibri" w:cs="Calibri"/>
                <w:sz w:val="22"/>
                <w:szCs w:val="22"/>
              </w:rPr>
              <w:noBreakHyphen/>
              <w:t>module interactions for Policy Applications, Claims Management, Document Handling, and Authentication.”</w:t>
            </w:r>
          </w:p>
        </w:tc>
      </w:tr>
      <w:tr w:rsidR="00C5646E" w:rsidRPr="00C5646E" w14:paraId="4D874C20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10006EA3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7BA120E1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F774462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“Convert IMIC’s requirements into clear User Stories with Acceptance Criteria for each stakeholder (Policy Holder, Agent, Company Staff, Admin).”</w:t>
            </w:r>
          </w:p>
        </w:tc>
      </w:tr>
      <w:tr w:rsidR="00C5646E" w:rsidRPr="00C5646E" w14:paraId="6A87237A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5A805073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079B2A0A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66A88870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“Identify all NFRs for IMIC (performance, scalability, availability, security, usability, auditability) with measurable parameters.”</w:t>
            </w:r>
          </w:p>
        </w:tc>
      </w:tr>
      <w:tr w:rsidR="00C5646E" w:rsidRPr="00C5646E" w14:paraId="49685DCA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5D68E3A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1BF2397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Validation &amp; data rules</w:t>
            </w:r>
          </w:p>
        </w:tc>
        <w:tc>
          <w:tcPr>
            <w:tcW w:w="0" w:type="auto"/>
            <w:vAlign w:val="center"/>
            <w:hideMark/>
          </w:tcPr>
          <w:p w14:paraId="36933BC2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“List all mandatory field validations, data formats, constraints, and integrity rules needed for IMIC’s input forms (members, applications, claims).”</w:t>
            </w:r>
          </w:p>
        </w:tc>
      </w:tr>
      <w:tr w:rsidR="00C5646E" w:rsidRPr="00C5646E" w14:paraId="10A03615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43E2DFD4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B1B2D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Create a security architecture</w:t>
            </w:r>
          </w:p>
        </w:tc>
        <w:tc>
          <w:tcPr>
            <w:tcW w:w="0" w:type="auto"/>
            <w:vAlign w:val="center"/>
            <w:hideMark/>
          </w:tcPr>
          <w:p w14:paraId="4927A2E0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“Design a security architecture for the IMIC system including authentication, authorization, encryption, document access control, lockout policy, audit logging, and secure API standards.”</w:t>
            </w:r>
          </w:p>
        </w:tc>
      </w:tr>
      <w:tr w:rsidR="00C5646E" w:rsidRPr="00C5646E" w14:paraId="5E7EE0EF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6D477AC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A3DF224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Threat modelling</w:t>
            </w:r>
          </w:p>
        </w:tc>
        <w:tc>
          <w:tcPr>
            <w:tcW w:w="0" w:type="auto"/>
            <w:vAlign w:val="center"/>
            <w:hideMark/>
          </w:tcPr>
          <w:p w14:paraId="657F44CA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“Perform a STRIDE-based threat model for the IMIC portals and recommend mitigations for each threat category.”</w:t>
            </w:r>
          </w:p>
        </w:tc>
      </w:tr>
      <w:tr w:rsidR="00C5646E" w:rsidRPr="00C5646E" w14:paraId="6574A3C2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44880BB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362B9F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RBAC definition</w:t>
            </w:r>
          </w:p>
        </w:tc>
        <w:tc>
          <w:tcPr>
            <w:tcW w:w="0" w:type="auto"/>
            <w:vAlign w:val="center"/>
            <w:hideMark/>
          </w:tcPr>
          <w:p w14:paraId="633438D1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“Define a complete RBAC matrix for IMIC: Policy Holder, Agent, Staff, Admin, Auditor. Include allowed actions, restricted actions, and sensitive operations.”</w:t>
            </w:r>
          </w:p>
        </w:tc>
      </w:tr>
      <w:tr w:rsidR="00C5646E" w:rsidRPr="00C5646E" w14:paraId="1E3EF847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46BB30A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16465515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Document upload hardening</w:t>
            </w:r>
          </w:p>
        </w:tc>
        <w:tc>
          <w:tcPr>
            <w:tcW w:w="0" w:type="auto"/>
            <w:vAlign w:val="center"/>
            <w:hideMark/>
          </w:tcPr>
          <w:p w14:paraId="233AB503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“Explain best practices for securing IMIC’s document upload system, including AV scanning, MIME/type restrictions, size limits, encryption, and signed URL access.”</w:t>
            </w:r>
          </w:p>
        </w:tc>
      </w:tr>
      <w:tr w:rsidR="00C5646E" w:rsidRPr="00C5646E" w14:paraId="39964E5D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70C77A81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B3A85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1A4DE6A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“Generate a full audit logging specification for IMIC, listing what events must be logged, required metadata, and retention requirements.”</w:t>
            </w:r>
          </w:p>
        </w:tc>
      </w:tr>
      <w:tr w:rsidR="00C5646E" w:rsidRPr="00C5646E" w14:paraId="5051EB88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56491A61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85D7D9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Authentication controls</w:t>
            </w:r>
          </w:p>
        </w:tc>
        <w:tc>
          <w:tcPr>
            <w:tcW w:w="0" w:type="auto"/>
            <w:vAlign w:val="center"/>
            <w:hideMark/>
          </w:tcPr>
          <w:p w14:paraId="22B68D28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“Design the IMIC login &amp; session security: lockout after 3 attempts, JWT/Session handling, cookie flags, idle timeout, absolute timeout, and account recovery.”</w:t>
            </w:r>
          </w:p>
        </w:tc>
      </w:tr>
      <w:tr w:rsidR="00C5646E" w:rsidRPr="00C5646E" w14:paraId="6868DCE9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71C59C7E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51170AE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91C940F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“Identify compliance requirements for IMIC related to handling PHI/PII (medical reports, identity documents, financial data).”</w:t>
            </w:r>
          </w:p>
        </w:tc>
      </w:tr>
      <w:tr w:rsidR="00C5646E" w:rsidRPr="00C5646E" w14:paraId="2C158945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19EFD234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Component-Based Diagram</w:t>
            </w:r>
          </w:p>
        </w:tc>
        <w:tc>
          <w:tcPr>
            <w:tcW w:w="0" w:type="auto"/>
            <w:vAlign w:val="center"/>
            <w:hideMark/>
          </w:tcPr>
          <w:p w14:paraId="205FDC8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High-level components</w:t>
            </w:r>
          </w:p>
        </w:tc>
        <w:tc>
          <w:tcPr>
            <w:tcW w:w="0" w:type="auto"/>
            <w:vAlign w:val="center"/>
            <w:hideMark/>
          </w:tcPr>
          <w:p w14:paraId="189BCD09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“Generate a Component-Based Diagram for IMIC showing UI clients, API Gateway, Auth Service, Policy Service, Claim Service, Document Service, Admin Service, Notification Service, and Data Plane components.”</w:t>
            </w:r>
          </w:p>
        </w:tc>
      </w:tr>
      <w:tr w:rsidR="00C5646E" w:rsidRPr="00C5646E" w14:paraId="7D9DE2F9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513FDBFB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Component-Based Diagram</w:t>
            </w:r>
          </w:p>
        </w:tc>
        <w:tc>
          <w:tcPr>
            <w:tcW w:w="0" w:type="auto"/>
            <w:vAlign w:val="center"/>
            <w:hideMark/>
          </w:tcPr>
          <w:p w14:paraId="19E703B4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Microservice decomposition</w:t>
            </w:r>
          </w:p>
        </w:tc>
        <w:tc>
          <w:tcPr>
            <w:tcW w:w="0" w:type="auto"/>
            <w:vAlign w:val="center"/>
            <w:hideMark/>
          </w:tcPr>
          <w:p w14:paraId="4E85C9D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“Break down IMIC into logical backend components and show how they communicate (Auth, Policy, Claims, Document, Notification, Audit, Gateway).”</w:t>
            </w:r>
          </w:p>
        </w:tc>
      </w:tr>
      <w:tr w:rsidR="00C5646E" w:rsidRPr="00C5646E" w14:paraId="5828A3EF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2D19536F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Component-Based Diagram</w:t>
            </w:r>
          </w:p>
        </w:tc>
        <w:tc>
          <w:tcPr>
            <w:tcW w:w="0" w:type="auto"/>
            <w:vAlign w:val="center"/>
            <w:hideMark/>
          </w:tcPr>
          <w:p w14:paraId="3FA28F3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Integration view</w:t>
            </w:r>
          </w:p>
        </w:tc>
        <w:tc>
          <w:tcPr>
            <w:tcW w:w="0" w:type="auto"/>
            <w:vAlign w:val="center"/>
            <w:hideMark/>
          </w:tcPr>
          <w:p w14:paraId="5A5DB654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“Create a component diagram including external integrations like Email/SMS providers, anti-virus scanning, and object storage.”</w:t>
            </w:r>
          </w:p>
        </w:tc>
      </w:tr>
      <w:tr w:rsidR="00C5646E" w:rsidRPr="00C5646E" w14:paraId="60896E43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2A25E57C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Component-Based Diagram</w:t>
            </w:r>
          </w:p>
        </w:tc>
        <w:tc>
          <w:tcPr>
            <w:tcW w:w="0" w:type="auto"/>
            <w:vAlign w:val="center"/>
            <w:hideMark/>
          </w:tcPr>
          <w:p w14:paraId="0AE1A1D6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Security-aware components</w:t>
            </w:r>
          </w:p>
        </w:tc>
        <w:tc>
          <w:tcPr>
            <w:tcW w:w="0" w:type="auto"/>
            <w:vAlign w:val="center"/>
            <w:hideMark/>
          </w:tcPr>
          <w:p w14:paraId="0D0A55C7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“Produce a component diagram with security overlays such as RBAC enforcement points, JWT validation, rate limiting, and secure document access flows.”</w:t>
            </w:r>
          </w:p>
        </w:tc>
      </w:tr>
      <w:tr w:rsidR="00C5646E" w:rsidRPr="00C5646E" w14:paraId="02CE996F" w14:textId="77777777" w:rsidTr="009C6DF4">
        <w:trPr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1357D84F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646E">
              <w:rPr>
                <w:rFonts w:ascii="Calibri" w:hAnsi="Calibri" w:cs="Calibri"/>
                <w:b/>
                <w:bCs/>
                <w:sz w:val="22"/>
                <w:szCs w:val="22"/>
              </w:rPr>
              <w:t>Component-Based Diagram</w:t>
            </w:r>
          </w:p>
        </w:tc>
        <w:tc>
          <w:tcPr>
            <w:tcW w:w="0" w:type="auto"/>
            <w:vAlign w:val="center"/>
            <w:hideMark/>
          </w:tcPr>
          <w:p w14:paraId="2C120B9E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Data plane &amp; storage</w:t>
            </w:r>
          </w:p>
        </w:tc>
        <w:tc>
          <w:tcPr>
            <w:tcW w:w="0" w:type="auto"/>
            <w:vAlign w:val="center"/>
            <w:hideMark/>
          </w:tcPr>
          <w:p w14:paraId="4B5479B9" w14:textId="77777777" w:rsidR="00551C7B" w:rsidRPr="00C5646E" w:rsidRDefault="00551C7B" w:rsidP="00C5646E">
            <w:pPr>
              <w:shd w:val="clear" w:color="auto" w:fill="FFFFFF" w:themeFill="background1"/>
              <w:rPr>
                <w:rFonts w:ascii="Calibri" w:hAnsi="Calibri" w:cs="Calibri"/>
                <w:sz w:val="22"/>
                <w:szCs w:val="22"/>
              </w:rPr>
            </w:pPr>
            <w:r w:rsidRPr="00C5646E">
              <w:rPr>
                <w:rFonts w:ascii="Calibri" w:hAnsi="Calibri" w:cs="Calibri"/>
                <w:sz w:val="22"/>
                <w:szCs w:val="22"/>
              </w:rPr>
              <w:t>“Show the data layer components for IMIC (DB, Object Storage, Cache, Logs, Queues) and map which service interacts with which store.”</w:t>
            </w:r>
          </w:p>
        </w:tc>
      </w:tr>
    </w:tbl>
    <w:p w14:paraId="7B8B5FC4" w14:textId="77777777" w:rsidR="00E67C04" w:rsidRPr="00C5646E" w:rsidRDefault="00E67C04" w:rsidP="00C5646E">
      <w:pPr>
        <w:shd w:val="clear" w:color="auto" w:fill="FFFFFF" w:themeFill="background1"/>
        <w:rPr>
          <w:rFonts w:ascii="Calibri" w:hAnsi="Calibri" w:cs="Calibri"/>
          <w:sz w:val="22"/>
          <w:szCs w:val="22"/>
        </w:rPr>
      </w:pPr>
    </w:p>
    <w:sectPr w:rsidR="00E67C04" w:rsidRPr="00C5646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F226" w14:textId="77777777" w:rsidR="00BC27A7" w:rsidRDefault="00BC27A7" w:rsidP="00551C7B">
      <w:pPr>
        <w:spacing w:after="0" w:line="240" w:lineRule="auto"/>
      </w:pPr>
      <w:r>
        <w:separator/>
      </w:r>
    </w:p>
  </w:endnote>
  <w:endnote w:type="continuationSeparator" w:id="0">
    <w:p w14:paraId="280CE457" w14:textId="77777777" w:rsidR="00BC27A7" w:rsidRDefault="00BC27A7" w:rsidP="00551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6452" w14:textId="77777777" w:rsidR="00BC27A7" w:rsidRDefault="00BC27A7" w:rsidP="00551C7B">
      <w:pPr>
        <w:spacing w:after="0" w:line="240" w:lineRule="auto"/>
      </w:pPr>
      <w:r>
        <w:separator/>
      </w:r>
    </w:p>
  </w:footnote>
  <w:footnote w:type="continuationSeparator" w:id="0">
    <w:p w14:paraId="2CAF74C7" w14:textId="77777777" w:rsidR="00BC27A7" w:rsidRDefault="00BC27A7" w:rsidP="00551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7DF5" w14:textId="77777777" w:rsidR="00551C7B" w:rsidRPr="00551C7B" w:rsidRDefault="00551C7B" w:rsidP="00551C7B">
    <w:pPr>
      <w:pStyle w:val="Header"/>
      <w:jc w:val="center"/>
    </w:pPr>
    <w:r w:rsidRPr="00551C7B">
      <w:t>Prompts</w:t>
    </w:r>
  </w:p>
  <w:p w14:paraId="61544D41" w14:textId="77777777" w:rsidR="00551C7B" w:rsidRDefault="00551C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81"/>
    <w:rsid w:val="0023673A"/>
    <w:rsid w:val="002E1BDF"/>
    <w:rsid w:val="0032434E"/>
    <w:rsid w:val="00551C7B"/>
    <w:rsid w:val="008F4323"/>
    <w:rsid w:val="009C6DF4"/>
    <w:rsid w:val="00B70B6D"/>
    <w:rsid w:val="00BA1F2D"/>
    <w:rsid w:val="00BC27A7"/>
    <w:rsid w:val="00C5646E"/>
    <w:rsid w:val="00E50A81"/>
    <w:rsid w:val="00E6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DA681-8FC7-43CF-B098-90AF292B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C7B"/>
  </w:style>
  <w:style w:type="paragraph" w:styleId="Footer">
    <w:name w:val="footer"/>
    <w:basedOn w:val="Normal"/>
    <w:link w:val="FooterChar"/>
    <w:uiPriority w:val="99"/>
    <w:unhideWhenUsed/>
    <w:rsid w:val="00551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3226</Characters>
  <Application>Microsoft Office Word</Application>
  <DocSecurity>0</DocSecurity>
  <Lines>122</Lines>
  <Paragraphs>60</Paragraphs>
  <ScaleCrop>false</ScaleCrop>
  <Company>Cognizant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Patra, Arunava (Cognizant)</dc:creator>
  <cp:keywords/>
  <dc:description/>
  <cp:lastModifiedBy>Patra, Arunava (Cognizant)</cp:lastModifiedBy>
  <cp:revision>4</cp:revision>
  <dcterms:created xsi:type="dcterms:W3CDTF">2026-01-25T21:22:00Z</dcterms:created>
  <dcterms:modified xsi:type="dcterms:W3CDTF">2026-01-27T11:24:00Z</dcterms:modified>
</cp:coreProperties>
</file>