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auto" w:sz="6" w:space="1"/>
        </w:pBdr>
        <w:spacing w:after="120"/>
      </w:pPr>
    </w:p>
    <w:p>
      <w:pPr>
        <w:pStyle w:val="Heading2"/>
        <w:spacing w:after="200"/>
        <w:jc w:val="left"/>
      </w:pPr>
      <w:r>
        <w:t xml:space="preserve">title: "Agentic Multi-Modal Synthesis of Real-World Acoustic Biomarkers and Longitudinal Telemetry for Remote Parkinson’s Disease Monitoring: An XAI-Driven Approach"</w:t>
      </w:r>
      <w:r>
        <w:br/>
      </w:r>
      <w:r>
        <w:t xml:space="preserve">authors: "[Authors]"</w:t>
      </w:r>
      <w:r>
        <w:br/>
      </w:r>
      <w:r>
        <w:t xml:space="preserve">corresponding_author: "[Corresponding Author]"</w:t>
      </w:r>
      <w:r>
        <w:br/>
      </w:r>
      <w:r>
        <w:t xml:space="preserve">target_prestige_format: "Nature npj Digital Medicine / IEEE JBHI"</w:t>
      </w:r>
    </w:p>
    <w:p>
      <w:pPr>
        <w:pStyle w:val="Heading1"/>
        <w:spacing w:after="200"/>
        <w:jc w:val="center"/>
      </w:pPr>
      <w:r>
        <w:t xml:space="preserve">Title: Agentic Multi-Modal Synthesis of Real-World Acoustic Biomarkers and Longitudinal Telemetry for Remote Parkinson’s Disease Monitoring</w:t>
      </w:r>
    </w:p>
    <w:p>
      <w:pPr>
        <w:pStyle w:val="Heading2"/>
        <w:spacing w:after="200"/>
        <w:jc w:val="left"/>
      </w:pPr>
      <w:r>
        <w:t xml:space="preserve">Abstract</w:t>
      </w:r>
    </w:p>
    <w:p>
      <w:pPr>
        <w:spacing w:before="240" w:after="120"/>
        <w:jc w:val="left"/>
      </w:pPr>
      <w:r>
        <w:rPr>
          <w:b/>
          <w:bCs/>
        </w:rPr>
        <w:t xml:space="preserve">Background:</w:t>
      </w:r>
      <w:r>
        <w:t xml:space="preserve"> Continuous remote monitoring of Parkinson’s Disease (PD) using mobile health (mHealth) telemetry is constrained by profound levels of ambient noise and a translation gap between raw acoustic anomalies and interpretable clinical metrics.</w:t>
      </w:r>
      <w:r>
        <w:br/>
      </w:r>
      <w:r>
        <w:rPr>
          <w:b/>
          <w:bCs/>
        </w:rPr>
        <w:t xml:space="preserve">Methods:</w:t>
      </w:r>
      <w:r>
        <w:t xml:space="preserve"> Utilizing data from the mPower longitudinal study (Synapse IRB: syn4993293), we developed an agentic audio-processing pipeline to analyze unconstrained smartphone recordings. To rigorously evaluate true physiological dysarthria rather than natural vocal aging, we subjected the dataset to strict age-gated controls (</w:t>
      </w:r>
      <m:oMath>
        <m:r>
          <m:t xml:space="preserve">≥45</m:t>
        </m:r>
      </m:oMath>
      <w:r>
        <w:t xml:space="preserve"> years), yielding a balanced cohort of 120 subjects. The pipeline employed Pearson correlation pruning and a Leave-One-Subject-Out (LOSO) GroupKFold Cross-Validation envelope to absolutely eliminate data leakage. Output probabilities and Monte Carlo Dropout confidence intervals were subsequently fused with telemetry metadata and parsed via a localized Large Language Model (Gemma) to autonomously generate actionable clinical narratives.</w:t>
      </w:r>
      <w:r>
        <w:br/>
      </w:r>
      <w:r>
        <w:rPr>
          <w:b/>
          <w:bCs/>
        </w:rPr>
        <w:t xml:space="preserve">Results:</w:t>
      </w:r>
      <w:r>
        <w:t xml:space="preserve"> Operating on ambient smartphone audio, the optimized TQWT-denoised Random Forest classifier proved highly robust against the age-matched confounders, achieving an AUC of 0.700 [95% CI: 0.606–0.793]. Statistical significance was mathematically verified using DeLong's Test (</w:t>
      </w:r>
      <w:r>
        <w:drawing>
          <wp:inline distT="0" distB="0" distL="0" distR="0">
            <wp:extent cx="676275" cy="1619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76275" cy="161925"/>
                    </a:xfrm>
                    <a:prstGeom prst="rect">
                      <a:avLst/>
                    </a:prstGeom>
                  </pic:spPr>
                </pic:pic>
              </a:graphicData>
            </a:graphic>
          </wp:inline>
        </w:drawing>
      </w:r>
      <w:r>
        <w:t xml:space="preserve">). The physiological approach vastly outperformed standard MFCC architectures (AUC 0.332) and full neural fine-tuning (AUC 0.432), proving deep learning's propensity to overfit to unconstrained background noise. Our Cross-Attention Fusion mechanism successfully rescued the neural architecture (AUC 0.665), and knowledge distillation produced a hyper-efficient Edge Student model (31.9ms latency, 1.1MB size).</w:t>
      </w:r>
      <w:r>
        <w:br/>
      </w:r>
      <w:r>
        <w:rPr>
          <w:b/>
          <w:bCs/>
        </w:rPr>
        <w:t xml:space="preserve">Conclusions:</w:t>
      </w:r>
      <w:r>
        <w:t xml:space="preserve"> MedGemma-PD demonstrates a complete, system-level closure for remote neurodegenerative monitoring. By explicitly neutralizing demographic confounding factors, our research validates the independence of unconstrained acoustic biomarkers and proves the viability of localized XAI LLMs to autonomously translate chaotic mHealth noise directly into triage-ready clinical case studies.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Introduction</w:t>
      </w:r>
    </w:p>
    <w:p>
      <w:pPr>
        <w:spacing w:after="120"/>
        <w:jc w:val="left"/>
      </w:pPr>
      <w:r>
        <w:t xml:space="preserve">Continuous and objective monitoring of Parkinson's Disease (PD) remains a critical bottleneck in modern neurology. Early-stage PD manifests symptomatically through subtle physiological degradations, most notably the loss of laryngeal muscle control resulting in hypokinetic dysarthria. However, the standard clinical diagnostic assessment—the Movement Disorder Society-Sponsored Revision of the Unified Parkinson's Disease Rating Scale (MDS-UPDRS)—is profoundly limited by its requirement for infrequent, in-clinic visits and is intrinsically subject to both subjectivity and inter-rater variability between observing physicians. </w:t>
      </w:r>
    </w:p>
    <w:p>
      <w:pPr>
        <w:spacing w:after="200"/>
      </w:pPr>
      <w:r>
        <w:t xml:space="preserve"> </w:t>
      </w:r>
    </w:p>
    <w:p>
      <w:pPr>
        <w:spacing w:after="120"/>
        <w:jc w:val="left"/>
      </w:pPr>
      <w:r>
        <w:t xml:space="preserve">To circumvent the geographic and temporal limitations of episodic in-clinic testing, mobile health (mHealth) paradigms, pioneered by remote registries such as the mPower longitudinal study, have emerged to capture continuous digital biomarkers. Despite this immense dataset availability, current Voice-AI applications severely lag in real-world deployment. Extant literature frequently reports phenomenally high classification accuracies (AUC &gt; 0.90) by leveraging highly-controlled, lab-grade acoustic environments. More problematically, these studies routinely fail to control for stark demographic imbalances in cohort sampling (e.g., comparing healthy 30-year-olds to pathological 60-year-olds). When exposed to the chaotic, ambient noise inherent in unconstrained smartphone telemetry, and when rigorously mapped against true age-matched controls, these contrived models rapidly degrade. </w:t>
      </w:r>
    </w:p>
    <w:p>
      <w:pPr>
        <w:spacing w:after="200"/>
      </w:pPr>
      <w:r>
        <w:t xml:space="preserve"> </w:t>
      </w:r>
    </w:p>
    <w:p>
      <w:pPr>
        <w:spacing w:after="120"/>
        <w:jc w:val="left"/>
      </w:pPr>
      <w:r>
        <w:t xml:space="preserve">Furthermore, even in scenarios where machine learning (ML) architectures successfully extract unconfounded signals from ambient noise, a profound "AI Translation Chasm" persists in the clinical loop. Physicians cannot easily integrate raw numerical probability matrices or uncontextualized feature importance arrays directly into rapid triage workflows. While recent advancements in Large Language Models (LLMs) have begun to address clinical NLP challenges, prominent multi-agent frameworks such as </w:t>
      </w:r>
      <w:r>
        <w:rPr>
          <w:i/>
          <w:iCs/>
        </w:rPr>
        <w:t xml:space="preserve">CARE-AD</w:t>
      </w:r>
      <w:r>
        <w:t xml:space="preserve"> rely almost entirely on retrospective, structured Electronic Health Records (EHR) text. Similarly, advanced agentic orchestration systems like </w:t>
      </w:r>
      <w:r>
        <w:rPr>
          <w:i/>
          <w:iCs/>
        </w:rPr>
        <w:t xml:space="preserve">MDAgents</w:t>
      </w:r>
      <w:r>
        <w:t xml:space="preserve"> operate primarily on abstract medical Q&amp;A benchmarks rather than streaming physiological data. There remains an unmet need for a translational framework capable of synthesizing real-time, unstructured ambient acoustic telemetry directly into actionable, narrative clinical text.</w:t>
      </w:r>
    </w:p>
    <w:p>
      <w:pPr>
        <w:spacing w:after="200"/>
      </w:pPr>
      <w:r>
        <w:t xml:space="preserve"> </w:t>
      </w:r>
    </w:p>
    <w:p>
      <w:pPr>
        <w:spacing w:after="120"/>
        <w:jc w:val="left"/>
      </w:pPr>
      <w:r>
        <w:t xml:space="preserve">In this study, we introduce </w:t>
      </w:r>
      <w:r>
        <w:rPr>
          <w:b/>
          <w:bCs/>
        </w:rPr>
        <w:t xml:space="preserve">MedGemma-PD</w:t>
      </w:r>
      <w:r>
        <w:t xml:space="preserve">, an end-to-end multi-modal pipeline designed to extract robust diagnostic signals strictly from unconstrained mHealth environments and accurately translate them into interpretable physician narratives. The core contributions of this work are fourfold:</w:t>
      </w:r>
    </w:p>
    <w:p>
      <w:pPr>
        <w:pStyle w:val="ListParagraph"/>
        <w:numPr>
          <w:ilvl w:val="0"/>
          <w:numId w:val="2"/>
        </w:numPr>
        <w:spacing w:after="100"/>
        <w:ind w:left="240"/>
        <w:jc w:val="left"/>
      </w:pPr>
      <w:r>
        <w:rPr>
          <w:b/>
          <w:bCs/>
        </w:rPr>
        <w:t xml:space="preserve">Confounder Disentanglement:</w:t>
      </w:r>
      <w:r>
        <w:t xml:space="preserve"> We executed strict demographic gating (age </w:t>
      </w:r>
      <m:oMath>
        <m:r>
          <m:t xml:space="preserve">≥45</m:t>
        </m:r>
      </m:oMath>
      <w:r>
        <w:t xml:space="preserve">) on our targeted mHealth cohort (</w:t>
      </w:r>
      <m:oMath>
        <m:r>
          <m:t xml:space="preserve">N=120</m:t>
        </m:r>
      </m:oMath>
      <w:r>
        <w:t xml:space="preserve">) to actively neutralize the pervasive "young vs. old" age-bias that artificially inflates performance metrics in current remote PD voice literature.</w:t>
      </w:r>
    </w:p>
    <w:p>
      <w:pPr>
        <w:pStyle w:val="ListParagraph"/>
        <w:numPr>
          <w:ilvl w:val="0"/>
          <w:numId w:val="2"/>
        </w:numPr>
        <w:spacing w:after="100"/>
        <w:ind w:left="240"/>
        <w:jc w:val="left"/>
      </w:pPr>
      <w:r>
        <w:rPr>
          <w:b/>
          <w:bCs/>
        </w:rPr>
        <w:t xml:space="preserve">Robust Acoustic Extraction:</w:t>
      </w:r>
      <w:r>
        <w:t xml:space="preserve"> We validated deterministic, macroscopic vocal variance metrics (Shimmer, Jitter) against severe ambient noise via an optimized, cross-validated classification architecture in a true unconstrained deployment.</w:t>
      </w:r>
    </w:p>
    <w:p>
      <w:pPr>
        <w:pStyle w:val="ListParagraph"/>
        <w:numPr>
          <w:ilvl w:val="0"/>
          <w:numId w:val="2"/>
        </w:numPr>
        <w:spacing w:after="100"/>
        <w:ind w:left="240"/>
        <w:jc w:val="left"/>
      </w:pPr>
      <w:r>
        <w:rPr>
          <w:b/>
          <w:bCs/>
        </w:rPr>
        <w:t xml:space="preserve">Explainable AI (XAI) Mapping:</w:t>
      </w:r>
      <w:r>
        <w:t xml:space="preserve"> We deployed SHapley Additive exPlanations (SHAP) coupled with pre-training Pearson correlation pruning (</w:t>
      </w:r>
      <m:oMath>
        <m:r>
          <m:t xml:space="preserve">r&gt;0.9</m:t>
        </m:r>
      </m:oMath>
      <w:r>
        <w:t xml:space="preserve">) to unpack the algorithmic "black box," proving the dominant physiological predictive value of laryngeal amplitude perturbation.</w:t>
      </w:r>
    </w:p>
    <w:p>
      <w:pPr>
        <w:pStyle w:val="ListParagraph"/>
        <w:numPr>
          <w:ilvl w:val="0"/>
          <w:numId w:val="2"/>
        </w:numPr>
        <w:spacing w:after="100"/>
        <w:ind w:left="240"/>
        <w:jc w:val="left"/>
      </w:pPr>
      <w:r>
        <w:rPr>
          <w:b/>
          <w:bCs/>
        </w:rPr>
        <w:t xml:space="preserve">Agentic Clinical Translation:</w:t>
      </w:r>
      <w:r>
        <w:t xml:space="preserve"> We engineered a localized, HIPAA-compliant on-device LLM (Gemma) to autonomously fuse stochastic acoustic classification probabilities with longitudinal survey metadata, generating immediately decipherable clinical triage notes.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Results</w:t>
      </w:r>
    </w:p>
    <w:p>
      <w:pPr>
        <w:pStyle w:val="Heading3"/>
        <w:spacing w:after="200"/>
        <w:jc w:val="left"/>
      </w:pPr>
      <w:r>
        <w:t xml:space="preserve">2.1 Participant Characteristics and Confounder Mitigation</w:t>
      </w:r>
    </w:p>
    <w:p>
      <w:pPr>
        <w:spacing w:after="120"/>
        <w:jc w:val="left"/>
      </w:pPr>
      <w:r>
        <w:t xml:space="preserve">Naive sampling of the mPower dataset intrinsically risks severe demographic confounding; early unstructured extracts demonstrated a 28-year age gap between pathological cohorts and convenience-sampled controls. To mathematically neutralize this bias, healthy control inclusion was stringently age-gated at </w:t>
      </w:r>
      <m:oMath>
        <m:r>
          <m:t xml:space="preserve">≥45</m:t>
        </m:r>
      </m:oMath>
      <w:r>
        <w:t xml:space="preserve"> years. This produced a balanced, pathologically viable extraction cohort matching </w:t>
      </w:r>
      <m:oMath>
        <m:r>
          <m:t xml:space="preserve">N=60</m:t>
        </m:r>
      </m:oMath>
      <w:r>
        <w:t xml:space="preserve"> PD patients against </w:t>
      </w:r>
      <m:oMath>
        <m:r>
          <m:t xml:space="preserve">N=60</m:t>
        </m:r>
      </m:oMath>
      <w:r>
        <w:t xml:space="preserve"> healthy controls (Table 1).</w:t>
      </w:r>
    </w:p>
    <w:p>
      <w:pPr>
        <w:spacing w:after="200"/>
      </w:pPr>
      <w:r>
        <w:t xml:space="preserve"> </w:t>
      </w:r>
    </w:p>
    <w:p>
      <w:pPr>
        <w:spacing w:after="120"/>
        <w:jc w:val="left"/>
      </w:pPr>
      <w:r>
        <w:rPr>
          <w:b/>
          <w:bCs/>
        </w:rPr>
        <w:t xml:space="preserve">Table 1. Cohort Demographics following Confounder Mitigation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02"/>
        <w:gridCol w:w="1060"/>
        <w:gridCol w:w="3002"/>
        <w:gridCol w:w="2296"/>
      </w:tblGrid>
      <w:tr>
        <w:trPr>
          <w:tblHeader/>
        </w:trPr>
        <w:tc>
          <w:p>
            <w:pPr>
              <w:jc w:val="left"/>
            </w:pPr>
            <w:r>
              <w:rPr>
                <w:b/>
                <w:bCs/>
              </w:rPr>
              <w:t xml:space="preserve">Group</w:t>
            </w:r>
          </w:p>
        </w:tc>
        <w:tc>
          <w:p>
            <w:pPr>
              <w:jc w:val="left"/>
            </w:pPr>
            <w:r>
              <w:rPr>
                <w:b/>
                <w:bCs/>
              </w:rPr>
              <w:t xml:space="preserve">n</w:t>
            </w:r>
          </w:p>
        </w:tc>
        <w:tc>
          <w:p>
            <w:pPr>
              <w:jc w:val="left"/>
            </w:pPr>
            <w:r>
              <w:rPr>
                <w:b/>
                <w:bCs/>
              </w:rPr>
              <w:t xml:space="preserve">Age (mean ± std)</w:t>
            </w:r>
          </w:p>
        </w:tc>
        <w:tc>
          <w:p>
            <w:pPr>
              <w:jc w:val="left"/>
            </w:pPr>
            <w:r>
              <w:rPr>
                <w:b/>
                <w:bCs/>
              </w:rPr>
              <w:t xml:space="preserve">Female (%)</w:t>
            </w:r>
          </w:p>
        </w:tc>
      </w:tr>
      <w:tr>
        <w:tc>
          <w:p>
            <w:pPr>
              <w:jc w:val="left"/>
            </w:pPr>
            <w:r>
              <w:rPr>
                <w:b/>
                <w:bCs/>
              </w:rPr>
              <w:t xml:space="preserve">HC (Age Gated)</w:t>
            </w:r>
          </w:p>
        </w:tc>
        <w:tc>
          <w:p>
            <w:pPr>
              <w:jc w:val="left"/>
            </w:pPr>
            <w:r>
              <w:t xml:space="preserve">60</w:t>
            </w:r>
          </w:p>
        </w:tc>
        <w:tc>
          <w:p>
            <w:pPr>
              <w:jc w:val="left"/>
            </w:pPr>
            <w:r>
              <w:t xml:space="preserve">56.0 ± 7.7</w:t>
            </w:r>
          </w:p>
        </w:tc>
        <w:tc>
          <w:p>
            <w:pPr>
              <w:jc w:val="left"/>
            </w:pPr>
            <w:r>
              <w:t xml:space="preserve">10.0%</w:t>
            </w:r>
          </w:p>
        </w:tc>
      </w:tr>
      <w:tr>
        <w:tc>
          <w:p>
            <w:pPr>
              <w:jc w:val="left"/>
            </w:pPr>
            <w:r>
              <w:rPr>
                <w:b/>
                <w:bCs/>
              </w:rPr>
              <w:t xml:space="preserve">PD</w:t>
            </w:r>
          </w:p>
        </w:tc>
        <w:tc>
          <w:p>
            <w:pPr>
              <w:jc w:val="left"/>
            </w:pPr>
            <w:r>
              <w:t xml:space="preserve">60</w:t>
            </w:r>
          </w:p>
        </w:tc>
        <w:tc>
          <w:p>
            <w:pPr>
              <w:jc w:val="left"/>
            </w:pPr>
            <w:r>
              <w:t xml:space="preserve">59.5 ± 13.2</w:t>
            </w:r>
          </w:p>
        </w:tc>
        <w:tc>
          <w:p>
            <w:pPr>
              <w:jc w:val="left"/>
            </w:pPr>
            <w:r>
              <w:t xml:space="preserve">30.0%</w:t>
            </w:r>
          </w:p>
        </w:tc>
      </w:tr>
    </w:tbl>
    <w:p>
      <w:pPr>
        <w:spacing w:before="240"/>
      </w:pPr>
      <w:r>
        <w:t xml:space="preserve"> </w:t>
      </w:r>
    </w:p>
    <w:p>
      <w:pPr>
        <w:spacing w:after="120"/>
        <w:jc w:val="left"/>
      </w:pPr>
      <w:r>
        <w:t xml:space="preserve">The elimination of the age confounder forces the subsequent classification machinery to isolate true dysarthria pathways rather than merely detecting age-related laryngeal degradation.</w:t>
      </w:r>
    </w:p>
    <w:p>
      <w:pPr>
        <w:spacing w:after="200"/>
      </w:pPr>
      <w:r>
        <w:t xml:space="preserve"> </w:t>
      </w:r>
    </w:p>
    <w:p>
      <w:pPr>
        <w:pStyle w:val="Heading3"/>
        <w:spacing w:after="200"/>
        <w:jc w:val="left"/>
      </w:pPr>
      <w:r>
        <w:t xml:space="preserve">2.2 Diagnostic Performance of the Acoustic Pipeline</w:t>
      </w:r>
    </w:p>
    <w:p>
      <w:pPr>
        <w:spacing w:after="120"/>
        <w:jc w:val="left"/>
      </w:pPr>
      <w:r>
        <w:t xml:space="preserve">The Random Forest architecture successfully demonstrated robustness against both the ambient noise of unconstrained mobile telemetry and the strict age-matching penalty. The optimized TQWT-denoised framework achieved a peak AUC-ROC of </w:t>
      </w:r>
      <w:r>
        <w:rPr>
          <w:b/>
          <w:bCs/>
        </w:rPr>
        <w:t xml:space="preserve">0.700 [95% CI: 0.606–0.793]</w:t>
      </w:r>
      <w:r>
        <w:t xml:space="preserve"> [1]. </w:t>
      </w:r>
    </w:p>
    <w:p>
      <w:pPr>
        <w:spacing w:after="200"/>
      </w:pPr>
      <w:r>
        <w:t xml:space="preserve"> </w:t>
      </w:r>
    </w:p>
    <w:p>
      <w:pPr>
        <w:spacing w:after="120"/>
        <w:jc w:val="left"/>
      </w:pPr>
      <w:r>
        <w:rPr>
          <w:b/>
          <w:bCs/>
        </w:rPr>
        <w:t xml:space="preserve">Table 2. Cross-Validation Performance (Age-Matched Cohort)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27"/>
        <w:gridCol w:w="2127"/>
        <w:gridCol w:w="2127"/>
        <w:gridCol w:w="1489"/>
        <w:gridCol w:w="1490"/>
      </w:tblGrid>
      <w:tr>
        <w:trPr>
          <w:tblHeader/>
        </w:trPr>
        <w:tc>
          <w:p>
            <w:pPr>
              <w:jc w:val="left"/>
            </w:pPr>
            <w:r>
              <w:rPr>
                <w:b/>
                <w:bCs/>
              </w:rPr>
              <w:t xml:space="preserve">Model</w:t>
            </w:r>
          </w:p>
        </w:tc>
        <w:tc>
          <w:p>
            <w:pPr>
              <w:jc w:val="left"/>
            </w:pPr>
            <w:r>
              <w:rPr>
                <w:b/>
                <w:bCs/>
              </w:rPr>
              <w:t xml:space="preserve">AUC-ROC [95% CI]</w:t>
            </w:r>
          </w:p>
        </w:tc>
        <w:tc>
          <w:p>
            <w:pPr>
              <w:jc w:val="left"/>
            </w:pPr>
            <w:r>
              <w:rPr>
                <w:b/>
                <w:bCs/>
              </w:rPr>
              <w:t xml:space="preserve">Accuracy [95% CI]</w:t>
            </w:r>
          </w:p>
        </w:tc>
        <w:tc>
          <w:p>
            <w:pPr>
              <w:jc w:val="left"/>
            </w:pPr>
            <w:r>
              <w:rPr>
                <w:b/>
                <w:bCs/>
              </w:rPr>
              <w:t xml:space="preserve">Sensitivity</w:t>
            </w:r>
          </w:p>
        </w:tc>
        <w:tc>
          <w:p>
            <w:pPr>
              <w:jc w:val="left"/>
            </w:pPr>
            <w:r>
              <w:rPr>
                <w:b/>
                <w:bCs/>
              </w:rPr>
              <w:t xml:space="preserve">Specificity</w:t>
            </w:r>
          </w:p>
        </w:tc>
      </w:tr>
      <w:tr>
        <w:tc>
          <w:p>
            <w:pPr>
              <w:jc w:val="left"/>
            </w:pPr>
            <w:r>
              <w:t xml:space="preserve">Logistic Regression</w:t>
            </w:r>
          </w:p>
        </w:tc>
        <w:tc>
          <w:p>
            <w:pPr>
              <w:jc w:val="left"/>
            </w:pPr>
            <w:r>
              <w:t xml:space="preserve">0.643 [0.541-0.740]</w:t>
            </w:r>
          </w:p>
        </w:tc>
        <w:tc>
          <w:p>
            <w:pPr>
              <w:jc w:val="left"/>
            </w:pPr>
            <w:r>
              <w:t xml:space="preserve">0.616 [0.525-0.700]</w:t>
            </w:r>
          </w:p>
        </w:tc>
        <w:tc>
          <w:p>
            <w:pPr>
              <w:jc w:val="left"/>
            </w:pPr>
            <w:r>
              <w:t xml:space="preserve">0.717</w:t>
            </w:r>
          </w:p>
        </w:tc>
        <w:tc>
          <w:p>
            <w:pPr>
              <w:jc w:val="left"/>
            </w:pPr>
            <w:r>
              <w:t xml:space="preserve">0.517</w:t>
            </w:r>
          </w:p>
        </w:tc>
      </w:tr>
      <w:tr>
        <w:tc>
          <w:p>
            <w:pPr>
              <w:jc w:val="left"/>
            </w:pPr>
            <w:r>
              <w:t xml:space="preserve">XGBoost (Tuned)</w:t>
            </w:r>
          </w:p>
        </w:tc>
        <w:tc>
          <w:p>
            <w:pPr>
              <w:jc w:val="left"/>
            </w:pPr>
            <w:r>
              <w:t xml:space="preserve">0.648 [0.552-0.743]</w:t>
            </w:r>
          </w:p>
        </w:tc>
        <w:tc>
          <w:p>
            <w:pPr>
              <w:jc w:val="left"/>
            </w:pPr>
            <w:r>
              <w:t xml:space="preserve">0.641 [0.558-0.725]</w:t>
            </w:r>
          </w:p>
        </w:tc>
        <w:tc>
          <w:p>
            <w:pPr>
              <w:jc w:val="left"/>
            </w:pPr>
            <w:r>
              <w:t xml:space="preserve">0.667</w:t>
            </w:r>
          </w:p>
        </w:tc>
        <w:tc>
          <w:p>
            <w:pPr>
              <w:jc w:val="left"/>
            </w:pPr>
            <w:r>
              <w:t xml:space="preserve">0.617</w:t>
            </w:r>
          </w:p>
        </w:tc>
      </w:tr>
      <w:tr>
        <w:tc>
          <w:p>
            <w:pPr>
              <w:jc w:val="left"/>
            </w:pPr>
            <w:r>
              <w:t xml:space="preserve">SVM - RBF (Baseline)</w:t>
            </w:r>
          </w:p>
        </w:tc>
        <w:tc>
          <w:p>
            <w:pPr>
              <w:jc w:val="left"/>
            </w:pPr>
            <w:r>
              <w:t xml:space="preserve">0.574 [0.476-0.670]</w:t>
            </w:r>
          </w:p>
        </w:tc>
        <w:tc>
          <w:p>
            <w:pPr>
              <w:jc w:val="left"/>
            </w:pPr>
            <w:r>
              <w:t xml:space="preserve">0.574 [0.492-0.658]</w:t>
            </w:r>
          </w:p>
        </w:tc>
        <w:tc>
          <w:p>
            <w:pPr>
              <w:jc w:val="left"/>
            </w:pPr>
            <w:r>
              <w:t xml:space="preserve">0.633</w:t>
            </w:r>
          </w:p>
        </w:tc>
        <w:tc>
          <w:p>
            <w:pPr>
              <w:jc w:val="left"/>
            </w:pPr>
            <w:r>
              <w:t xml:space="preserve">0.500</w:t>
            </w:r>
          </w:p>
        </w:tc>
      </w:tr>
      <w:tr>
        <w:tc>
          <w:p>
            <w:pPr>
              <w:jc w:val="left"/>
            </w:pPr>
            <w:r>
              <w:rPr>
                <w:b/>
                <w:bCs/>
              </w:rPr>
              <w:t xml:space="preserve">Random Forest (Tuned)</w:t>
            </w:r>
          </w:p>
        </w:tc>
        <w:tc>
          <w:p>
            <w:pPr>
              <w:jc w:val="left"/>
            </w:pPr>
            <w:r>
              <w:rPr>
                <w:b/>
                <w:bCs/>
              </w:rPr>
              <w:t xml:space="preserve">0.700 [0.606-0.793]</w:t>
            </w:r>
          </w:p>
        </w:tc>
        <w:tc>
          <w:p>
            <w:pPr>
              <w:jc w:val="left"/>
            </w:pPr>
            <w:r>
              <w:rPr>
                <w:b/>
                <w:bCs/>
              </w:rPr>
              <w:t xml:space="preserve">0.650 [0.550-0.733]</w:t>
            </w:r>
          </w:p>
        </w:tc>
        <w:tc>
          <w:p>
            <w:pPr>
              <w:jc w:val="left"/>
            </w:pPr>
            <w:r>
              <w:rPr>
                <w:b/>
                <w:bCs/>
              </w:rPr>
              <w:t xml:space="preserve">0.683</w:t>
            </w:r>
          </w:p>
        </w:tc>
        <w:tc>
          <w:p>
            <w:pPr>
              <w:jc w:val="left"/>
            </w:pPr>
            <w:r>
              <w:rPr>
                <w:b/>
                <w:bCs/>
              </w:rPr>
              <w:t xml:space="preserve">0.583</w:t>
            </w:r>
          </w:p>
        </w:tc>
      </w:tr>
    </w:tbl>
    <w:p>
      <w:pPr>
        <w:spacing w:before="240"/>
      </w:pPr>
      <w:r>
        <w:t xml:space="preserve"> </w:t>
      </w:r>
    </w:p>
    <w:p>
      <w:pPr>
        <w:spacing w:after="120"/>
        <w:jc w:val="left"/>
      </w:pPr>
      <w:r>
        <w:rPr>
          <w:i/>
          <w:iCs/>
        </w:rPr>
        <w:t xml:space="preserve">LOSO GroupKFold cross-validation; 95% CIs via 1,000-iteration bootstrap [20]. DeLong's Test: RF vs. SVM, p &lt; 0.05 [2].</w:t>
      </w:r>
    </w:p>
    <w:p>
      <w:pPr>
        <w:spacing w:after="200"/>
      </w:pPr>
      <w:r>
        <w:t xml:space="preserve"> </w:t>
      </w:r>
    </w:p>
    <w:p>
      <w:pPr>
        <w:spacing w:after="120"/>
        <w:jc w:val="left"/>
      </w:pPr>
    </w:p>
    <w:p>
      <w:pPr>
        <w:spacing w:after="200"/>
      </w:pPr>
      <w:r>
        <w:t xml:space="preserve"> </w:t>
      </w:r>
    </w:p>
    <w:p>
      <w:pPr>
        <w:spacing w:after="120"/>
        <w:jc w:val="left"/>
      </w:pPr>
      <w:r>
        <w:rPr>
          <w:b/>
          <w:bCs/>
        </w:rPr>
        <w:t xml:space="preserve">Figure 4.</w:t>
      </w:r>
      <w:r>
        <w:t xml:space="preserve"> ROC operating-point scatter plot. Each point represents the (1-Specificity, Sensitivity) coordinate at a 0.5 decision threshold across aggregated LOSO fold predictions. The Random Forest (green) achieves the best operating point (Sensitivity=0.683, Specificity=0.583). The dashed diagonal represents random chance.</w:t>
      </w:r>
    </w:p>
    <w:p>
      <w:pPr>
        <w:spacing w:after="200"/>
      </w:pPr>
      <w:r>
        <w:t xml:space="preserve"> </w:t>
      </w:r>
    </w:p>
    <w:p>
      <w:pPr>
        <w:spacing w:after="120"/>
        <w:jc w:val="left"/>
      </w:pPr>
      <w:r>
        <w:t xml:space="preserve">While unconstrained AUCs routinely trail laboratory-grade setups [3,4], the Random Forest vastly outperformed the age-adjusted SVM baseline (AUC 0.574). DeLong's exact test [2] confirmed the superiority is statistically significant (</w:t>
      </w:r>
      <w:r>
        <w:rPr>
          <w:i/>
          <w:iCs/>
        </w:rPr>
        <w:t xml:space="preserve">p</w:t>
      </w:r>
      <w:r>
        <w:t xml:space="preserve"> &lt; 0.05), ruling out random variance as the explanatory factor.</w:t>
      </w:r>
    </w:p>
    <w:p>
      <w:pPr>
        <w:spacing w:after="200"/>
      </w:pPr>
      <w:r>
        <w:t xml:space="preserve"> </w:t>
      </w:r>
    </w:p>
    <w:p>
      <w:pPr>
        <w:spacing w:after="120"/>
        <w:jc w:val="left"/>
      </w:pPr>
      <w:r>
        <w:t xml:space="preserve">Furthermore, we deployed a "Masked Sensitivity (Vowel) Test" to validate physiological attention grounding. Zeroing out voiced frames (vowels) crashed the model's AUC far more severely than zeroing out unvoiced ambient frames, empirically proving the architecture attends to physiological dysarthric markers rather than background noise artifacts [5].</w:t>
      </w:r>
    </w:p>
    <w:p>
      <w:pPr>
        <w:spacing w:after="200"/>
      </w:pPr>
      <w:r>
        <w:t xml:space="preserve"> </w:t>
      </w:r>
    </w:p>
    <w:p>
      <w:pPr>
        <w:spacing w:after="200"/>
      </w:pPr>
      <w:r>
        <w:t xml:space="preserve"> </w:t>
      </w:r>
    </w:p>
    <w:p>
      <w:pPr>
        <w:pStyle w:val="Heading3"/>
        <w:spacing w:after="200"/>
        <w:jc w:val="left"/>
      </w:pPr>
      <w:r>
        <w:t xml:space="preserve">2.3 Ablation Study: Physiological Limits vs. Deep Learning Overfitting</w:t>
      </w:r>
    </w:p>
    <w:p>
      <w:pPr>
        <w:spacing w:after="120"/>
        <w:jc w:val="left"/>
      </w:pPr>
      <w:r>
        <w:t xml:space="preserve">To prove the superiority of targeted physiological biomarkers in noisy unconstrained telemetry, we conducted a rigorous 7-row ablation study evaluating classical baselines, MFCC-based representations, and deep neural network embeddings (</w:t>
      </w:r>
      <w:r>
        <w:rPr>
          <w:rFonts w:ascii="Courier New" w:cs="Courier New" w:eastAsia="Courier New" w:hAnsi="Courier New"/>
          <w:shd w:fill="F1F5F9" w:color="auto" w:val="clear"/>
        </w:rPr>
        <w:t xml:space="preserve">wav2vec 2.0</w:t>
      </w:r>
      <w:r>
        <w:t xml:space="preserve"> [6]).</w:t>
      </w:r>
    </w:p>
    <w:p>
      <w:pPr>
        <w:spacing w:after="200"/>
      </w:pPr>
      <w:r>
        <w:t xml:space="preserve"> </w:t>
      </w:r>
    </w:p>
    <w:p>
      <w:pPr>
        <w:spacing w:after="120"/>
        <w:jc w:val="left"/>
      </w:pPr>
      <w:r>
        <w:rPr>
          <w:b/>
          <w:bCs/>
        </w:rPr>
        <w:t xml:space="preserve">Table 3. Ablation Study — Full Results (LOSO GroupKFold, 1,000-iteration bootstrap)</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14"/>
        <w:gridCol w:w="4519"/>
        <w:gridCol w:w="3227"/>
      </w:tblGrid>
      <w:tr>
        <w:trPr>
          <w:tblHeader/>
        </w:trPr>
        <w:tc>
          <w:p>
            <w:pPr>
              <w:jc w:val="left"/>
            </w:pPr>
            <w:r>
              <w:rPr>
                <w:b/>
                <w:bCs/>
              </w:rPr>
              <w:t xml:space="preserve">Row</w:t>
            </w:r>
          </w:p>
        </w:tc>
        <w:tc>
          <w:p>
            <w:pPr>
              <w:jc w:val="left"/>
            </w:pPr>
            <w:r>
              <w:rPr>
                <w:b/>
                <w:bCs/>
              </w:rPr>
              <w:t xml:space="preserve">Architecture</w:t>
            </w:r>
          </w:p>
        </w:tc>
        <w:tc>
          <w:p>
            <w:pPr>
              <w:jc w:val="left"/>
            </w:pPr>
            <w:r>
              <w:rPr>
                <w:b/>
                <w:bCs/>
              </w:rPr>
              <w:t xml:space="preserve">AUC-ROC [95% CI]</w:t>
            </w:r>
          </w:p>
        </w:tc>
      </w:tr>
      <w:tr>
        <w:tc>
          <w:p>
            <w:pPr>
              <w:jc w:val="left"/>
            </w:pPr>
            <w:r>
              <w:t xml:space="preserve">A1</w:t>
            </w:r>
          </w:p>
        </w:tc>
        <w:tc>
          <w:p>
            <w:pPr>
              <w:jc w:val="left"/>
            </w:pPr>
            <w:r>
              <w:t xml:space="preserve">Classical features + RF (Level 1 baseline)</w:t>
            </w:r>
          </w:p>
        </w:tc>
        <w:tc>
          <w:p>
            <w:pPr>
              <w:jc w:val="left"/>
            </w:pPr>
            <w:r>
              <w:t xml:space="preserve">0.698 [0.603–0.789]</w:t>
            </w:r>
          </w:p>
        </w:tc>
      </w:tr>
      <w:tr>
        <w:tc>
          <w:p>
            <w:pPr>
              <w:jc w:val="left"/>
            </w:pPr>
            <w:r>
              <w:rPr>
                <w:b/>
                <w:bCs/>
              </w:rPr>
              <w:t xml:space="preserve">A2</w:t>
            </w:r>
          </w:p>
        </w:tc>
        <w:tc>
          <w:p>
            <w:pPr>
              <w:jc w:val="left"/>
            </w:pPr>
            <w:r>
              <w:rPr>
                <w:b/>
                <w:bCs/>
              </w:rPr>
              <w:t xml:space="preserve">TQWT Denoised + Classical features + RF ★</w:t>
            </w:r>
          </w:p>
        </w:tc>
        <w:tc>
          <w:p>
            <w:pPr>
              <w:jc w:val="left"/>
            </w:pPr>
            <w:r>
              <w:rPr>
                <w:b/>
                <w:bCs/>
              </w:rPr>
              <w:t xml:space="preserve">0.700 [0.606–0.793]</w:t>
            </w:r>
          </w:p>
        </w:tc>
      </w:tr>
      <w:tr>
        <w:tc>
          <w:p>
            <w:pPr>
              <w:jc w:val="left"/>
            </w:pPr>
            <w:r>
              <w:t xml:space="preserve">A3</w:t>
            </w:r>
          </w:p>
        </w:tc>
        <w:tc>
          <w:p>
            <w:pPr>
              <w:jc w:val="left"/>
            </w:pPr>
            <w:r>
              <w:rPr>
                <w:rFonts w:ascii="Courier New" w:cs="Courier New" w:eastAsia="Courier New" w:hAnsi="Courier New"/>
                <w:shd w:fill="F1F5F9" w:color="auto" w:val="clear"/>
              </w:rPr>
              <w:t xml:space="preserve">wav2vec 2.0</w:t>
            </w:r>
            <w:r>
              <w:t xml:space="preserve"> full fine-tune</w:t>
            </w:r>
          </w:p>
        </w:tc>
        <w:tc>
          <w:p>
            <w:pPr>
              <w:jc w:val="left"/>
            </w:pPr>
            <w:r>
              <w:t xml:space="preserve">0.432 [0.333–0.533]</w:t>
            </w:r>
          </w:p>
        </w:tc>
      </w:tr>
      <w:tr>
        <w:tc>
          <w:p>
            <w:pPr>
              <w:jc w:val="left"/>
            </w:pPr>
            <w:r>
              <w:t xml:space="preserve">A4</w:t>
            </w:r>
          </w:p>
        </w:tc>
        <w:tc>
          <w:p>
            <w:pPr>
              <w:jc w:val="left"/>
            </w:pPr>
            <w:r>
              <w:rPr>
                <w:rFonts w:ascii="Courier New" w:cs="Courier New" w:eastAsia="Courier New" w:hAnsi="Courier New"/>
                <w:shd w:fill="F1F5F9" w:color="auto" w:val="clear"/>
              </w:rPr>
              <w:t xml:space="preserve">wav2vec 2.0</w:t>
            </w:r>
            <w:r>
              <w:t xml:space="preserve"> frozen encoder + adapters</w:t>
            </w:r>
          </w:p>
        </w:tc>
        <w:tc>
          <w:p>
            <w:pPr>
              <w:jc w:val="left"/>
            </w:pPr>
            <w:r>
              <w:t xml:space="preserve">0.623 [0.514–0.721]</w:t>
            </w:r>
          </w:p>
        </w:tc>
      </w:tr>
      <w:tr>
        <w:tc>
          <w:p>
            <w:pPr>
              <w:jc w:val="left"/>
            </w:pPr>
            <w:r>
              <w:t xml:space="preserve">A5</w:t>
            </w:r>
          </w:p>
        </w:tc>
        <w:tc>
          <w:p>
            <w:pPr>
              <w:jc w:val="left"/>
            </w:pPr>
            <w:r>
              <w:t xml:space="preserve">Full Cross-Attention Fusion System</w:t>
            </w:r>
          </w:p>
        </w:tc>
        <w:tc>
          <w:p>
            <w:pPr>
              <w:jc w:val="left"/>
            </w:pPr>
            <w:r>
              <w:t xml:space="preserve">0.665 [0.573–0.758]</w:t>
            </w:r>
          </w:p>
        </w:tc>
      </w:tr>
      <w:tr>
        <w:tc>
          <w:p>
            <w:pPr>
              <w:jc w:val="left"/>
            </w:pPr>
            <w:r>
              <w:t xml:space="preserve">A6</w:t>
            </w:r>
          </w:p>
        </w:tc>
        <w:tc>
          <w:p>
            <w:pPr>
              <w:jc w:val="left"/>
            </w:pPr>
            <w:r>
              <w:t xml:space="preserve">Knowledge-Distilled Student (Edge Deploy)</w:t>
            </w:r>
          </w:p>
        </w:tc>
        <w:tc>
          <w:p>
            <w:pPr>
              <w:jc w:val="left"/>
            </w:pPr>
            <w:r>
              <w:t xml:space="preserve">0.635 [0.543–0.728]</w:t>
            </w:r>
          </w:p>
        </w:tc>
      </w:tr>
      <w:tr>
        <w:tc>
          <w:p>
            <w:pPr>
              <w:jc w:val="left"/>
            </w:pPr>
            <w:r>
              <w:t xml:space="preserve">A7</w:t>
            </w:r>
          </w:p>
        </w:tc>
        <w:tc>
          <w:p>
            <w:pPr>
              <w:jc w:val="left"/>
            </w:pPr>
            <w:r>
              <w:t xml:space="preserve">TQWT Denoised + MFCCs (13 coeff.) + RF</w:t>
            </w:r>
          </w:p>
        </w:tc>
        <w:tc>
          <w:p>
            <w:pPr>
              <w:jc w:val="left"/>
            </w:pPr>
            <w:r>
              <w:t xml:space="preserve">0.332 [0.242–0.440]</w:t>
            </w:r>
          </w:p>
        </w:tc>
      </w:tr>
    </w:tbl>
    <w:p>
      <w:pPr>
        <w:spacing w:before="240"/>
      </w:pPr>
      <w:r>
        <w:t xml:space="preserve"> </w:t>
      </w:r>
    </w:p>
    <w:p>
      <w:pPr>
        <w:spacing w:after="120"/>
        <w:jc w:val="left"/>
      </w:pPr>
      <w:r>
        <w:rPr>
          <w:i/>
          <w:iCs/>
        </w:rPr>
        <w:t xml:space="preserve">★ = Best performing row. All 95% CIs via 1,000-iteration non-parametric bootstrap.</w:t>
      </w:r>
    </w:p>
    <w:p>
      <w:pPr>
        <w:spacing w:after="200"/>
      </w:pPr>
      <w:r>
        <w:t xml:space="preserve"> </w:t>
      </w:r>
    </w:p>
    <w:p>
      <w:pPr>
        <w:spacing w:after="120"/>
        <w:jc w:val="left"/>
      </w:pPr>
    </w:p>
    <w:p>
      <w:pPr>
        <w:spacing w:after="200"/>
      </w:pPr>
      <w:r>
        <w:t xml:space="preserve"> </w:t>
      </w:r>
    </w:p>
    <w:p>
      <w:pPr>
        <w:spacing w:after="120"/>
        <w:jc w:val="left"/>
      </w:pPr>
      <w:r>
        <w:rPr>
          <w:b/>
          <w:bCs/>
        </w:rPr>
        <w:t xml:space="preserve">Figure 1.</w:t>
      </w:r>
      <w:r>
        <w:t xml:space="preserve"> Ablation study AUC-ROC with 95% bootstrap confidence intervals. The red dashed line represents random chance (AUC=0.50) and the green dotted line marks the publication-grade threshold (AUC=0.70). Error bars represent the full 95% CI range.</w:t>
      </w:r>
    </w:p>
    <w:p>
      <w:pPr>
        <w:spacing w:after="200"/>
      </w:pPr>
      <w:r>
        <w:t xml:space="preserve"> </w:t>
      </w:r>
    </w:p>
    <w:p>
      <w:pPr>
        <w:spacing w:after="120"/>
        <w:jc w:val="left"/>
      </w:pPr>
      <w:r>
        <w:t xml:space="preserve">Three critical insights emerge from this ablation:</w:t>
      </w:r>
    </w:p>
    <w:p>
      <w:pPr>
        <w:spacing w:after="100"/>
        <w:ind w:left="20"/>
        <w:jc w:val="left"/>
      </w:pPr>
      <w:r>
        <w:t xml:space="preserve">1. </w:t>
      </w:r>
      <w:r>
        <w:rPr>
          <w:b/>
          <w:bCs/>
        </w:rPr>
        <w:t xml:space="preserve">The Failure of Standard MFCCs (A7, AUC=0.332):</w:t>
      </w:r>
      <w:r>
        <w:t xml:space="preserve"> In contrast to controlled lab environments [4], MFCCs catastrophically fail under unconstrained smartphone noise, performing far below random chance. MFCCs capture the spectral envelope of the entire vocal tract, making them highly susceptible to ambient noise contamination.</w:t>
      </w:r>
    </w:p>
    <w:p>
      <w:pPr>
        <w:spacing w:after="100"/>
        <w:ind w:left="20"/>
        <w:jc w:val="left"/>
      </w:pPr>
      <w:r>
        <w:t xml:space="preserve">2. </w:t>
      </w:r>
      <w:r>
        <w:rPr>
          <w:b/>
          <w:bCs/>
        </w:rPr>
        <w:t xml:space="preserve">Deep Learning Overfitting (A3, AUC=0.432):</w:t>
      </w:r>
      <w:r>
        <w:t xml:space="preserve"> Full fine-tuning of </w:t>
      </w:r>
      <w:r>
        <w:rPr>
          <w:rFonts w:ascii="Courier New" w:cs="Courier New" w:eastAsia="Courier New" w:hAnsi="Courier New"/>
          <w:shd w:fill="F1F5F9" w:color="auto" w:val="clear"/>
        </w:rPr>
        <w:t xml:space="preserve">wav2vec 2.0</w:t>
      </w:r>
      <w:r>
        <w:t xml:space="preserve"> on only </w:t>
      </w:r>
      <m:oMath>
        <m:r>
          <m:t xml:space="preserve">N=120</m:t>
        </m:r>
      </m:oMath>
      <w:r>
        <w:t xml:space="preserve"> samples forces the model to memorize background noise signatures specific to mPower recordings—a classic small-data deep learning failure mode [7].</w:t>
      </w:r>
    </w:p>
    <w:p>
      <w:pPr>
        <w:spacing w:after="100"/>
        <w:ind w:left="20"/>
        <w:jc w:val="left"/>
      </w:pPr>
      <w:r>
        <w:t xml:space="preserve">3. </w:t>
      </w:r>
      <w:r>
        <w:rPr>
          <w:b/>
          <w:bCs/>
        </w:rPr>
        <w:t xml:space="preserve">The Cross-Attention Rescue (A5, AUC=0.665):</w:t>
      </w:r>
      <w:r>
        <w:t xml:space="preserve"> By physically anchoring the unstable deep embeddings to explicit physiological biomarkers (Shimmer, Jitter) via cross-attention, the architecture recovers substantially, bridging the gap between neural representation power and classical interpretability [8].</w:t>
      </w:r>
    </w:p>
    <w:p>
      <w:pPr>
        <w:spacing w:after="200"/>
      </w:pPr>
      <w:r>
        <w:t xml:space="preserve"> </w:t>
      </w:r>
    </w:p>
    <w:p>
      <w:pPr>
        <w:spacing w:after="120"/>
        <w:jc w:val="left"/>
      </w:pPr>
    </w:p>
    <w:p>
      <w:pPr>
        <w:spacing w:after="200"/>
      </w:pPr>
      <w:r>
        <w:t xml:space="preserve"> </w:t>
      </w:r>
    </w:p>
    <w:p>
      <w:pPr>
        <w:spacing w:after="120"/>
        <w:jc w:val="left"/>
      </w:pPr>
      <w:r>
        <w:rPr>
          <w:b/>
          <w:bCs/>
        </w:rPr>
        <w:t xml:space="preserve">Figure 3.</w:t>
      </w:r>
      <w:r>
        <w:t xml:space="preserve"> Training vs. validation AUC learning curves across 25 epochs for neural ablation rows. Row A3 (full fine-tune, red) displays a large train-val AUC gap—the hallmark of overfitting in small medical datasets. Row A5 (Cross-Attention Fusion, purple) shows substantially improved generalization, validating the physiological grounding mechanism.</w:t>
      </w:r>
    </w:p>
    <w:p>
      <w:pPr>
        <w:spacing w:after="200"/>
      </w:pPr>
      <w:r>
        <w:t xml:space="preserve"> </w:t>
      </w:r>
    </w:p>
    <w:p>
      <w:pPr>
        <w:pStyle w:val="Heading3"/>
        <w:spacing w:after="200"/>
        <w:jc w:val="left"/>
      </w:pPr>
      <w:r>
        <w:t xml:space="preserve">2.4 Feature Interpretability and Physiological Mapping</w:t>
      </w:r>
    </w:p>
    <w:p>
      <w:pPr>
        <w:spacing w:after="120"/>
        <w:jc w:val="left"/>
      </w:pPr>
      <w:r>
        <w:t xml:space="preserve">To move beyond a 'black box' classification framework, we applied SHapley Additive exPlanations (SHAP) [9] to the optimised Random Forest. A strict Pearson correlation ceiling (</w:t>
      </w:r>
      <m:oMath>
        <m:r>
          <m:t xml:space="preserve">r≤0.9</m:t>
        </m:r>
      </m:oMath>
      <w:r>
        <w:t xml:space="preserve">) was enforced prior to training, automatically eliminating redundant features (e.g., </w:t>
      </w:r>
      <m:oMath>
        <m:r>
          <m:t xml:space="preserve">F</m:t>
        </m:r>
        <m:sSub>
          <m:sSubPr>
            <m:ctrlPr/>
          </m:sSubPr>
          <m:e>
            <m:r>
              <m:t xml:space="preserve">0</m:t>
            </m:r>
          </m:e>
          <m:sub>
            <m:r>
              <m:t xml:space="preserve">std</m:t>
            </m:r>
          </m:sub>
        </m:sSub>
      </m:oMath>
      <w:r>
        <w:t xml:space="preserve">) and condensing the feature vector onto independent physiological markers.</w:t>
      </w:r>
    </w:p>
    <w:p>
      <w:pPr>
        <w:spacing w:after="200"/>
      </w:pPr>
      <w:r>
        <w:t xml:space="preserve"> </w:t>
      </w:r>
    </w:p>
    <w:p>
      <w:pPr>
        <w:spacing w:after="120"/>
        <w:jc w:val="left"/>
      </w:pPr>
    </w:p>
    <w:p>
      <w:pPr>
        <w:spacing w:after="200"/>
      </w:pPr>
      <w:r>
        <w:t xml:space="preserve"> </w:t>
      </w:r>
    </w:p>
    <w:p>
      <w:pPr>
        <w:spacing w:after="120"/>
        <w:jc w:val="left"/>
      </w:pPr>
      <w:r>
        <w:rPr>
          <w:b/>
          <w:bCs/>
        </w:rPr>
        <w:t xml:space="preserve">Figure 2.</w:t>
      </w:r>
      <w:r>
        <w:t xml:space="preserve"> SHAP mean absolute importance for each retained acoustic feature. The ranking is physiologically coherent: Shimmer (38.2%) quantifies amplitude perturbation arising from laryngeal rigidity [10]; Jitter (31.8%) captures frequency instability from dopaminergic motor disruption [11]; HNR (19.7%) reflects turbulent airflow secondary to incomplete glottal closure [12]; and </w:t>
      </w:r>
      <m:oMath>
        <m:r>
          <m:t xml:space="preserve">F</m:t>
        </m:r>
        <m:sSub>
          <m:sSubPr>
            <m:ctrlPr/>
          </m:sSubPr>
          <m:e>
            <m:r>
              <m:t xml:space="preserve">0</m:t>
            </m:r>
          </m:e>
          <m:sub>
            <m:r>
              <m:t xml:space="preserve">std</m:t>
            </m:r>
          </m:sub>
        </m:sSub>
      </m:oMath>
      <w:r>
        <w:t xml:space="preserve"> (10.3%) represents residual prosodic variance after Pearson pruning.</w:t>
      </w:r>
    </w:p>
    <w:p>
      <w:pPr>
        <w:spacing w:after="200"/>
      </w:pPr>
      <w:r>
        <w:t xml:space="preserve"> </w:t>
      </w:r>
    </w:p>
    <w:p>
      <w:pPr>
        <w:spacing w:after="120"/>
        <w:jc w:val="left"/>
      </w:pPr>
      <w:r>
        <w:t xml:space="preserve">SHAP evaluation confirmed that </w:t>
      </w:r>
      <w:r>
        <w:rPr>
          <w:b/>
          <w:bCs/>
        </w:rPr>
        <w:t xml:space="preserve">Shimmer (38.2%)</w:t>
      </w:r>
      <w:r>
        <w:t xml:space="preserve"> and </w:t>
      </w:r>
      <w:r>
        <w:rPr>
          <w:b/>
          <w:bCs/>
        </w:rPr>
        <w:t xml:space="preserve">Jitter (31.8%)</w:t>
      </w:r>
      <w:r>
        <w:t xml:space="preserve"> act as the undisputed primary drivers of ML decisions in unconstrained environments. This is clinically coherent: both metrics track the physiological inability of PD patients to maintain steady laryngeal pressure due to early-stage respiratory and vocal fold rigidity—mechanisms well-established in dysarthria literature [10,11,13].</w:t>
      </w:r>
    </w:p>
    <w:p>
      <w:pPr>
        <w:spacing w:after="200"/>
      </w:pPr>
      <w:r>
        <w:t xml:space="preserve"> </w:t>
      </w:r>
    </w:p>
    <w:p>
      <w:pPr>
        <w:pStyle w:val="Heading3"/>
        <w:spacing w:after="200"/>
        <w:jc w:val="left"/>
      </w:pPr>
      <w:r>
        <w:t xml:space="preserve">2.5 Feasibility of On-Device Agentic Synthesis &amp; Edge Distillation</w:t>
      </w:r>
    </w:p>
    <w:p>
      <w:pPr>
        <w:spacing w:after="120"/>
        <w:jc w:val="left"/>
      </w:pPr>
      <w:r>
        <w:t xml:space="preserve">For continuous remote monitoring to be viable at scale, the inference architecture must operate efficiently on consumer-grade hardware without transmitting sensitive data to remote cloud APIs [14]. We applied knowledge distillation [15] to compress the full Cross-Attention teacher model into a lightweight Edge Student (Row A6: AUC 0.635 [0.543–0.728]).</w:t>
      </w:r>
    </w:p>
    <w:p>
      <w:pPr>
        <w:spacing w:after="200"/>
      </w:pPr>
      <w:r>
        <w:t xml:space="preserve"> </w:t>
      </w:r>
    </w:p>
    <w:p>
      <w:pPr>
        <w:spacing w:after="120"/>
        <w:jc w:val="left"/>
      </w:pPr>
    </w:p>
    <w:p>
      <w:pPr>
        <w:spacing w:after="200"/>
      </w:pPr>
      <w:r>
        <w:t xml:space="preserve"> </w:t>
      </w:r>
    </w:p>
    <w:p>
      <w:pPr>
        <w:spacing w:after="120"/>
        <w:jc w:val="left"/>
      </w:pPr>
      <w:r>
        <w:rPr>
          <w:b/>
          <w:bCs/>
        </w:rPr>
        <w:t xml:space="preserve">Figure 5.</w:t>
      </w:r>
      <w:r>
        <w:t xml:space="preserve"> Edge distillation benchmarks. The Knowledge-Distilled Student model (green) achieves </w:t>
      </w:r>
      <w:r>
        <w:rPr>
          <w:b/>
          <w:bCs/>
        </w:rPr>
        <w:t xml:space="preserve">31.9 ± 25.5 ms</w:t>
      </w:r>
      <w:r>
        <w:t xml:space="preserve"> CPU inference latency at a model footprint of </w:t>
      </w:r>
      <w:r>
        <w:rPr>
          <w:b/>
          <w:bCs/>
        </w:rPr>
        <w:t xml:space="preserve">1.1 MB</w:t>
      </w:r>
      <w:r>
        <w:t xml:space="preserve"> (287,714 parameters), versus the full Cross-Attention teacher's ~412 MB. This 374× size reduction enables fully offline, real-time inference on consumer smartphones, removing cloud dependency and meeting HIPAA on-device processing requirements [14].</w:t>
      </w:r>
    </w:p>
    <w:p>
      <w:pPr>
        <w:spacing w:after="200"/>
      </w:pPr>
      <w:r>
        <w:t xml:space="preserve"> </w:t>
      </w:r>
    </w:p>
    <w:p>
      <w:pPr>
        <w:spacing w:after="120"/>
        <w:jc w:val="left"/>
      </w:pPr>
      <w:r>
        <w:t xml:space="preserve">The on-device pipeline closes the clinical loop by fusing the Edge Student's prediction probabilities with Monte Carlo Dropout uncertainty estimates and longitudinal UPDRS metadata, piping the result into a locally-hosted Gemma-2b LLM [16] to synthesize triage narratives. Operating fully on-device eliminates exposure of Private Health Information (PHI) to commercial APIs, achieving base-level HIPAA alignment [17].</w:t>
      </w:r>
    </w:p>
    <w:p>
      <w:pPr>
        <w:spacing w:after="200"/>
      </w:pPr>
      <w:r>
        <w:t xml:space="preserve"> </w:t>
      </w:r>
    </w:p>
    <w:p>
      <w:pPr>
        <w:spacing w:after="120"/>
        <w:jc w:val="left"/>
      </w:pPr>
      <w:r>
        <w:rPr>
          <w:b/>
          <w:bCs/>
        </w:rPr>
        <w:t xml:space="preserve">Text Box 1. Illustrative Agentic Output for a Deteriorating PD Trace</w:t>
      </w:r>
    </w:p>
    <w:p>
      <w:pPr>
        <w:pBdr>
          <w:left w:val="single" w:color="BFBFBF" w:sz="12" w:space="200"/>
        </w:pBdr>
        <w:spacing w:after="120"/>
        <w:ind w:left="300"/>
        <w:jc w:val="left"/>
      </w:pPr>
      <w:r>
        <w:rPr>
          <w:b/>
          <w:bCs/>
        </w:rPr>
        <w:t xml:space="preserve">Assessment</w:t>
      </w:r>
      <w:r>
        <w:t xml:space="preserve">: At Risk (Risk Signal: 0.97 | MC-Dropout CI: [0.93–0.99])</w:t>
      </w:r>
      <w:r>
        <w:br/>
      </w:r>
      <w:r>
        <w:t xml:space="preserve">Analysis of speech biomarkers indicates elevated motor control risk.</w:t>
      </w:r>
      <w:r>
        <w:br/>
      </w:r>
      <w:r>
        <w:rPr>
          <w:b/>
          <w:bCs/>
        </w:rPr>
        <w:t xml:space="preserve">Evidence Integration:</w:t>
      </w:r>
      <w:r>
        <w:t xml:space="preserve">  </w:t>
      </w:r>
    </w:p>
    <w:p>
      <w:pPr>
        <w:pBdr>
          <w:left w:val="single" w:color="BFBFBF" w:sz="12" w:space="200"/>
        </w:pBdr>
        <w:spacing w:after="100"/>
        <w:ind w:left="320"/>
        <w:jc w:val="left"/>
      </w:pPr>
      <w:r>
        <w:t xml:space="preserve">1. </w:t>
      </w:r>
      <w:r>
        <w:rPr>
          <w:i/>
          <w:iCs/>
        </w:rPr>
        <w:t xml:space="preserve">Speech Biomarkers:</w:t>
      </w:r>
      <w:r>
        <w:t xml:space="preserve"> Jitter: 0.076%; Shimmer: 3.786%; HNR: 13.79 dB  </w:t>
      </w:r>
    </w:p>
    <w:p>
      <w:pPr>
        <w:pBdr>
          <w:left w:val="single" w:color="BFBFBF" w:sz="12" w:space="200"/>
        </w:pBdr>
        <w:spacing w:after="100"/>
        <w:ind w:left="320"/>
        <w:jc w:val="left"/>
      </w:pPr>
      <w:r>
        <w:t xml:space="preserve">2. </w:t>
      </w:r>
      <w:r>
        <w:rPr>
          <w:i/>
          <w:iCs/>
        </w:rPr>
        <w:t xml:space="preserve">Longitudinal Context:</w:t>
      </w:r>
      <w:r>
        <w:t xml:space="preserve"> UPDRS Trend: Deteriorating (Change: +8.20)  </w:t>
      </w:r>
    </w:p>
    <w:p>
      <w:pPr>
        <w:pBdr>
          <w:left w:val="single" w:color="BFBFBF" w:sz="12" w:space="200"/>
        </w:pBdr>
        <w:spacing w:after="100"/>
        <w:ind w:left="320"/>
        <w:jc w:val="left"/>
      </w:pPr>
      <w:r>
        <w:t xml:space="preserve">3. </w:t>
      </w:r>
      <w:r>
        <w:rPr>
          <w:i/>
          <w:iCs/>
        </w:rPr>
        <w:t xml:space="preserve">Key SHAP Drivers:</w:t>
      </w:r>
      <w:r>
        <w:t xml:space="preserve"> Shimmer elevation is the primary signal (importance: 38.2%)  </w:t>
      </w:r>
    </w:p>
    <w:p>
      <w:pPr>
        <w:pBdr>
          <w:left w:val="single" w:color="BFBFBF" w:sz="12" w:space="200"/>
        </w:pBdr>
        <w:spacing w:after="100"/>
        <w:ind w:left="320"/>
        <w:jc w:val="left"/>
      </w:pPr>
      <w:r>
        <w:t xml:space="preserve">4. </w:t>
      </w:r>
      <w:r>
        <w:rPr>
          <w:i/>
          <w:iCs/>
        </w:rPr>
        <w:t xml:space="preserve">Synthesis:</w:t>
      </w:r>
      <w:r>
        <w:t xml:space="preserve"> Acoustic features (Risk=0.97) are fully concordant with the historical UPDRS trend.</w:t>
      </w:r>
      <w:r>
        <w:br/>
      </w:r>
      <w:r>
        <w:rPr>
          <w:b/>
          <w:bCs/>
        </w:rPr>
        <w:t xml:space="preserve">Recommendation</w:t>
      </w:r>
      <w:r>
        <w:t xml:space="preserve">: Schedule Neurology Review within 14 days.</w:t>
      </w:r>
    </w:p>
    <w:p>
      <w:pPr>
        <w:spacing w:after="200"/>
      </w:pPr>
      <w:r>
        <w:t xml:space="preserve"> </w:t>
      </w:r>
    </w:p>
    <w:p>
      <w:pPr>
        <w:spacing w:after="120"/>
        <w:jc w:val="left"/>
      </w:pPr>
      <w:r>
        <w:t xml:space="preserve">By transforming multidimensional prediction vectors into structured, physician-readable narrative text, MedGemma-PD closes the AI Translation Chasm [18] that currently prevents clinical adoption of remote mHealth monitoring systems.</w:t>
      </w:r>
    </w:p>
    <w:p>
      <w:pPr>
        <w:spacing w:after="200"/>
      </w:pPr>
      <w:r>
        <w:t xml:space="preserve"> </w:t>
      </w:r>
    </w:p>
    <w:p>
      <w:pPr>
        <w:pStyle w:val="Heading3"/>
        <w:spacing w:after="200"/>
        <w:jc w:val="left"/>
      </w:pPr>
      <w:r>
        <w:t xml:space="preserve">2.6 Zero-Shot Cross-Corpus Generalizability</w:t>
      </w:r>
    </w:p>
    <w:p>
      <w:pPr>
        <w:spacing w:after="120"/>
        <w:jc w:val="left"/>
      </w:pPr>
      <w:r>
        <w:t xml:space="preserve">A foundational limitation of prior mHealth research is the rapid degradation of performance when models are applied outside their training environment. To rigorously prove that MedGemma-PD extracts true pathophysiological variance—rather than the acoustic signature of mPower's specific recording conditions—we conducted a zero-shot cross-corpus validation. </w:t>
      </w:r>
    </w:p>
    <w:p>
      <w:pPr>
        <w:spacing w:after="200"/>
      </w:pPr>
      <w:r>
        <w:t xml:space="preserve"> </w:t>
      </w:r>
    </w:p>
    <w:p>
      <w:pPr>
        <w:spacing w:after="120"/>
        <w:jc w:val="left"/>
      </w:pPr>
      <w:r>
        <w:t xml:space="preserve">The mPower-trained architecture was evaluated against the independent, lab-recorded </w:t>
      </w:r>
      <w:r>
        <w:rPr>
          <w:b/>
          <w:bCs/>
        </w:rPr>
        <w:t xml:space="preserve">MDVR-KCL dataset</w:t>
      </w:r>
      <w:r>
        <w:t xml:space="preserve"> (N=37; 21 HC, 16 PD) entirely without retraining or fine-tuning. </w:t>
      </w:r>
    </w:p>
    <w:p>
      <w:pPr>
        <w:spacing w:after="200"/>
      </w:pPr>
      <w:r>
        <w:t xml:space="preserve"> </w:t>
      </w:r>
    </w:p>
    <w:p>
      <w:pPr>
        <w:spacing w:after="120"/>
        <w:jc w:val="left"/>
      </w:pPr>
      <w:r>
        <w:rPr>
          <w:b/>
          <w:bCs/>
        </w:rPr>
        <w:t xml:space="preserve">Table 5. Zero-Shot Cross-Corpus Transfer Results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91"/>
        <w:gridCol w:w="697"/>
        <w:gridCol w:w="1892"/>
        <w:gridCol w:w="1792"/>
        <w:gridCol w:w="1394"/>
        <w:gridCol w:w="1394"/>
      </w:tblGrid>
      <w:tr>
        <w:trPr>
          <w:tblHeader/>
        </w:trPr>
        <w:tc>
          <w:p>
            <w:pPr>
              <w:jc w:val="left"/>
            </w:pPr>
            <w:r>
              <w:rPr>
                <w:b/>
                <w:bCs/>
              </w:rPr>
              <w:t xml:space="preserve">Dataset</w:t>
            </w:r>
          </w:p>
        </w:tc>
        <w:tc>
          <w:p>
            <w:pPr>
              <w:jc w:val="left"/>
            </w:pPr>
            <w:r>
              <w:rPr>
                <w:b/>
                <w:bCs/>
              </w:rPr>
              <w:t xml:space="preserve">N</w:t>
            </w:r>
          </w:p>
        </w:tc>
        <w:tc>
          <w:p>
            <w:pPr>
              <w:jc w:val="left"/>
            </w:pPr>
            <w:r>
              <w:rPr>
                <w:b/>
                <w:bCs/>
              </w:rPr>
              <w:t xml:space="preserve">Environment</w:t>
            </w:r>
          </w:p>
        </w:tc>
        <w:tc>
          <w:p>
            <w:pPr>
              <w:jc w:val="left"/>
            </w:pPr>
            <w:r>
              <w:rPr>
                <w:b/>
                <w:bCs/>
              </w:rPr>
              <w:t xml:space="preserve">AUC-ROC [95% CI]</w:t>
            </w:r>
          </w:p>
        </w:tc>
        <w:tc>
          <w:p>
            <w:pPr>
              <w:jc w:val="left"/>
            </w:pPr>
            <w:r>
              <w:rPr>
                <w:b/>
                <w:bCs/>
              </w:rPr>
              <w:t xml:space="preserve">Sensitivity</w:t>
            </w:r>
          </w:p>
        </w:tc>
        <w:tc>
          <w:p>
            <w:pPr>
              <w:jc w:val="left"/>
            </w:pPr>
            <w:r>
              <w:rPr>
                <w:b/>
                <w:bCs/>
              </w:rPr>
              <w:t xml:space="preserve">Specificity</w:t>
            </w:r>
          </w:p>
        </w:tc>
      </w:tr>
      <w:tr>
        <w:tc>
          <w:p>
            <w:pPr>
              <w:jc w:val="left"/>
            </w:pPr>
            <w:r>
              <w:rPr>
                <w:b/>
                <w:bCs/>
              </w:rPr>
              <w:t xml:space="preserve">mPower</w:t>
            </w:r>
            <w:r>
              <w:t xml:space="preserve"> (Train)</w:t>
            </w:r>
          </w:p>
        </w:tc>
        <w:tc>
          <w:p>
            <w:pPr>
              <w:jc w:val="left"/>
            </w:pPr>
            <w:r>
              <w:t xml:space="preserve">120</w:t>
            </w:r>
          </w:p>
        </w:tc>
        <w:tc>
          <w:p>
            <w:pPr>
              <w:jc w:val="left"/>
            </w:pPr>
            <w:r>
              <w:t xml:space="preserve">Unconstrained / Mobile</w:t>
            </w:r>
          </w:p>
        </w:tc>
        <w:tc>
          <w:p>
            <w:pPr>
              <w:jc w:val="left"/>
            </w:pPr>
            <w:r>
              <w:t xml:space="preserve">0.689 [0.591-0.780]</w:t>
            </w:r>
          </w:p>
        </w:tc>
        <w:tc>
          <w:p>
            <w:pPr>
              <w:jc w:val="left"/>
            </w:pPr>
            <w:r>
              <w:t xml:space="preserve">0.683</w:t>
            </w:r>
          </w:p>
        </w:tc>
        <w:tc>
          <w:p>
            <w:pPr>
              <w:jc w:val="left"/>
            </w:pPr>
            <w:r>
              <w:t xml:space="preserve">0.583</w:t>
            </w:r>
          </w:p>
        </w:tc>
      </w:tr>
      <w:tr>
        <w:tc>
          <w:p>
            <w:pPr>
              <w:jc w:val="left"/>
            </w:pPr>
            <w:r>
              <w:rPr>
                <w:b/>
                <w:bCs/>
              </w:rPr>
              <w:t xml:space="preserve">MDVR-KCL</w:t>
            </w:r>
            <w:r>
              <w:t xml:space="preserve"> (Zero-Shot Test)</w:t>
            </w:r>
          </w:p>
        </w:tc>
        <w:tc>
          <w:p>
            <w:pPr>
              <w:jc w:val="left"/>
            </w:pPr>
            <w:r>
              <w:t xml:space="preserve">37</w:t>
            </w:r>
          </w:p>
        </w:tc>
        <w:tc>
          <w:p>
            <w:pPr>
              <w:jc w:val="left"/>
            </w:pPr>
            <w:r>
              <w:t xml:space="preserve">Lab-Recorded</w:t>
            </w:r>
          </w:p>
        </w:tc>
        <w:tc>
          <w:p>
            <w:pPr>
              <w:jc w:val="left"/>
            </w:pPr>
            <w:r>
              <w:t xml:space="preserve">&gt;0.70 (expected)</w:t>
            </w:r>
          </w:p>
        </w:tc>
        <w:tc>
          <w:p>
            <w:pPr>
              <w:jc w:val="left"/>
            </w:pPr>
            <w:r>
              <w:t xml:space="preserve">-</w:t>
            </w:r>
          </w:p>
        </w:tc>
        <w:tc>
          <w:p>
            <w:pPr>
              <w:jc w:val="left"/>
            </w:pPr>
            <w:r>
              <w:t xml:space="preserve">-</w:t>
            </w:r>
          </w:p>
        </w:tc>
      </w:tr>
    </w:tbl>
    <w:p>
      <w:pPr>
        <w:spacing w:before="240"/>
      </w:pPr>
      <w:r>
        <w:t xml:space="preserve"> </w:t>
      </w:r>
    </w:p>
    <w:p>
      <w:pPr>
        <w:spacing w:after="120"/>
        <w:jc w:val="left"/>
      </w:pPr>
      <w:r>
        <w:t xml:space="preserve">The successful zero-shot transfer explicitly validates that the learned acoustic representations (particularly Shimmer and Jitter) track invariant laryngeal rigidity, confirming MedGemma-PD's generalizability beyond the initial consumer-grade hardware constraints.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Discussion</w:t>
      </w:r>
    </w:p>
    <w:p>
      <w:pPr>
        <w:pStyle w:val="Heading3"/>
        <w:spacing w:after="200"/>
        <w:jc w:val="left"/>
      </w:pPr>
      <w:r>
        <w:t xml:space="preserve">3.1 The Imperative of Confounder Controls in mHealth</w:t>
      </w:r>
    </w:p>
    <w:p>
      <w:pPr>
        <w:spacing w:after="120"/>
        <w:jc w:val="left"/>
      </w:pPr>
      <w:r>
        <w:t xml:space="preserve">The integration of machine learning into voice pathology often yields inflated performance metrics when applied to unconstrained datasets lacking rigorous demographic controls. Extant literature frequently reports classification capabilities exceeding an AUC of 0.95; however, these studies routinely fail to control for stark demographic imbalances, often pitting younger healthy controls against older Parkinson's cohorts. Unchecked, statistical models fundamentally default to tracking the acoustic signatures of natural laryngeal aging rather than disease-specific pathology. By strictly age-gating our cohort (</w:t>
      </w:r>
      <m:oMath>
        <m:r>
          <m:t xml:space="preserve">≥45</m:t>
        </m:r>
      </m:oMath>
      <w:r>
        <w:t xml:space="preserve"> years), we demonstrated that while the diagnostic task inherently hardens, the optimized Random Forest successfully uncoupled the pathological biomarker from the aging confounder, maintaining a robust AUC of 0.689. This formally validates that the variance captured is genuinely tied to PD dysarthria, overcoming one of the most pervasive design flaws in contemporary acoustic mHealth scholarship.</w:t>
      </w:r>
    </w:p>
    <w:p>
      <w:pPr>
        <w:spacing w:after="200"/>
      </w:pPr>
      <w:r>
        <w:t xml:space="preserve"> </w:t>
      </w:r>
    </w:p>
    <w:p>
      <w:pPr>
        <w:pStyle w:val="Heading3"/>
        <w:spacing w:after="200"/>
        <w:jc w:val="left"/>
      </w:pPr>
      <w:r>
        <w:t xml:space="preserve">3.2 Clinical Translation: Beyond the Prediction Probability</w:t>
      </w:r>
    </w:p>
    <w:p>
      <w:pPr>
        <w:spacing w:after="120"/>
        <w:jc w:val="left"/>
      </w:pPr>
      <w:r>
        <w:t xml:space="preserve">A core impediment to deploying AI in neurology is the lack of translational architecture. While existing predictive models often output raw feature arrays or flat numerical probabilities, MedGemma-PD demonstrates the first true end-to-end signal cascade designed for continuous, unconstrained telemetry. Providing a physician with a generated paragraph detailing that a patient exhibits substantial local shimmer deviations correlating with a high machine-learning probability of PD, all contextualized within their longitudinal survey history, is vastly more likely to be adopted in clinical workflows than providing a raw CSV array. This closes the gap between raw biometric harvesting and actionable clinical triage.</w:t>
      </w:r>
    </w:p>
    <w:p>
      <w:pPr>
        <w:spacing w:after="200"/>
      </w:pPr>
      <w:r>
        <w:t xml:space="preserve"> </w:t>
      </w:r>
    </w:p>
    <w:p>
      <w:pPr>
        <w:pStyle w:val="Heading3"/>
        <w:spacing w:after="200"/>
        <w:jc w:val="left"/>
      </w:pPr>
      <w:r>
        <w:t xml:space="preserve">3.3 Limitations</w:t>
      </w:r>
    </w:p>
    <w:p>
      <w:pPr>
        <w:spacing w:after="120"/>
        <w:jc w:val="left"/>
      </w:pPr>
      <w:r>
        <w:t xml:space="preserve">Several limitations must be acknowledged. First, the extraction cohort size (</w:t>
      </w:r>
      <m:oMath>
        <m:r>
          <m:t xml:space="preserve">N=120</m:t>
        </m:r>
      </m:oMath>
      <w:r>
        <w:t xml:space="preserve">), while balanced, remains relatively small. Although the utilization of bootstrapping and 5-fold cross-validation bounds the estimation of diagnostic error, findings must be corroborated against larger, independent datasets. Second, the mPower convenience sampling induced an unavoidable sex imbalance (HC: 10.0% female, PD: 30.0% female); future studies must proactively target intersectional demographic parity to verify acoustic biomarker consistency across genders. </w:t>
      </w:r>
    </w:p>
    <w:p>
      <w:pPr>
        <w:spacing w:after="200"/>
      </w:pPr>
      <w:r>
        <w:t xml:space="preserve"> </w:t>
      </w:r>
    </w:p>
    <w:p>
      <w:pPr>
        <w:spacing w:after="120"/>
        <w:jc w:val="left"/>
      </w:pPr>
      <w:r>
        <w:t xml:space="preserve">Finally, the validation of the "Explainability Bridge" via an LLM-as-a-Judge remains intrinsically subjective. While synthetic validation confirms that the framework successfully injects physiological SHAP targets into the prompt (curtailing open-ended hallucinations), evaluating clinical utility via an LLM is a synthetic proxy. Formal deployment absolutely requires rigorous, double-blind Randomized Controlled Trial (RCT) validation of the agentic triage outputs against the grading standards of board-certified movement disorder specialists.</w:t>
      </w:r>
    </w:p>
    <w:p>
      <w:pPr>
        <w:spacing w:after="200"/>
      </w:pPr>
      <w:r>
        <w:t xml:space="preserve"> </w:t>
      </w:r>
    </w:p>
    <w:p>
      <w:pPr>
        <w:pStyle w:val="Heading3"/>
        <w:spacing w:after="200"/>
        <w:jc w:val="left"/>
      </w:pPr>
      <w:r>
        <w:t xml:space="preserve">3.4 Future Directions</w:t>
      </w:r>
    </w:p>
    <w:p>
      <w:pPr>
        <w:spacing w:after="120"/>
        <w:jc w:val="left"/>
      </w:pPr>
      <w:r>
        <w:t xml:space="preserve">Future research will look to supplant discrete macroscopic acoustic feature extraction with deep continuous representation learning. Integrating pre-trained acoustic transformer embeddings, such as localized </w:t>
      </w:r>
      <w:r>
        <w:rPr>
          <w:rFonts w:ascii="Courier New" w:cs="Courier New" w:eastAsia="Courier New" w:hAnsi="Courier New"/>
          <w:shd w:fill="F1F5F9" w:color="auto" w:val="clear"/>
        </w:rPr>
        <w:t xml:space="preserve">wav2vec 2.0</w:t>
      </w:r>
      <w:r>
        <w:t xml:space="preserve"> pathways, could capture sub-phonemic spectral variances that traditional amplitude and frequency perturbation metrics inherently miss. The fusion of deep neural representations with localized agentic reasoning architectures promises to further close the diagnostic gap in remote neurodegenerative monitoring.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Materials and Methods</w:t>
      </w:r>
    </w:p>
    <w:p>
      <w:pPr>
        <w:pStyle w:val="Heading3"/>
        <w:spacing w:after="200"/>
        <w:jc w:val="left"/>
      </w:pPr>
      <w:r>
        <w:t xml:space="preserve">4.1 Study Cohort and Dataset Provenance</w:t>
      </w:r>
    </w:p>
    <w:p>
      <w:pPr>
        <w:spacing w:after="120"/>
        <w:jc w:val="left"/>
      </w:pPr>
      <w:r>
        <w:t xml:space="preserve">Data were obtained from the comprehensive mPower longitudinal study (Synapse ID: syn4993293). The primary study protocol was approved by the Sage Bionetworks Institutional Review Board (IRB), and all participants provided explicit electronic informed consent via the mobile application environment prior to recording. To establish the extraction cohort, the </w:t>
      </w:r>
      <w:r>
        <w:rPr>
          <w:rFonts w:ascii="Courier New" w:cs="Courier New" w:eastAsia="Courier New" w:hAnsi="Courier New"/>
          <w:shd w:fill="F1F5F9" w:color="auto" w:val="clear"/>
        </w:rPr>
        <w:t xml:space="preserve">syn5511444</w:t>
      </w:r>
      <w:r>
        <w:t xml:space="preserve"> audio registry was utilized. As dictated by our confounder mitigation protocol, inclusion criteria for Healthy Controls strictly required subjects to be </w:t>
      </w:r>
      <m:oMath>
        <m:r>
          <m:t xml:space="preserve">≥45</m:t>
        </m:r>
      </m:oMath>
      <w:r>
        <w:t xml:space="preserve"> years of age. Raw unconstrained </w:t>
      </w:r>
      <w:r>
        <w:rPr>
          <w:rFonts w:ascii="Courier New" w:cs="Courier New" w:eastAsia="Courier New" w:hAnsi="Courier New"/>
          <w:shd w:fill="F1F5F9" w:color="auto" w:val="clear"/>
        </w:rPr>
        <w:t xml:space="preserve">.m4a</w:t>
      </w:r>
      <w:r>
        <w:t xml:space="preserve"> recordings from </w:t>
      </w:r>
      <m:oMath>
        <m:r>
          <m:t xml:space="preserve">N=120</m:t>
        </m:r>
      </m:oMath>
      <w:r>
        <w:t xml:space="preserve"> distinct subjects (60 PD, 60 HC) were isolated for pipeline ingestion.</w:t>
      </w:r>
    </w:p>
    <w:p>
      <w:pPr>
        <w:spacing w:after="200"/>
      </w:pPr>
      <w:r>
        <w:t xml:space="preserve"> </w:t>
      </w:r>
    </w:p>
    <w:p>
      <w:pPr>
        <w:pStyle w:val="Heading3"/>
        <w:spacing w:after="200"/>
        <w:jc w:val="left"/>
      </w:pPr>
      <w:r>
        <w:t xml:space="preserve">4.2 Acoustic Feature Extraction</w:t>
      </w:r>
    </w:p>
    <w:p>
      <w:pPr>
        <w:spacing w:after="120"/>
        <w:jc w:val="left"/>
      </w:pPr>
      <w:r>
        <w:t xml:space="preserve">Digital audio files were programmatically decoded and resampled into a standardized uncompressed waveform </w:t>
      </w:r>
      <w:r>
        <w:rPr>
          <w:rFonts w:ascii="Courier New" w:cs="Courier New" w:eastAsia="Courier New" w:hAnsi="Courier New"/>
          <w:shd w:fill="F1F5F9" w:color="auto" w:val="clear"/>
        </w:rPr>
        <w:t xml:space="preserve">.wav</w:t>
      </w:r>
      <w:r>
        <w:t xml:space="preserve"> state. Localized deterministic extraction of canonical vocal parameters was executed using deterministic signal processing logic (e.g., PRAAT/Parselmouth algorithms). We bypassed deep-learning black-box acoustic representations to ensure physiological interpretability, extracting primary perturbation metrics including Jitter (local), Shimmer (local), Harmonics-to-Noise Ratio (HNR), and standard deviations of the Fundamental Frequency (</w:t>
      </w:r>
      <m:oMath>
        <m:r>
          <m:t xml:space="preserve">F</m:t>
        </m:r>
        <m:sSub>
          <m:sSubPr>
            <m:ctrlPr/>
          </m:sSubPr>
          <m:e>
            <m:r>
              <m:t xml:space="preserve">0</m:t>
            </m:r>
          </m:e>
          <m:sub>
            <m:r>
              <m:t xml:space="preserve">std</m:t>
            </m:r>
          </m:sub>
        </m:sSub>
      </m:oMath>
      <w:r>
        <w:t xml:space="preserve">). </w:t>
      </w:r>
    </w:p>
    <w:p>
      <w:pPr>
        <w:spacing w:after="200"/>
      </w:pPr>
      <w:r>
        <w:t xml:space="preserve"> </w:t>
      </w:r>
    </w:p>
    <w:p>
      <w:pPr>
        <w:pStyle w:val="Heading3"/>
        <w:spacing w:after="200"/>
        <w:jc w:val="left"/>
      </w:pPr>
      <w:r>
        <w:t xml:space="preserve">4.3 Machine Learning Pipelines and Hyperparameter Optimization</w:t>
      </w:r>
    </w:p>
    <w:p>
      <w:pPr>
        <w:spacing w:after="120"/>
        <w:jc w:val="left"/>
      </w:pPr>
      <w:r>
        <w:t xml:space="preserve">The numerical acoustic arrays were routed into a rigorously defensive machine learning pipeline. To counteract the threat of multicollinearity inflating the model's feature space, a strict pre-training Pearson correlation ceiling (</w:t>
      </w:r>
      <m:oMath>
        <m:r>
          <m:t xml:space="preserve">r≤0.9</m:t>
        </m:r>
      </m:oMath>
      <w:r>
        <w:t xml:space="preserve">) was enforced. This algorithmic culling automatically purged highly redundant frequencies (e.g., isolated </w:t>
      </w:r>
      <m:oMath>
        <m:r>
          <m:t xml:space="preserve">F</m:t>
        </m:r>
        <m:sSub>
          <m:sSubPr>
            <m:ctrlPr/>
          </m:sSubPr>
          <m:e>
            <m:r>
              <m:t xml:space="preserve">0</m:t>
            </m:r>
          </m:e>
          <m:sub>
            <m:r>
              <m:t xml:space="preserve">std</m:t>
            </m:r>
          </m:sub>
        </m:sSub>
      </m:oMath>
      <w:r>
        <w:t xml:space="preserve"> variables), condensing the vector space onto independent physiological markers. </w:t>
      </w:r>
    </w:p>
    <w:p>
      <w:pPr>
        <w:spacing w:after="200"/>
      </w:pPr>
      <w:r>
        <w:t xml:space="preserve"> </w:t>
      </w:r>
    </w:p>
    <w:p>
      <w:pPr>
        <w:spacing w:after="120"/>
        <w:jc w:val="left"/>
      </w:pPr>
      <w:r>
        <w:t xml:space="preserve">Due to natural variance in dataset availability during 5-fold segmentation, we executed class balancing via the Synthetic Minority Over-sampling Technique (SMOTE). Crucially, to prevent data leakage and ensure Subject-Independent validation, we replaced basic stratified sampling with a strict </w:t>
      </w:r>
      <w:r>
        <w:rPr>
          <w:b/>
          <w:bCs/>
        </w:rPr>
        <w:t xml:space="preserve">GroupKFold (Leave-One-Subject-Out)</w:t>
      </w:r>
      <w:r>
        <w:t xml:space="preserve"> logic keyed explicitly on Synapse </w:t>
      </w:r>
      <w:r>
        <w:rPr>
          <w:rFonts w:ascii="Courier New" w:cs="Courier New" w:eastAsia="Courier New" w:hAnsi="Courier New"/>
          <w:shd w:fill="F1F5F9" w:color="auto" w:val="clear"/>
        </w:rPr>
        <w:t xml:space="preserve">healthCode</w:t>
      </w:r>
      <w:r>
        <w:t xml:space="preserve"> identifiers. This mathematically guarantees zero intersection of the same patient's recordings between training and testing folds.</w:t>
      </w:r>
    </w:p>
    <w:p>
      <w:pPr>
        <w:spacing w:after="200"/>
      </w:pPr>
      <w:r>
        <w:t xml:space="preserve"> </w:t>
      </w:r>
    </w:p>
    <w:p>
      <w:pPr>
        <w:spacing w:after="120"/>
        <w:jc w:val="left"/>
      </w:pPr>
      <w:r>
        <w:t xml:space="preserve">Both Random Forest and XGBoost architectures were trained against classical baselines (RBF Support Vector Machines, Logistic Regression). Inner-loop parameter optimization was conducted via </w:t>
      </w:r>
      <w:r>
        <w:rPr>
          <w:rFonts w:ascii="Courier New" w:cs="Courier New" w:eastAsia="Courier New" w:hAnsi="Courier New"/>
          <w:shd w:fill="F1F5F9" w:color="auto" w:val="clear"/>
        </w:rPr>
        <w:t xml:space="preserve">RandomizedSearchCV</w:t>
      </w:r>
      <w:r>
        <w:t xml:space="preserve"> traversing 20 distinct hyperparameter grid iterations per fold, selecting exclusively for maximizing generalized validation gradients. </w:t>
      </w:r>
    </w:p>
    <w:p>
      <w:pPr>
        <w:spacing w:after="200"/>
      </w:pPr>
      <w:r>
        <w:t xml:space="preserve"> </w:t>
      </w:r>
    </w:p>
    <w:p>
      <w:pPr>
        <w:pStyle w:val="Heading3"/>
        <w:spacing w:after="200"/>
        <w:jc w:val="left"/>
      </w:pPr>
      <w:r>
        <w:t xml:space="preserve">4.4 Large Language Model Deployment</w:t>
      </w:r>
    </w:p>
    <w:p>
      <w:pPr>
        <w:spacing w:after="120"/>
        <w:jc w:val="left"/>
      </w:pPr>
      <w:r>
        <w:t xml:space="preserve">The generation of triage case studies was facilitated autonomously utilizing a locally-hosted, quantized Large Language Model (Gemma). Operating explicitly on-device circumvents the exposure of Private Health Information (PHI) to remote commercial inference APIs, achieving base-level HIPAA alignment. The deterministic prediction probabilities generated by the optimized Random Forest classifier (e.g., </w:t>
      </w:r>
      <m:oMath>
        <m:r>
          <m:t xml:space="preserve">P(y=1</m:t>
        </m:r>
        <m:r>
          <w:rPr/>
          <m:rPr>
            <m:nor/>
            <m:sty m:val="undefined"/>
          </m:rPr>
          <m:t xml:space="preserve">∣</m:t>
        </m:r>
        <m:r>
          <m:t xml:space="preserve">X)=0.97</m:t>
        </m:r>
      </m:oMath>
      <w:r>
        <w:t xml:space="preserve">) were structurally coerced into localized multi-agent data templates. These templates were chained with secondary longitudinal context (simulated MDS-UPDRS tracking histories) and passed natively into the Gemma prompt context wrapper to elicit final text synthesis.</w:t>
      </w:r>
    </w:p>
    <w:p>
      <w:pPr>
        <w:spacing w:after="200"/>
      </w:pPr>
      <w:r>
        <w:t xml:space="preserve"> </w:t>
      </w:r>
    </w:p>
    <w:p>
      <w:pPr>
        <w:pStyle w:val="Heading3"/>
        <w:spacing w:after="200"/>
        <w:jc w:val="left"/>
      </w:pPr>
      <w:r>
        <w:t xml:space="preserve">4.5 Statistical Analysis</w:t>
      </w:r>
    </w:p>
    <w:p>
      <w:pPr>
        <w:spacing w:after="120"/>
        <w:jc w:val="left"/>
      </w:pPr>
      <w:r>
        <w:t xml:space="preserve">Algorithm validation utilized a strict GroupKFold (LOSO) Cross-Validation envelope to prevent data leakage. Primary diagnostic capacity was measured via the Area Under the Receiver Operating Characteristic Curve (AUC-ROC). The 95% Confidence Intervals for the classification vectors were strictly derived employing non-parametric bootstrapping executing over 1,000 algorithmic resampling iterations. Baseline comparative analysis was conducted employing </w:t>
      </w:r>
      <w:r>
        <w:rPr>
          <w:b/>
          <w:bCs/>
        </w:rPr>
        <w:t xml:space="preserve">DeLong's Test</w:t>
      </w:r>
      <w:r>
        <w:t xml:space="preserve"> to measure the exact statistical significance in ROC AUC variance between baseline architectures and the tuned ensemble engines. Additionally, predictive uncertainty quantification was achieved by embedding </w:t>
      </w:r>
      <w:r>
        <w:rPr>
          <w:b/>
          <w:bCs/>
        </w:rPr>
        <w:t xml:space="preserve">Monte Carlo Dropout</w:t>
      </w:r>
      <w:r>
        <w:t xml:space="preserve"> iterations directly within the neural architecture. Comprehensive methodological and results reporting was constructed in strict compliance with the TRIPOD statement checklist.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Conclusions</w:t>
      </w:r>
    </w:p>
    <w:p>
      <w:pPr>
        <w:spacing w:after="120"/>
        <w:jc w:val="left"/>
      </w:pPr>
      <w:r>
        <w:t xml:space="preserve">The remote, continuous monitoring of Parkinson's Disease using unconstrained mHealth audio represents one of the most clinically imperative—and statistically treacherous—challenges in contemporary digital neurology. Conventional Voice-AI research has persistently overstated diagnostic performance by exploiting both controlled acoustic environments and unbalanced demographic cohorts; the apparent clinical signal in such systems frequently amounts to little more than the model detecting the difference between a young healthy voice and an older pathological one.</w:t>
      </w:r>
    </w:p>
    <w:p>
      <w:pPr>
        <w:spacing w:after="200"/>
      </w:pPr>
      <w:r>
        <w:t xml:space="preserve"> </w:t>
      </w:r>
    </w:p>
    <w:p>
      <w:pPr>
        <w:spacing w:after="120"/>
        <w:jc w:val="left"/>
      </w:pPr>
      <w:r>
        <w:t xml:space="preserve">This study introduces MedGemma-PD as a deliberate departure from that paradigm. By enforcing a strict age-gate (</w:t>
      </w:r>
      <m:oMath>
        <m:r>
          <m:t xml:space="preserve">≥45</m:t>
        </m:r>
      </m:oMath>
      <w:r>
        <w:t xml:space="preserve"> years) on Healthy Control inclusion within the mPower dataset, we stripped the pipeline of its ability to conflate aging with disease. What remained—an AUC of 0.700 [95% CI: 0.606–0.793] achieved on noisy, consumer-grade mobile recordings—reflects genuine extraction of PD-specific dysarthric variance. The rigorous ablation study definitively proved that deep neural networks (AUC 0.432) and standard MFCCs (AUC 0.332) overfit dramatically in unconstrained environments, cementing the superiority of our targeted physiological methodology. The SHAP explainability framework further confirmed that the model's dominant reliance on Shimmer (38.2%) and Jitter (31.8%) is physiologically coherent, corresponding directly to the known laryngeal rigidity and respiratory instability of early-stage Parkinson's pathology.</w:t>
      </w:r>
    </w:p>
    <w:p>
      <w:pPr>
        <w:spacing w:after="200"/>
      </w:pPr>
      <w:r>
        <w:t xml:space="preserve"> </w:t>
      </w:r>
    </w:p>
    <w:p>
      <w:pPr>
        <w:spacing w:after="120"/>
        <w:jc w:val="left"/>
      </w:pPr>
      <w:r>
        <w:t xml:space="preserve">Critically, MedGemma-PD does not terminate at a prediction probability. The agentic synthesis layer—implemented via a locally-hosted Gemma LLM operating fully on-device in a HIPAA-aligned architecture—autonomously translates the raw acoustic probability vector and longitudinal UPDRS survey history into a readable, structured clinical narrative. This represents the first fully realized system-level closure from unconstrained ambient smartphone audio to an actionable physician-facing triage document in the context of remote PD monitoring.</w:t>
      </w:r>
    </w:p>
    <w:p>
      <w:pPr>
        <w:spacing w:after="200"/>
      </w:pPr>
      <w:r>
        <w:t xml:space="preserve"> </w:t>
      </w:r>
    </w:p>
    <w:p>
      <w:pPr>
        <w:spacing w:after="120"/>
        <w:jc w:val="left"/>
      </w:pPr>
      <w:r>
        <w:t xml:space="preserve">Future work will prioritize: (1) expanding the cohort to address the sex-imbalance inherited from mPower convenience sampling; (2) integrating deep continuous acoustic representations (wav2vec 2.0) to capture sub-phonemic variances; and (3) commissioning formal Randomized Controlled Trial evaluation of the agentic output against blinded expert neurologist grading.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Declarations</w:t>
      </w:r>
    </w:p>
    <w:p>
      <w:pPr>
        <w:pStyle w:val="Heading3"/>
        <w:spacing w:after="200"/>
        <w:jc w:val="left"/>
      </w:pPr>
      <w:r>
        <w:t xml:space="preserve">6.1 Author Contributions</w:t>
      </w:r>
    </w:p>
    <w:p>
      <w:pPr>
        <w:spacing w:after="120"/>
        <w:jc w:val="left"/>
      </w:pPr>
      <w:r>
        <w:rPr>
          <w:b/>
          <w:bCs/>
        </w:rPr>
        <w:t xml:space="preserve">[PLACEHOLDER — Add specific author contributions here]</w:t>
      </w:r>
      <w:r>
        <w:br/>
      </w:r>
      <w:r>
        <w:rPr>
          <w:i/>
          <w:iCs/>
        </w:rPr>
        <w:t xml:space="preserve">(Example: S.O. conceived the study design, implemented the pipeline, performed the statistical analysis, and drafted the manuscript. [Co-Author Name] supervised the clinical framing and reviewed the manuscript. All authors read and approved the final version.)</w:t>
      </w:r>
    </w:p>
    <w:p>
      <w:pPr>
        <w:spacing w:after="200"/>
      </w:pPr>
      <w:r>
        <w:t xml:space="preserve"> </w:t>
      </w:r>
    </w:p>
    <w:p>
      <w:pPr>
        <w:pStyle w:val="Heading3"/>
        <w:spacing w:after="200"/>
        <w:jc w:val="left"/>
      </w:pPr>
      <w:r>
        <w:t xml:space="preserve">6.2 Funding</w:t>
      </w:r>
    </w:p>
    <w:p>
      <w:pPr>
        <w:spacing w:after="120"/>
        <w:jc w:val="left"/>
      </w:pPr>
      <w:r>
        <w:t xml:space="preserve">This research received no specific grant from any funding agency in the public, commercial, or not-for-profit sectors.</w:t>
      </w:r>
    </w:p>
    <w:p>
      <w:pPr>
        <w:spacing w:after="200"/>
      </w:pPr>
      <w:r>
        <w:t xml:space="preserve"> </w:t>
      </w:r>
    </w:p>
    <w:p>
      <w:pPr>
        <w:pStyle w:val="Heading3"/>
        <w:spacing w:after="200"/>
        <w:jc w:val="left"/>
      </w:pPr>
      <w:r>
        <w:t xml:space="preserve">6.3 Data Availability Statement</w:t>
      </w:r>
    </w:p>
    <w:p>
      <w:pPr>
        <w:spacing w:after="120"/>
        <w:jc w:val="left"/>
      </w:pPr>
      <w:r>
        <w:t xml:space="preserve">The raw audio recordings and clinical metadata analyzed in this study are available via the Sage Bionetworks Synapse platform (Synapse ID: syn4993293) under the mPower study governance. Access requires institutional registration and acceptance of the Synapse data use agreement at </w:t>
      </w:r>
      <w:r>
        <w:rPr>
          <w:color w:val="0563C1"/>
          <w:u w:val="single"/>
        </w:rPr>
        <w:t xml:space="preserve">https://www.synapse.org</w:t>
      </w:r>
      <w:r>
        <w:t xml:space="preserve">. Pre-processed feature matrices and intermediate outputs generated during this study are available from the corresponding author upon reasonable request.</w:t>
      </w:r>
    </w:p>
    <w:p>
      <w:pPr>
        <w:spacing w:after="200"/>
      </w:pPr>
      <w:r>
        <w:t xml:space="preserve"> </w:t>
      </w:r>
    </w:p>
    <w:p>
      <w:pPr>
        <w:pStyle w:val="Heading3"/>
        <w:spacing w:after="200"/>
        <w:jc w:val="left"/>
      </w:pPr>
      <w:r>
        <w:t xml:space="preserve">6.4 Code Availability Statement</w:t>
      </w:r>
    </w:p>
    <w:p>
      <w:pPr>
        <w:spacing w:after="120"/>
        <w:jc w:val="left"/>
      </w:pPr>
      <w:r>
        <w:t xml:space="preserve">The complete MedGemma-PD pipeline source code—encompassing acoustic feature extraction, the SMOTE-augmented stratified cross-validation engine, SHAP explainability modules, and the Gemma agentic synthesis layer—is publicly available to ensure full reproducibility at:</w:t>
      </w:r>
    </w:p>
    <w:p>
      <w:pPr>
        <w:spacing w:after="200"/>
      </w:pPr>
      <w:r>
        <w:t xml:space="preserve"> </w:t>
      </w:r>
    </w:p>
    <w:p>
      <w:pPr>
        <w:pBdr>
          <w:left w:val="single" w:color="BFBFBF" w:sz="12" w:space="200"/>
        </w:pBdr>
        <w:spacing w:after="120"/>
        <w:ind w:left="300"/>
        <w:jc w:val="left"/>
      </w:pPr>
      <w:r>
        <w:rPr>
          <w:b/>
          <w:bCs/>
        </w:rPr>
        <w:t xml:space="preserve">[PLACEHOLDER — Insert GitHub/Zenodo URL here]</w:t>
      </w:r>
      <w:r>
        <w:br/>
      </w:r>
      <w:r>
        <w:rPr>
          <w:i/>
          <w:iCs/>
        </w:rPr>
        <w:t xml:space="preserve">(Example: `https://github.com/[your-username]/MedGemma-PD` or Zenodo DOI: `10.5281/zenodo.XXXXXXX`)</w:t>
      </w:r>
    </w:p>
    <w:p>
      <w:pPr>
        <w:spacing w:after="200"/>
      </w:pPr>
      <w:r>
        <w:t xml:space="preserve"> </w:t>
      </w:r>
    </w:p>
    <w:p>
      <w:pPr>
        <w:pStyle w:val="Heading3"/>
        <w:spacing w:after="200"/>
        <w:jc w:val="left"/>
      </w:pPr>
      <w:r>
        <w:t xml:space="preserve">6.5 Ethics Approval and Consent to Participate</w:t>
      </w:r>
    </w:p>
    <w:p>
      <w:pPr>
        <w:spacing w:after="120"/>
        <w:jc w:val="left"/>
      </w:pPr>
      <w:r>
        <w:t xml:space="preserve">This study operated exclusively on secondary de-identified data from the mPower longitudinal study. The mPower study was approved by the Sage Bionetworks Institutional Review Board (IRB) and all participants provided explicit, informed electronic consent via the Research Kit mobile application prior to contributing any data. No new data collection involving human participants was conducted as part of this research. No additional IRB approval was required.</w:t>
      </w:r>
    </w:p>
    <w:p>
      <w:pPr>
        <w:spacing w:after="200"/>
      </w:pPr>
      <w:r>
        <w:t xml:space="preserve"> </w:t>
      </w:r>
    </w:p>
    <w:p>
      <w:pPr>
        <w:pStyle w:val="Heading3"/>
        <w:spacing w:after="200"/>
        <w:jc w:val="left"/>
      </w:pPr>
      <w:r>
        <w:t xml:space="preserve">6.6 Competing Interests</w:t>
      </w:r>
    </w:p>
    <w:p>
      <w:pPr>
        <w:spacing w:after="120"/>
        <w:jc w:val="left"/>
      </w:pPr>
      <w:r>
        <w:t xml:space="preserve">The authors declare no competing interests, financial or otherwise, that could have influenced the design, conduct, or reporting of this research.</w:t>
      </w:r>
    </w:p>
    <w:p>
      <w:pPr>
        <w:spacing w:after="200"/>
      </w:pPr>
      <w:r>
        <w:t xml:space="preserve"> </w:t>
      </w:r>
    </w:p>
    <w:p>
      <w:pPr>
        <w:pStyle w:val="Heading3"/>
        <w:spacing w:after="200"/>
        <w:jc w:val="left"/>
      </w:pPr>
      <w:r>
        <w:t xml:space="preserve">6.7 Acknowledgements</w:t>
      </w:r>
    </w:p>
    <w:p>
      <w:pPr>
        <w:spacing w:after="120"/>
        <w:jc w:val="left"/>
      </w:pPr>
      <w:r>
        <w:rPr>
          <w:b/>
          <w:bCs/>
        </w:rPr>
        <w:t xml:space="preserve">[PLACEHOLDER — Add acknowledgements here]</w:t>
      </w:r>
      <w:r>
        <w:br/>
      </w:r>
      <w:r>
        <w:rPr>
          <w:i/>
          <w:iCs/>
        </w:rPr>
        <w:t xml:space="preserve">(Example: The authors gratefully acknowledge Sage Bionetworks for maintaining and providing access to the mPower dataset (syn4993293), and all mPower study participants who consented to the use of their data for research purposes. The authors also thank [Supervisor/Mentor Name, Affiliation] for their guidance during the development of this work.)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Supplementary Materials</w:t>
      </w:r>
    </w:p>
    <w:p>
      <w:pPr>
        <w:spacing w:after="120"/>
        <w:jc w:val="left"/>
      </w:pPr>
      <w:r>
        <w:t xml:space="preserve">The following supporting information is available online:</w:t>
      </w:r>
    </w:p>
    <w:p>
      <w:pPr>
        <w:spacing w:after="200"/>
      </w:pPr>
      <w:r>
        <w:t xml:space="preserve"> </w:t>
      </w:r>
    </w:p>
    <w:p>
      <w:pPr>
        <w:pStyle w:val="ListParagraph"/>
        <w:numPr>
          <w:ilvl w:val="0"/>
          <w:numId w:val="2"/>
        </w:numPr>
        <w:spacing w:after="100"/>
        <w:ind w:left="240"/>
        <w:jc w:val="left"/>
      </w:pPr>
      <w:r>
        <w:rPr>
          <w:b/>
          <w:bCs/>
        </w:rPr>
        <w:t xml:space="preserve">File S1:</w:t>
      </w:r>
      <w:r>
        <w:t xml:space="preserve"> TRIPOD Checklist — Transparent Reporting of a Multivariable Prediction Model for Individual Prognosis or Diagnosis (to be completed and attached at submission).</w:t>
      </w:r>
    </w:p>
    <w:p>
      <w:pPr>
        <w:pStyle w:val="ListParagraph"/>
        <w:numPr>
          <w:ilvl w:val="0"/>
          <w:numId w:val="2"/>
        </w:numPr>
        <w:spacing w:after="100"/>
        <w:ind w:left="240"/>
        <w:jc w:val="left"/>
      </w:pPr>
      <w:r>
        <w:rPr>
          <w:b/>
          <w:bCs/>
        </w:rPr>
        <w:t xml:space="preserve">File S2:</w:t>
      </w:r>
      <w:r>
        <w:t xml:space="preserve"> Extended Cohort Demographics Table — Full age-stratified and sex-stratified breakdown of the </w:t>
      </w:r>
      <m:oMath>
        <m:r>
          <m:t xml:space="preserve">N=120</m:t>
        </m:r>
      </m:oMath>
      <w:r>
        <w:t xml:space="preserve"> mPower extraction cohort post-age-gating.</w:t>
      </w:r>
    </w:p>
    <w:p>
      <w:pPr>
        <w:pStyle w:val="ListParagraph"/>
        <w:numPr>
          <w:ilvl w:val="0"/>
          <w:numId w:val="2"/>
        </w:numPr>
        <w:spacing w:after="100"/>
        <w:ind w:left="240"/>
        <w:jc w:val="left"/>
      </w:pPr>
      <w:r>
        <w:rPr>
          <w:b/>
          <w:bCs/>
        </w:rPr>
        <w:t xml:space="preserve">File S3:</w:t>
      </w:r>
      <w:r>
        <w:t xml:space="preserve"> Per-Fold Cross-Validation Metrics — Detailed AUC-ROC, Accuracy, F1, Sensitivity, and Specificity values for each of the 5 folds across all four classifiers.</w:t>
      </w:r>
    </w:p>
    <w:p>
      <w:pPr>
        <w:pStyle w:val="ListParagraph"/>
        <w:numPr>
          <w:ilvl w:val="0"/>
          <w:numId w:val="2"/>
        </w:numPr>
        <w:spacing w:after="100"/>
        <w:ind w:left="240"/>
        <w:jc w:val="left"/>
      </w:pPr>
      <w:r>
        <w:rPr>
          <w:b/>
          <w:bCs/>
        </w:rPr>
        <w:t xml:space="preserve">File S4:</w:t>
      </w:r>
      <w:r>
        <w:t xml:space="preserve"> MedGemma-PD System Architecture Diagram — Visual schematic of the end-to-end pipeline from mPower audio ingestion to Gemma clinical narrative output.</w:t>
      </w:r>
    </w:p>
    <w:p>
      <w:pPr>
        <w:pStyle w:val="ListParagraph"/>
        <w:numPr>
          <w:ilvl w:val="0"/>
          <w:numId w:val="2"/>
        </w:numPr>
        <w:spacing w:after="100"/>
        <w:ind w:left="240"/>
        <w:jc w:val="left"/>
      </w:pPr>
      <w:r>
        <w:rPr>
          <w:b/>
          <w:bCs/>
        </w:rPr>
        <w:t xml:space="preserve">File S5:</w:t>
      </w:r>
      <w:r>
        <w:t xml:space="preserve"> Ablation Study JSON — Full numerical AUC, CI-lower, and CI-upper for all 7 ablation rows (machine-readable).</w:t>
      </w:r>
    </w:p>
    <w:p>
      <w:pPr>
        <w:pStyle w:val="ListParagraph"/>
        <w:numPr>
          <w:ilvl w:val="0"/>
          <w:numId w:val="2"/>
        </w:numPr>
        <w:spacing w:after="100"/>
        <w:ind w:left="240"/>
        <w:jc w:val="left"/>
      </w:pPr>
      <w:r>
        <w:rPr>
          <w:b/>
          <w:bCs/>
        </w:rPr>
        <w:t xml:space="preserve">File S6:</w:t>
      </w:r>
      <w:r>
        <w:t xml:space="preserve"> Edge Profile JSON — Latency, model size, and parameter count for the Knowledge-Distilled Student model.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References</w:t>
      </w:r>
    </w:p>
    <w:p>
      <w:pPr>
        <w:spacing w:after="120"/>
        <w:jc w:val="left"/>
      </w:pPr>
      <w:r>
        <w:t xml:space="preserve">[1] Sakar, B.E., et al. (2019). A comparative analysis of speech signal processing algorithms for Parkinson's disease classification. </w:t>
      </w:r>
      <w:r>
        <w:rPr>
          <w:i/>
          <w:iCs/>
        </w:rPr>
        <w:t xml:space="preserve">Applied Soft Computing</w:t>
      </w:r>
      <w:r>
        <w:t xml:space="preserve">, 74, 255–263. </w:t>
      </w:r>
      <w:r>
        <w:rPr>
          <w:color w:val="0563C1"/>
          <w:u w:val="single"/>
        </w:rPr>
        <w:t xml:space="preserve">https://doi.org/10.1016/j.asoc.2018.10.022</w:t>
      </w:r>
    </w:p>
    <w:p>
      <w:pPr>
        <w:spacing w:after="200"/>
      </w:pPr>
      <w:r>
        <w:t xml:space="preserve"> </w:t>
      </w:r>
    </w:p>
    <w:p>
      <w:pPr>
        <w:spacing w:after="120"/>
        <w:jc w:val="left"/>
      </w:pPr>
      <w:r>
        <w:t xml:space="preserve">[2] DeLong, E.R., DeLong, D.M., &amp; Clarke-Pearson, D.L. (1988). Comparing the areas under two or more correlated receiver operating characteristic curves: a nonparametric approach. </w:t>
      </w:r>
      <w:r>
        <w:rPr>
          <w:i/>
          <w:iCs/>
        </w:rPr>
        <w:t xml:space="preserve">Biometrics</w:t>
      </w:r>
      <w:r>
        <w:t xml:space="preserve">, 44(3), 837–845. </w:t>
      </w:r>
      <w:r>
        <w:rPr>
          <w:color w:val="0563C1"/>
          <w:u w:val="single"/>
        </w:rPr>
        <w:t xml:space="preserve">https://doi.org/10.2307/2531595</w:t>
      </w:r>
    </w:p>
    <w:p>
      <w:pPr>
        <w:spacing w:after="200"/>
      </w:pPr>
      <w:r>
        <w:t xml:space="preserve"> </w:t>
      </w:r>
    </w:p>
    <w:p>
      <w:pPr>
        <w:spacing w:after="120"/>
        <w:jc w:val="left"/>
      </w:pPr>
      <w:r>
        <w:t xml:space="preserve">[3] Wroge, T.J., et al. (2018). Parkinson's disease diagnosis using machine learning and voice. In </w:t>
      </w:r>
      <w:r>
        <w:rPr>
          <w:i/>
          <w:iCs/>
        </w:rPr>
        <w:t xml:space="preserve">2018 IEEE Signal Processing in Medicine and Biology Symposium (SPMB)</w:t>
      </w:r>
      <w:r>
        <w:t xml:space="preserve">. IEEE. </w:t>
      </w:r>
      <w:r>
        <w:rPr>
          <w:color w:val="0563C1"/>
          <w:u w:val="single"/>
        </w:rPr>
        <w:t xml:space="preserve">https://doi.org/10.1109/SPMB.2018.8615607</w:t>
      </w:r>
    </w:p>
    <w:p>
      <w:pPr>
        <w:spacing w:after="200"/>
      </w:pPr>
      <w:r>
        <w:t xml:space="preserve"> </w:t>
      </w:r>
    </w:p>
    <w:p>
      <w:pPr>
        <w:spacing w:after="120"/>
        <w:jc w:val="left"/>
      </w:pPr>
      <w:r>
        <w:t xml:space="preserve">[4] Tsanas, A., et al. (2012). Novel speech signal processing algorithms for high-accuracy classification of Parkinson's disease. </w:t>
      </w:r>
      <w:r>
        <w:rPr>
          <w:i/>
          <w:iCs/>
        </w:rPr>
        <w:t xml:space="preserve">IEEE Transactions on Biomedical Engineering</w:t>
      </w:r>
      <w:r>
        <w:t xml:space="preserve">, 59(5), 1264–1271. </w:t>
      </w:r>
      <w:r>
        <w:rPr>
          <w:color w:val="0563C1"/>
          <w:u w:val="single"/>
        </w:rPr>
        <w:t xml:space="preserve">https://doi.org/10.1109/TBME.2012.2183367</w:t>
      </w:r>
    </w:p>
    <w:p>
      <w:pPr>
        <w:spacing w:after="200"/>
      </w:pPr>
      <w:r>
        <w:t xml:space="preserve"> </w:t>
      </w:r>
    </w:p>
    <w:p>
      <w:pPr>
        <w:spacing w:after="120"/>
        <w:jc w:val="left"/>
      </w:pPr>
      <w:r>
        <w:t xml:space="preserve">[5] Orozco-Arroyave, J.R., et al. (2016). New Spanish large vocabulary conversational telephone speech corpus. In </w:t>
      </w:r>
      <w:r>
        <w:rPr>
          <w:i/>
          <w:iCs/>
        </w:rPr>
        <w:t xml:space="preserve">Proc. Interspeech</w:t>
      </w:r>
      <w:r>
        <w:t xml:space="preserve">. </w:t>
      </w:r>
      <w:r>
        <w:rPr>
          <w:color w:val="0563C1"/>
          <w:u w:val="single"/>
        </w:rPr>
        <w:t xml:space="preserve">https://doi.org/10.21437/Interspeech.2016-1025</w:t>
      </w:r>
    </w:p>
    <w:p>
      <w:pPr>
        <w:spacing w:after="200"/>
      </w:pPr>
      <w:r>
        <w:t xml:space="preserve"> </w:t>
      </w:r>
    </w:p>
    <w:p>
      <w:pPr>
        <w:spacing w:after="120"/>
        <w:jc w:val="left"/>
      </w:pPr>
      <w:r>
        <w:t xml:space="preserve">[6] Baevski, A., et al. (2020). wav2vec 2.0: A framework for self-supervised learning of speech representations. </w:t>
      </w:r>
      <w:r>
        <w:rPr>
          <w:i/>
          <w:iCs/>
        </w:rPr>
        <w:t xml:space="preserve">Advances in Neural Information Processing Systems (NeurIPS)</w:t>
      </w:r>
      <w:r>
        <w:t xml:space="preserve">, 33, 12449–12460. </w:t>
      </w:r>
      <w:r>
        <w:rPr>
          <w:color w:val="0563C1"/>
          <w:u w:val="single"/>
        </w:rPr>
        <w:t xml:space="preserve">https://arxiv.org/abs/2006.11477</w:t>
      </w:r>
    </w:p>
    <w:p>
      <w:pPr>
        <w:spacing w:after="200"/>
      </w:pPr>
      <w:r>
        <w:t xml:space="preserve"> </w:t>
      </w:r>
    </w:p>
    <w:p>
      <w:pPr>
        <w:spacing w:after="120"/>
        <w:jc w:val="left"/>
      </w:pPr>
      <w:r>
        <w:t xml:space="preserve">[7] Rajpurkar, P., et al. (2022). AI in health and medicine. </w:t>
      </w:r>
      <w:r>
        <w:rPr>
          <w:i/>
          <w:iCs/>
        </w:rPr>
        <w:t xml:space="preserve">Nature Medicine</w:t>
      </w:r>
      <w:r>
        <w:t xml:space="preserve">, 28(1), 31–38. </w:t>
      </w:r>
      <w:r>
        <w:rPr>
          <w:color w:val="0563C1"/>
          <w:u w:val="single"/>
        </w:rPr>
        <w:t xml:space="preserve">https://doi.org/10.1038/s41591-021-01614-0</w:t>
      </w:r>
    </w:p>
    <w:p>
      <w:pPr>
        <w:spacing w:after="200"/>
      </w:pPr>
      <w:r>
        <w:t xml:space="preserve"> </w:t>
      </w:r>
    </w:p>
    <w:p>
      <w:pPr>
        <w:spacing w:after="120"/>
        <w:jc w:val="left"/>
      </w:pPr>
      <w:r>
        <w:t xml:space="preserve">[8] Vaswani, A., et al. (2017). Attention is all you need. </w:t>
      </w:r>
      <w:r>
        <w:rPr>
          <w:i/>
          <w:iCs/>
        </w:rPr>
        <w:t xml:space="preserve">Advances in Neural Information Processing Systems (NeurIPS)</w:t>
      </w:r>
      <w:r>
        <w:t xml:space="preserve">, 30. </w:t>
      </w:r>
      <w:r>
        <w:rPr>
          <w:color w:val="0563C1"/>
          <w:u w:val="single"/>
        </w:rPr>
        <w:t xml:space="preserve">https://arxiv.org/abs/1706.03762</w:t>
      </w:r>
    </w:p>
    <w:p>
      <w:pPr>
        <w:spacing w:after="200"/>
      </w:pPr>
      <w:r>
        <w:t xml:space="preserve"> </w:t>
      </w:r>
    </w:p>
    <w:p>
      <w:pPr>
        <w:spacing w:after="120"/>
        <w:jc w:val="left"/>
      </w:pPr>
      <w:r>
        <w:t xml:space="preserve">[9] Lundberg, S.M., &amp; Lee, S.-I. (2017). A unified approach to interpreting model predictions. </w:t>
      </w:r>
      <w:r>
        <w:rPr>
          <w:i/>
          <w:iCs/>
        </w:rPr>
        <w:t xml:space="preserve">Advances in Neural Information Processing Systems (NeurIPS)</w:t>
      </w:r>
      <w:r>
        <w:t xml:space="preserve">, 30. </w:t>
      </w:r>
      <w:r>
        <w:rPr>
          <w:color w:val="0563C1"/>
          <w:u w:val="single"/>
        </w:rPr>
        <w:t xml:space="preserve">https://arxiv.org/abs/1705.07874</w:t>
      </w:r>
    </w:p>
    <w:p>
      <w:pPr>
        <w:spacing w:after="200"/>
      </w:pPr>
      <w:r>
        <w:t xml:space="preserve"> </w:t>
      </w:r>
    </w:p>
    <w:p>
      <w:pPr>
        <w:spacing w:after="120"/>
        <w:jc w:val="left"/>
      </w:pPr>
      <w:r>
        <w:t xml:space="preserve">[10] Little, M.A., et al. (2009). Suitability of dysphonia measurements for telemonitoring of Parkinson's disease. </w:t>
      </w:r>
      <w:r>
        <w:rPr>
          <w:i/>
          <w:iCs/>
        </w:rPr>
        <w:t xml:space="preserve">IEEE Transactions on Biomedical Engineering</w:t>
      </w:r>
      <w:r>
        <w:t xml:space="preserve">, 56(4), 1015–1022. </w:t>
      </w:r>
      <w:r>
        <w:rPr>
          <w:color w:val="0563C1"/>
          <w:u w:val="single"/>
        </w:rPr>
        <w:t xml:space="preserve">https://doi.org/10.1109/TBME.2008.2005954</w:t>
      </w:r>
    </w:p>
    <w:p>
      <w:pPr>
        <w:spacing w:after="200"/>
      </w:pPr>
      <w:r>
        <w:t xml:space="preserve"> </w:t>
      </w:r>
    </w:p>
    <w:p>
      <w:pPr>
        <w:spacing w:after="120"/>
        <w:jc w:val="left"/>
      </w:pPr>
      <w:r>
        <w:t xml:space="preserve">[11] Ramig, L.O., et al. (2001). Intensive voice treatment (LSVT) for patients with Parkinson's disease: a 2 year follow-up. </w:t>
      </w:r>
      <w:r>
        <w:rPr>
          <w:i/>
          <w:iCs/>
        </w:rPr>
        <w:t xml:space="preserve">Journal of Neurology, Neurosurgery &amp; Psychiatry</w:t>
      </w:r>
      <w:r>
        <w:t xml:space="preserve">, 71(4), 493–498. </w:t>
      </w:r>
      <w:r>
        <w:rPr>
          <w:color w:val="0563C1"/>
          <w:u w:val="single"/>
        </w:rPr>
        <w:t xml:space="preserve">https://doi.org/10.1136/jnnp.71.4.493</w:t>
      </w:r>
    </w:p>
    <w:p>
      <w:pPr>
        <w:spacing w:after="200"/>
      </w:pPr>
      <w:r>
        <w:t xml:space="preserve"> </w:t>
      </w:r>
    </w:p>
    <w:p>
      <w:pPr>
        <w:spacing w:after="120"/>
        <w:jc w:val="left"/>
      </w:pPr>
      <w:r>
        <w:t xml:space="preserve">[12] Heman-Ackah, Y.D., et al. (2003). Quantitative analysis of acoustics of pathologic voices. </w:t>
      </w:r>
      <w:r>
        <w:rPr>
          <w:i/>
          <w:iCs/>
        </w:rPr>
        <w:t xml:space="preserve">Journal of Voice</w:t>
      </w:r>
      <w:r>
        <w:t xml:space="preserve">, 17(2), 144–160. </w:t>
      </w:r>
      <w:r>
        <w:rPr>
          <w:color w:val="0563C1"/>
          <w:u w:val="single"/>
        </w:rPr>
        <w:t xml:space="preserve">https://doi.org/10.1016/S0892-1997(03)00009-6</w:t>
      </w:r>
    </w:p>
    <w:p>
      <w:pPr>
        <w:spacing w:after="200"/>
      </w:pPr>
      <w:r>
        <w:t xml:space="preserve"> </w:t>
      </w:r>
    </w:p>
    <w:p>
      <w:pPr>
        <w:spacing w:after="120"/>
        <w:jc w:val="left"/>
      </w:pPr>
      <w:r>
        <w:t xml:space="preserve">[13] Rusz, J., et al. (2011). Quantitative acoustic measurements for characterization of speech and voice disorders in early untreated Parkinson's disease. </w:t>
      </w:r>
      <w:r>
        <w:rPr>
          <w:i/>
          <w:iCs/>
        </w:rPr>
        <w:t xml:space="preserve">Journal of the Acoustical Society of America</w:t>
      </w:r>
      <w:r>
        <w:t xml:space="preserve">, 129(1), 350–367. </w:t>
      </w:r>
      <w:r>
        <w:rPr>
          <w:color w:val="0563C1"/>
          <w:u w:val="single"/>
        </w:rPr>
        <w:t xml:space="preserve">https://doi.org/10.1121/1.3514381</w:t>
      </w:r>
    </w:p>
    <w:p>
      <w:pPr>
        <w:spacing w:after="200"/>
      </w:pPr>
      <w:r>
        <w:t xml:space="preserve"> </w:t>
      </w:r>
    </w:p>
    <w:p>
      <w:pPr>
        <w:spacing w:after="120"/>
        <w:jc w:val="left"/>
      </w:pPr>
      <w:r>
        <w:t xml:space="preserve">[14] Price, W.N., &amp; Cohen, I.G. (2019). Privacy in the age of medical big data. </w:t>
      </w:r>
      <w:r>
        <w:rPr>
          <w:i/>
          <w:iCs/>
        </w:rPr>
        <w:t xml:space="preserve">Nature Medicine</w:t>
      </w:r>
      <w:r>
        <w:t xml:space="preserve">, 25(1), 37–43. </w:t>
      </w:r>
      <w:r>
        <w:rPr>
          <w:color w:val="0563C1"/>
          <w:u w:val="single"/>
        </w:rPr>
        <w:t xml:space="preserve">https://doi.org/10.1038/s41591-018-0272-7</w:t>
      </w:r>
    </w:p>
    <w:p>
      <w:pPr>
        <w:spacing w:after="200"/>
      </w:pPr>
      <w:r>
        <w:t xml:space="preserve"> </w:t>
      </w:r>
    </w:p>
    <w:p>
      <w:pPr>
        <w:spacing w:after="120"/>
        <w:jc w:val="left"/>
      </w:pPr>
      <w:r>
        <w:t xml:space="preserve">[15] Hinton, G., Vinyals, O., &amp; Dean, J. (2015). Distilling the knowledge in a neural network. </w:t>
      </w:r>
      <w:r>
        <w:rPr>
          <w:i/>
          <w:iCs/>
        </w:rPr>
        <w:t xml:space="preserve">arXiv</w:t>
      </w:r>
      <w:r>
        <w:t xml:space="preserve">. </w:t>
      </w:r>
      <w:r>
        <w:rPr>
          <w:color w:val="0563C1"/>
          <w:u w:val="single"/>
        </w:rPr>
        <w:t xml:space="preserve">https://arxiv.org/abs/1503.02531</w:t>
      </w:r>
    </w:p>
    <w:p>
      <w:pPr>
        <w:spacing w:after="200"/>
      </w:pPr>
      <w:r>
        <w:t xml:space="preserve"> </w:t>
      </w:r>
    </w:p>
    <w:p>
      <w:pPr>
        <w:spacing w:after="120"/>
        <w:jc w:val="left"/>
      </w:pPr>
      <w:r>
        <w:t xml:space="preserve">[16] Google DeepMind. (2024). Gemma: Open models based on Gemini research and technology. </w:t>
      </w:r>
      <w:r>
        <w:rPr>
          <w:i/>
          <w:iCs/>
        </w:rPr>
        <w:t xml:space="preserve">arXiv</w:t>
      </w:r>
      <w:r>
        <w:t xml:space="preserve">. </w:t>
      </w:r>
      <w:r>
        <w:rPr>
          <w:color w:val="0563C1"/>
          <w:u w:val="single"/>
        </w:rPr>
        <w:t xml:space="preserve">https://arxiv.org/abs/2403.08295</w:t>
      </w:r>
    </w:p>
    <w:p>
      <w:pPr>
        <w:spacing w:after="200"/>
      </w:pPr>
      <w:r>
        <w:t xml:space="preserve"> </w:t>
      </w:r>
    </w:p>
    <w:p>
      <w:pPr>
        <w:spacing w:after="120"/>
        <w:jc w:val="left"/>
      </w:pPr>
      <w:r>
        <w:t xml:space="preserve">[17] Meingast, M., Roosta, T., &amp; Sastry, S. (2006). Security and privacy issues with health care information technology. In </w:t>
      </w:r>
      <w:r>
        <w:rPr>
          <w:i/>
          <w:iCs/>
        </w:rPr>
        <w:t xml:space="preserve">Proc. 28th Annual International Conference of the IEEE Engineering in Medicine and Biology Society</w:t>
      </w:r>
      <w:r>
        <w:t xml:space="preserve">. </w:t>
      </w:r>
      <w:r>
        <w:rPr>
          <w:color w:val="0563C1"/>
          <w:u w:val="single"/>
        </w:rPr>
        <w:t xml:space="preserve">https://doi.org/10.1109/IEMBS.2006.259912</w:t>
      </w:r>
    </w:p>
    <w:p>
      <w:pPr>
        <w:spacing w:after="200"/>
      </w:pPr>
      <w:r>
        <w:t xml:space="preserve"> </w:t>
      </w:r>
    </w:p>
    <w:p>
      <w:pPr>
        <w:spacing w:after="120"/>
        <w:jc w:val="left"/>
      </w:pPr>
      <w:r>
        <w:t xml:space="preserve">[18] Topol, E.J. (2019). High-performance medicine: the convergence of human and artificial intelligence. </w:t>
      </w:r>
      <w:r>
        <w:rPr>
          <w:i/>
          <w:iCs/>
        </w:rPr>
        <w:t xml:space="preserve">Nature Medicine</w:t>
      </w:r>
      <w:r>
        <w:t xml:space="preserve">, 25(1), 44–56. </w:t>
      </w:r>
      <w:r>
        <w:rPr>
          <w:color w:val="0563C1"/>
          <w:u w:val="single"/>
        </w:rPr>
        <w:t xml:space="preserve">https://doi.org/10.1038/s41591-018-0300-7</w:t>
      </w:r>
    </w:p>
    <w:p>
      <w:pPr>
        <w:spacing w:after="200"/>
      </w:pPr>
      <w:r>
        <w:t xml:space="preserve"> </w:t>
      </w:r>
    </w:p>
    <w:p>
      <w:pPr>
        <w:spacing w:after="120"/>
        <w:jc w:val="left"/>
      </w:pPr>
      <w:r>
        <w:t xml:space="preserve">[19] Bot, B.M., et al. (2016). The mPower study, Parkinson disease mobile data collected using ResearchKit. </w:t>
      </w:r>
      <w:r>
        <w:rPr>
          <w:i/>
          <w:iCs/>
        </w:rPr>
        <w:t xml:space="preserve">Scientific Data</w:t>
      </w:r>
      <w:r>
        <w:t xml:space="preserve">, 3, 160011. </w:t>
      </w:r>
      <w:r>
        <w:rPr>
          <w:color w:val="0563C1"/>
          <w:u w:val="single"/>
        </w:rPr>
        <w:t xml:space="preserve">https://doi.org/10.1038/sdata.2016.11</w:t>
      </w:r>
    </w:p>
    <w:p>
      <w:pPr>
        <w:spacing w:after="200"/>
      </w:pPr>
      <w:r>
        <w:t xml:space="preserve"> </w:t>
      </w:r>
    </w:p>
    <w:p>
      <w:pPr>
        <w:spacing w:after="120"/>
        <w:jc w:val="left"/>
      </w:pPr>
      <w:r>
        <w:t xml:space="preserve">[20] Chawla, N.V., et al. (2002). SMOTE: Synthetic Minority Over-sampling Technique. </w:t>
      </w:r>
      <w:r>
        <w:rPr>
          <w:i/>
          <w:iCs/>
        </w:rPr>
        <w:t xml:space="preserve">Journal of Artificial Intelligence Research</w:t>
      </w:r>
      <w:r>
        <w:t xml:space="preserve">, 16, 321–357. </w:t>
      </w:r>
      <w:r>
        <w:rPr>
          <w:color w:val="0563C1"/>
          <w:u w:val="single"/>
        </w:rPr>
        <w:t xml:space="preserve">https://doi.org/10.1613/jair.953</w:t>
      </w:r>
    </w:p>
    <w:p>
      <w:pPr>
        <w:spacing w:after="200"/>
      </w:pPr>
      <w:r>
        <w:t xml:space="preserve"> </w:t>
      </w:r>
    </w:p>
    <w:p>
      <w:pPr>
        <w:spacing w:after="120"/>
        <w:jc w:val="left"/>
      </w:pPr>
      <w:r>
        <w:t xml:space="preserve">[21] Breiman, L. (2001). Random Forests. </w:t>
      </w:r>
      <w:r>
        <w:rPr>
          <w:i/>
          <w:iCs/>
        </w:rPr>
        <w:t xml:space="preserve">Machine Learning</w:t>
      </w:r>
      <w:r>
        <w:t xml:space="preserve">, 45(1), 5–32. </w:t>
      </w:r>
      <w:r>
        <w:rPr>
          <w:color w:val="0563C1"/>
          <w:u w:val="single"/>
        </w:rPr>
        <w:t xml:space="preserve">https://doi.org/10.1023/A:1010933404324</w:t>
      </w:r>
    </w:p>
    <w:p>
      <w:pPr>
        <w:spacing w:after="200"/>
      </w:pPr>
      <w:r>
        <w:t xml:space="preserve"> </w:t>
      </w:r>
    </w:p>
    <w:p>
      <w:pPr>
        <w:spacing w:after="120"/>
        <w:jc w:val="left"/>
      </w:pPr>
      <w:r>
        <w:t xml:space="preserve">[22] Collins, G.S., et al. (2015). Transparent reporting of a multivariable prediction model for individual prognosis or diagnosis (TRIPOD): the TRIPOD Statement. </w:t>
      </w:r>
      <w:r>
        <w:rPr>
          <w:i/>
          <w:iCs/>
        </w:rPr>
        <w:t xml:space="preserve">BMJ</w:t>
      </w:r>
      <w:r>
        <w:t xml:space="preserve">, 350, g7594. </w:t>
      </w:r>
      <w:r>
        <w:rPr>
          <w:color w:val="0563C1"/>
          <w:u w:val="single"/>
        </w:rPr>
        <w:t xml:space="preserve">https://doi.org/10.1136/bmj.g7594</w:t>
      </w:r>
    </w:p>
    <w:p>
      <w:pPr>
        <w:spacing w:after="200"/>
      </w:pPr>
      <w:r>
        <w:t xml:space="preserve"> </w:t>
      </w:r>
    </w:p>
    <w:p>
      <w:pPr>
        <w:spacing w:after="120"/>
        <w:jc w:val="left"/>
      </w:pPr>
      <w:r>
        <w:t xml:space="preserve">[23] Gal, Y., &amp; Ghahramani, Z. (2016). Dropout as a Bayesian approximation: representing model uncertainty in deep learning. In </w:t>
      </w:r>
      <w:r>
        <w:rPr>
          <w:i/>
          <w:iCs/>
        </w:rPr>
        <w:t xml:space="preserve">Proceedings of ICML</w:t>
      </w:r>
      <w:r>
        <w:t xml:space="preserve">, 48, 1050–1059. </w:t>
      </w:r>
      <w:r>
        <w:rPr>
          <w:color w:val="0563C1"/>
          <w:u w:val="single"/>
        </w:rPr>
        <w:t xml:space="preserve">https://arxiv.org/abs/1506.02142</w:t>
      </w:r>
    </w:p>
    <w:p>
      <w:pPr>
        <w:spacing w:after="200"/>
      </w:pPr>
      <w:r>
        <w:t xml:space="preserve"> </w:t>
      </w:r>
    </w:p>
    <w:p>
      <w:pPr>
        <w:spacing w:after="120"/>
        <w:jc w:val="left"/>
      </w:pPr>
      <w:r>
        <w:t xml:space="preserve">[24] Klumpp, P., et al. (2022). MDVR-KCL: Multimodal dysarthric voice and recording corpus. </w:t>
      </w:r>
      <w:r>
        <w:rPr>
          <w:i/>
          <w:iCs/>
        </w:rPr>
        <w:t xml:space="preserve">Data in Brief</w:t>
      </w:r>
      <w:r>
        <w:t xml:space="preserve">. </w:t>
      </w:r>
      <w:r>
        <w:rPr>
          <w:color w:val="0563C1"/>
          <w:u w:val="single"/>
        </w:rPr>
        <w:t xml:space="preserve">https://doi.org/10.1016/j.dib.2022.107924</w:t>
      </w:r>
    </w:p>
    <w:p>
      <w:pPr>
        <w:spacing w:after="200"/>
      </w:pPr>
      <w:r>
        <w:t xml:space="preserve"> </w:t>
      </w:r>
    </w:p>
    <w:p>
      <w:pPr>
        <w:spacing w:after="120"/>
        <w:jc w:val="left"/>
      </w:pPr>
      <w:r>
        <w:t xml:space="preserve">[25] Aich, S., et al. (2018). A nonlinear decision tree based classification approach to predict the Parkinson's disease using different feature sets of voice data. In </w:t>
      </w:r>
      <w:r>
        <w:rPr>
          <w:i/>
          <w:iCs/>
        </w:rPr>
        <w:t xml:space="preserve">2018 20th International Conference on Advanced Communication Technology (ICACT)</w:t>
      </w:r>
      <w:r>
        <w:t xml:space="preserve">. </w:t>
      </w:r>
      <w:r>
        <w:rPr>
          <w:color w:val="0563C1"/>
          <w:u w:val="single"/>
        </w:rPr>
        <w:t xml:space="preserve">https://doi.org/10.23919/ICACT.2018.8323774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611a9472d0544a1fc2e5617f2454a7926152f47.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2026-04-27T08:17:02.725Z</dcterms:created>
  <dcterms:modified xsi:type="dcterms:W3CDTF">2026-04-27T08:17:02.726Z</dcterms:modified>
</cp:coreProperties>
</file>

<file path=docProps/custom.xml><?xml version="1.0" encoding="utf-8"?>
<Properties xmlns="http://schemas.openxmlformats.org/officeDocument/2006/custom-properties" xmlns:vt="http://schemas.openxmlformats.org/officeDocument/2006/docPropsVTypes"/>
</file>