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supplementary-file-s1-tripod-checklist"/>
    <w:p>
      <w:pPr>
        <w:pStyle w:val="Heading1"/>
      </w:pPr>
      <w:r>
        <w:t xml:space="preserve">Supplementary File S1: TRIPOD Checklist</w:t>
      </w:r>
    </w:p>
    <w:bookmarkStart w:id="20" w:name="X8e1d82068e1ed0d80fec3207ff558efe90db498"/>
    <w:p>
      <w:pPr>
        <w:pStyle w:val="Heading2"/>
      </w:pPr>
      <w:r>
        <w:t xml:space="preserve">Transparent Reporting of a Multivariable Prediction Model for Individual Prognosis or Diagnosis</w:t>
      </w:r>
    </w:p>
    <w:p>
      <w:pPr>
        <w:pStyle w:val="FirstParagraph"/>
      </w:pPr>
      <w:r>
        <w:rPr>
          <w:b/>
          <w:bCs/>
        </w:rPr>
        <w:t xml:space="preserve">Study:</w:t>
      </w:r>
      <w:r>
        <w:t xml:space="preserve"> </w:t>
      </w:r>
      <w:r>
        <w:t xml:space="preserve">MedGemma-PD: An Agentic Physiological Speech Biomarker Pipeline for Unconstrained Remote Parkinson’s Disease Monitoring</w:t>
      </w:r>
      <w:r>
        <w:br/>
      </w:r>
      <w:r>
        <w:rPr>
          <w:b/>
          <w:bCs/>
        </w:rPr>
        <w:t xml:space="preserve">Checklist Version:</w:t>
      </w:r>
      <w:r>
        <w:t xml:space="preserve"> </w:t>
      </w:r>
      <w:r>
        <w:t xml:space="preserve">TRIPOD — Prediction Model Development and Validation (BMJ 2015;350:g7594)</w:t>
      </w:r>
      <w:r>
        <w:br/>
      </w:r>
      <w:r>
        <w:rPr>
          <w:b/>
          <w:bCs/>
        </w:rPr>
        <w:t xml:space="preserve">Completed by:</w:t>
      </w:r>
      <w:r>
        <w:t xml:space="preserve"> </w:t>
      </w:r>
      <w:r>
        <w:t xml:space="preserve">[Author Name]</w:t>
      </w:r>
      <w:r>
        <w:br/>
      </w:r>
      <w:r>
        <w:rPr>
          <w:b/>
          <w:bCs/>
        </w:rPr>
        <w:t xml:space="preserve">Date:</w:t>
      </w:r>
      <w:r>
        <w:t xml:space="preserve"> </w:t>
      </w:r>
      <w:r>
        <w:t xml:space="preserve">April 2026</w:t>
      </w:r>
    </w:p>
    <w:p>
      <w:pPr>
        <w:pStyle w:val="BlockText"/>
      </w:pPr>
      <w:r>
        <w:rPr>
          <w:b/>
          <w:bCs/>
        </w:rPr>
        <w:t xml:space="preserve">D</w:t>
      </w:r>
      <w:r>
        <w:t xml:space="preserve"> </w:t>
      </w:r>
      <w:r>
        <w:t xml:space="preserve">= Applicable to Development data |</w:t>
      </w:r>
      <w:r>
        <w:t xml:space="preserve"> </w:t>
      </w:r>
      <w:r>
        <w:rPr>
          <w:b/>
          <w:bCs/>
        </w:rPr>
        <w:t xml:space="preserve">V</w:t>
      </w:r>
      <w:r>
        <w:t xml:space="preserve"> </w:t>
      </w:r>
      <w:r>
        <w:t xml:space="preserve">= Applicable to Validation data |</w:t>
      </w:r>
      <w:r>
        <w:t xml:space="preserve"> </w:t>
      </w:r>
      <w:r>
        <w:rPr>
          <w:b/>
          <w:bCs/>
        </w:rPr>
        <w:t xml:space="preserve">D;V</w:t>
      </w:r>
      <w:r>
        <w:t xml:space="preserve"> </w:t>
      </w:r>
      <w:r>
        <w:t xml:space="preserve">= Both</w:t>
      </w:r>
    </w:p>
    <w:p>
      <w:r>
        <w:pict>
          <v:rect style="width:0;height:1.5pt" o:hralign="center" o:hrstd="t" o:hr="t"/>
        </w:pict>
      </w:r>
    </w:p>
    <w:bookmarkEnd w:id="20"/>
    <w:bookmarkStart w:id="21" w:name="section-1-title-and-abstract"/>
    <w:p>
      <w:pPr>
        <w:pStyle w:val="Heading2"/>
      </w:pPr>
      <w:r>
        <w:t xml:space="preserve">Section 1: Title and Abstract</w:t>
      </w:r>
    </w:p>
    <w:tbl>
      <w:tblPr>
        <w:tblStyle w:val="Table"/>
        <w:tblW w:type="pct" w:w="5000"/>
        <w:jc w:val="left"/>
        <w:tblLayout w:type="fixed"/>
        <w:tblLook w:firstRow="1" w:lastRow="0" w:firstColumn="0" w:lastColumn="0" w:noHBand="0" w:noVBand="0" w:val="0020"/>
      </w:tblPr>
      <w:tblGrid>
        <w:gridCol w:w="1011"/>
        <w:gridCol w:w="1179"/>
        <w:gridCol w:w="2696"/>
        <w:gridCol w:w="3033"/>
      </w:tblGrid>
      <w:tr>
        <w:trPr>
          <w:tblHeader w:val="on"/>
        </w:trPr>
        <w:tc>
          <w:tcPr/>
          <w:p>
            <w:pPr>
              <w:pStyle w:val="Compact"/>
              <w:jc w:val="center"/>
            </w:pPr>
            <w:r>
              <w:t xml:space="preserve">Item</w:t>
            </w:r>
          </w:p>
        </w:tc>
        <w:tc>
          <w:tcPr/>
          <w:p>
            <w:pPr>
              <w:pStyle w:val="Compact"/>
              <w:jc w:val="left"/>
            </w:pPr>
            <w:r>
              <w:t xml:space="preserve">Topic</w:t>
            </w:r>
          </w:p>
        </w:tc>
        <w:tc>
          <w:tcPr/>
          <w:p>
            <w:pPr>
              <w:pStyle w:val="Compact"/>
              <w:jc w:val="left"/>
            </w:pPr>
            <w:r>
              <w:t xml:space="preserve">Checklist Item</w:t>
            </w:r>
          </w:p>
        </w:tc>
        <w:tc>
          <w:tcPr/>
          <w:p>
            <w:pPr>
              <w:pStyle w:val="Compact"/>
              <w:jc w:val="center"/>
            </w:pPr>
            <w:r>
              <w:t xml:space="preserve">Reported on Page</w:t>
            </w:r>
          </w:p>
        </w:tc>
      </w:tr>
      <w:tr>
        <w:tc>
          <w:tcPr/>
          <w:p>
            <w:pPr>
              <w:pStyle w:val="Compact"/>
              <w:jc w:val="center"/>
            </w:pPr>
            <w:r>
              <w:t xml:space="preserve">1</w:t>
            </w:r>
          </w:p>
        </w:tc>
        <w:tc>
          <w:tcPr/>
          <w:p>
            <w:pPr>
              <w:pStyle w:val="Compact"/>
              <w:jc w:val="left"/>
            </w:pPr>
            <w:r>
              <w:t xml:space="preserve">Title (D;V)</w:t>
            </w:r>
          </w:p>
        </w:tc>
        <w:tc>
          <w:tcPr/>
          <w:p>
            <w:pPr>
              <w:pStyle w:val="Compact"/>
              <w:jc w:val="left"/>
            </w:pPr>
            <w:r>
              <w:t xml:space="preserve">Identify the study as developing</w:t>
            </w:r>
            <w:r>
              <w:t xml:space="preserve"> </w:t>
            </w:r>
            <w:r>
              <w:rPr>
                <w:b/>
                <w:bCs/>
              </w:rPr>
              <w:t xml:space="preserve">and</w:t>
            </w:r>
            <w:r>
              <w:t xml:space="preserve"> </w:t>
            </w:r>
            <w:r>
              <w:t xml:space="preserve">validating a multivariable prediction model, the target population, and the outcome to be predicted.</w:t>
            </w:r>
          </w:p>
        </w:tc>
        <w:tc>
          <w:tcPr/>
          <w:p>
            <w:pPr>
              <w:pStyle w:val="Compact"/>
              <w:jc w:val="center"/>
            </w:pPr>
            <w:r>
              <w:t xml:space="preserve">Title Page</w:t>
            </w:r>
          </w:p>
        </w:tc>
      </w:tr>
      <w:tr>
        <w:tc>
          <w:tcPr/>
          <w:p>
            <w:pPr>
              <w:pStyle w:val="Compact"/>
              <w:jc w:val="center"/>
            </w:pPr>
            <w:r>
              <w:t xml:space="preserve">2</w:t>
            </w:r>
          </w:p>
        </w:tc>
        <w:tc>
          <w:tcPr/>
          <w:p>
            <w:pPr>
              <w:pStyle w:val="Compact"/>
              <w:jc w:val="left"/>
            </w:pPr>
            <w:r>
              <w:t xml:space="preserve">Abstract (D;V)</w:t>
            </w:r>
          </w:p>
        </w:tc>
        <w:tc>
          <w:tcPr/>
          <w:p>
            <w:pPr>
              <w:pStyle w:val="Compact"/>
              <w:jc w:val="left"/>
            </w:pPr>
            <w:r>
              <w:t xml:space="preserve">Provide a summary of objectives, study design, setting, participants, sample size, predictors, outcome, statistical analysis, results, and conclusions.</w:t>
            </w:r>
          </w:p>
        </w:tc>
        <w:tc>
          <w:tcPr/>
          <w:p>
            <w:pPr>
              <w:pStyle w:val="Compact"/>
              <w:jc w:val="center"/>
            </w:pPr>
            <w:r>
              <w:t xml:space="preserve">p. 1 (Abstract)</w:t>
            </w:r>
          </w:p>
        </w:tc>
      </w:tr>
    </w:tbl>
    <w:p>
      <w:pPr>
        <w:pStyle w:val="BodyText"/>
      </w:pPr>
      <w:r>
        <w:rPr>
          <w:b/>
          <w:bCs/>
        </w:rPr>
        <w:t xml:space="preserve">Item 1 — Evidence:</w:t>
      </w:r>
      <w:r>
        <w:t xml:space="preserve"> </w:t>
      </w:r>
      <w:r>
        <w:t xml:space="preserve">The title identifies (a) pipeline development (</w:t>
      </w:r>
      <w:r>
        <w:t xml:space="preserve">“</w:t>
      </w:r>
      <w:r>
        <w:t xml:space="preserve">An Agentic Physiological Speech Biomarker Pipeline</w:t>
      </w:r>
      <w:r>
        <w:t xml:space="preserve">”</w:t>
      </w:r>
      <w:r>
        <w:t xml:space="preserve">), (b) the target population (</w:t>
      </w:r>
      <w:r>
        <w:t xml:space="preserve">“</w:t>
      </w:r>
      <w:r>
        <w:t xml:space="preserve">Remote Parkinson’s Disease Monitoring</w:t>
      </w:r>
      <w:r>
        <w:t xml:space="preserve">”</w:t>
      </w:r>
      <w:r>
        <w:t xml:space="preserve">), and (c) the outcome (PD vs. Healthy Control classification).</w:t>
      </w:r>
    </w:p>
    <w:p>
      <w:pPr>
        <w:pStyle w:val="BodyText"/>
      </w:pPr>
      <w:r>
        <w:rPr>
          <w:b/>
          <w:bCs/>
        </w:rPr>
        <w:t xml:space="preserve">Item 2 — Evidence:</w:t>
      </w:r>
      <w:r>
        <w:t xml:space="preserve"> </w:t>
      </w:r>
      <w:r>
        <w:t xml:space="preserve">The Abstract reports: objectives (remote PD monitoring), design (retrospective mPower cohort), setting (unconstrained mHealth), participants (N=120 age-gated), predictors (Shimmer, Jitter, HNR), outcome (binary PD classification), statistical method (LOSO GroupKFold, bootstrap CIs), results (AUC 0.700), and conclusions (physiological superiority over deep learning).</w:t>
      </w:r>
    </w:p>
    <w:p>
      <w:r>
        <w:pict>
          <v:rect style="width:0;height:1.5pt" o:hralign="center" o:hrstd="t" o:hr="t"/>
        </w:pict>
      </w:r>
    </w:p>
    <w:bookmarkEnd w:id="21"/>
    <w:bookmarkStart w:id="22" w:name="section-2-introduction"/>
    <w:p>
      <w:pPr>
        <w:pStyle w:val="Heading2"/>
      </w:pPr>
      <w:r>
        <w:t xml:space="preserve">Section 2: Introduction</w:t>
      </w:r>
    </w:p>
    <w:tbl>
      <w:tblPr>
        <w:tblStyle w:val="Table"/>
        <w:tblW w:type="pct" w:w="5000"/>
        <w:jc w:val="left"/>
        <w:tblLayout w:type="fixed"/>
        <w:tblLook w:firstRow="1" w:lastRow="0" w:firstColumn="0" w:lastColumn="0" w:noHBand="0" w:noVBand="0" w:val="0020"/>
      </w:tblPr>
      <w:tblGrid>
        <w:gridCol w:w="1011"/>
        <w:gridCol w:w="1179"/>
        <w:gridCol w:w="2696"/>
        <w:gridCol w:w="3033"/>
      </w:tblGrid>
      <w:tr>
        <w:trPr>
          <w:tblHeader w:val="on"/>
        </w:trPr>
        <w:tc>
          <w:tcPr/>
          <w:p>
            <w:pPr>
              <w:pStyle w:val="Compact"/>
              <w:jc w:val="center"/>
            </w:pPr>
            <w:r>
              <w:t xml:space="preserve">Item</w:t>
            </w:r>
          </w:p>
        </w:tc>
        <w:tc>
          <w:tcPr/>
          <w:p>
            <w:pPr>
              <w:pStyle w:val="Compact"/>
              <w:jc w:val="left"/>
            </w:pPr>
            <w:r>
              <w:t xml:space="preserve">Topic</w:t>
            </w:r>
          </w:p>
        </w:tc>
        <w:tc>
          <w:tcPr/>
          <w:p>
            <w:pPr>
              <w:pStyle w:val="Compact"/>
              <w:jc w:val="left"/>
            </w:pPr>
            <w:r>
              <w:t xml:space="preserve">Checklist Item</w:t>
            </w:r>
          </w:p>
        </w:tc>
        <w:tc>
          <w:tcPr/>
          <w:p>
            <w:pPr>
              <w:pStyle w:val="Compact"/>
              <w:jc w:val="center"/>
            </w:pPr>
            <w:r>
              <w:t xml:space="preserve">Reported on Page</w:t>
            </w:r>
          </w:p>
        </w:tc>
      </w:tr>
      <w:tr>
        <w:tc>
          <w:tcPr/>
          <w:p>
            <w:pPr>
              <w:pStyle w:val="Compact"/>
              <w:jc w:val="center"/>
            </w:pPr>
            <w:r>
              <w:t xml:space="preserve">3a</w:t>
            </w:r>
          </w:p>
        </w:tc>
        <w:tc>
          <w:tcPr/>
          <w:p>
            <w:pPr>
              <w:pStyle w:val="Compact"/>
              <w:jc w:val="left"/>
            </w:pPr>
            <w:r>
              <w:t xml:space="preserve">Background (D;V)</w:t>
            </w:r>
          </w:p>
        </w:tc>
        <w:tc>
          <w:tcPr/>
          <w:p>
            <w:pPr>
              <w:pStyle w:val="Compact"/>
              <w:jc w:val="left"/>
            </w:pPr>
            <w:r>
              <w:t xml:space="preserve">Explain the medical context and rationale for developing or validating the multivariable prediction model, including references to existing models.</w:t>
            </w:r>
          </w:p>
        </w:tc>
        <w:tc>
          <w:tcPr/>
          <w:p>
            <w:pPr>
              <w:pStyle w:val="Compact"/>
              <w:jc w:val="center"/>
            </w:pPr>
            <w:r>
              <w:t xml:space="preserve">p. 2 (§1 Introduction)</w:t>
            </w:r>
          </w:p>
        </w:tc>
      </w:tr>
      <w:tr>
        <w:tc>
          <w:tcPr/>
          <w:p>
            <w:pPr>
              <w:pStyle w:val="Compact"/>
              <w:jc w:val="center"/>
            </w:pPr>
            <w:r>
              <w:t xml:space="preserve">3b</w:t>
            </w:r>
          </w:p>
        </w:tc>
        <w:tc>
          <w:tcPr/>
          <w:p>
            <w:pPr>
              <w:pStyle w:val="Compact"/>
              <w:jc w:val="left"/>
            </w:pPr>
            <w:r>
              <w:t xml:space="preserve">Objectives (D;V)</w:t>
            </w:r>
          </w:p>
        </w:tc>
        <w:tc>
          <w:tcPr/>
          <w:p>
            <w:pPr>
              <w:pStyle w:val="Compact"/>
              <w:jc w:val="left"/>
            </w:pPr>
            <w:r>
              <w:t xml:space="preserve">Specify the objectives, including whether the study describes the development or validation of the model or both.</w:t>
            </w:r>
          </w:p>
        </w:tc>
        <w:tc>
          <w:tcPr/>
          <w:p>
            <w:pPr>
              <w:pStyle w:val="Compact"/>
              <w:jc w:val="center"/>
            </w:pPr>
            <w:r>
              <w:t xml:space="preserve">p. 2 (§1, final paragraph)</w:t>
            </w:r>
          </w:p>
        </w:tc>
      </w:tr>
    </w:tbl>
    <w:p>
      <w:pPr>
        <w:pStyle w:val="BodyText"/>
      </w:pPr>
      <w:r>
        <w:rPr>
          <w:b/>
          <w:bCs/>
        </w:rPr>
        <w:t xml:space="preserve">Item 3a — Evidence:</w:t>
      </w:r>
      <w:r>
        <w:t xml:space="preserve"> </w:t>
      </w:r>
      <w:r>
        <w:t xml:space="preserve">Section 1 describes: (i) the clinical burden of episodic UPDRS assessment, (ii) the failure of existing lab-grade voice AI models in unconstrained environments, and (iii) the unmet need for clinical translation via LLM agentic synthesis. References to prior models (Tsanas et al. [4], Wroge et al. [3]) are included.</w:t>
      </w:r>
    </w:p>
    <w:p>
      <w:pPr>
        <w:pStyle w:val="BodyText"/>
      </w:pPr>
      <w:r>
        <w:rPr>
          <w:b/>
          <w:bCs/>
        </w:rPr>
        <w:t xml:space="preserve">Item 3b — Evidence:</w:t>
      </w:r>
      <w:r>
        <w:t xml:space="preserve"> </w:t>
      </w:r>
      <w:r>
        <w:t xml:space="preserve">Section 1 (Contributions) explicitly states four objectives: confounder disentanglement, robust acoustic extraction, XAI mapping, and agentic clinical translation. Section 2.6 further specifies the zero-shot</w:t>
      </w:r>
      <w:r>
        <w:t xml:space="preserve"> </w:t>
      </w:r>
      <w:r>
        <w:rPr>
          <w:b/>
          <w:bCs/>
        </w:rPr>
        <w:t xml:space="preserve">external validation</w:t>
      </w:r>
      <w:r>
        <w:t xml:space="preserve"> </w:t>
      </w:r>
      <w:r>
        <w:t xml:space="preserve">on MDVR-KCL as a separate objective.</w:t>
      </w:r>
    </w:p>
    <w:p>
      <w:r>
        <w:pict>
          <v:rect style="width:0;height:1.5pt" o:hralign="center" o:hrstd="t" o:hr="t"/>
        </w:pict>
      </w:r>
    </w:p>
    <w:bookmarkEnd w:id="22"/>
    <w:bookmarkStart w:id="32" w:name="section-3-methods"/>
    <w:p>
      <w:pPr>
        <w:pStyle w:val="Heading2"/>
      </w:pPr>
      <w:r>
        <w:t xml:space="preserve">Section 3: Methods</w:t>
      </w:r>
    </w:p>
    <w:bookmarkStart w:id="23" w:name="source-of-data"/>
    <w:p>
      <w:pPr>
        <w:pStyle w:val="Heading3"/>
      </w:pPr>
      <w:r>
        <w:t xml:space="preserve">Source of Data</w:t>
      </w:r>
    </w:p>
    <w:tbl>
      <w:tblPr>
        <w:tblStyle w:val="Table"/>
        <w:tblW w:type="pct" w:w="5000"/>
        <w:jc w:val="left"/>
        <w:tblLayout w:type="fixed"/>
        <w:tblLook w:firstRow="1" w:lastRow="0" w:firstColumn="0" w:lastColumn="0" w:noHBand="0" w:noVBand="0" w:val="0020"/>
      </w:tblPr>
      <w:tblGrid>
        <w:gridCol w:w="1011"/>
        <w:gridCol w:w="1179"/>
        <w:gridCol w:w="2696"/>
        <w:gridCol w:w="3033"/>
      </w:tblGrid>
      <w:tr>
        <w:trPr>
          <w:tblHeader w:val="on"/>
        </w:trPr>
        <w:tc>
          <w:tcPr/>
          <w:p>
            <w:pPr>
              <w:pStyle w:val="Compact"/>
              <w:jc w:val="center"/>
            </w:pPr>
            <w:r>
              <w:t xml:space="preserve">Item</w:t>
            </w:r>
          </w:p>
        </w:tc>
        <w:tc>
          <w:tcPr/>
          <w:p>
            <w:pPr>
              <w:pStyle w:val="Compact"/>
              <w:jc w:val="left"/>
            </w:pPr>
            <w:r>
              <w:t xml:space="preserve">Topic</w:t>
            </w:r>
          </w:p>
        </w:tc>
        <w:tc>
          <w:tcPr/>
          <w:p>
            <w:pPr>
              <w:pStyle w:val="Compact"/>
              <w:jc w:val="left"/>
            </w:pPr>
            <w:r>
              <w:t xml:space="preserve">Checklist Item</w:t>
            </w:r>
          </w:p>
        </w:tc>
        <w:tc>
          <w:tcPr/>
          <w:p>
            <w:pPr>
              <w:pStyle w:val="Compact"/>
              <w:jc w:val="center"/>
            </w:pPr>
            <w:r>
              <w:t xml:space="preserve">Reported on Page</w:t>
            </w:r>
          </w:p>
        </w:tc>
      </w:tr>
      <w:tr>
        <w:tc>
          <w:tcPr/>
          <w:p>
            <w:pPr>
              <w:pStyle w:val="Compact"/>
              <w:jc w:val="center"/>
            </w:pPr>
            <w:r>
              <w:t xml:space="preserve">4a</w:t>
            </w:r>
          </w:p>
        </w:tc>
        <w:tc>
          <w:tcPr/>
          <w:p>
            <w:pPr>
              <w:pStyle w:val="Compact"/>
              <w:jc w:val="left"/>
            </w:pPr>
            <w:r>
              <w:t xml:space="preserve">Source of data (D;V)</w:t>
            </w:r>
          </w:p>
        </w:tc>
        <w:tc>
          <w:tcPr/>
          <w:p>
            <w:pPr>
              <w:pStyle w:val="Compact"/>
              <w:jc w:val="left"/>
            </w:pPr>
            <w:r>
              <w:t xml:space="preserve">Describe the study design or source of data, separately for the development and validation datasets.</w:t>
            </w:r>
          </w:p>
        </w:tc>
        <w:tc>
          <w:tcPr/>
          <w:p>
            <w:pPr>
              <w:pStyle w:val="Compact"/>
              <w:jc w:val="center"/>
            </w:pPr>
            <w:r>
              <w:t xml:space="preserve">p. X (§4.1 Methods)</w:t>
            </w:r>
          </w:p>
        </w:tc>
      </w:tr>
      <w:tr>
        <w:tc>
          <w:tcPr/>
          <w:p>
            <w:pPr>
              <w:pStyle w:val="Compact"/>
              <w:jc w:val="center"/>
            </w:pPr>
            <w:r>
              <w:t xml:space="preserve">4b</w:t>
            </w:r>
          </w:p>
        </w:tc>
        <w:tc>
          <w:tcPr/>
          <w:p>
            <w:pPr>
              <w:pStyle w:val="Compact"/>
              <w:jc w:val="left"/>
            </w:pPr>
            <w:r>
              <w:t xml:space="preserve">Key dates (D;V)</w:t>
            </w:r>
          </w:p>
        </w:tc>
        <w:tc>
          <w:tcPr/>
          <w:p>
            <w:pPr>
              <w:pStyle w:val="Compact"/>
              <w:jc w:val="left"/>
            </w:pPr>
            <w:r>
              <w:t xml:space="preserve">Specify key study dates including start and end of accrual, and end of follow-up if applicable.</w:t>
            </w:r>
          </w:p>
        </w:tc>
        <w:tc>
          <w:tcPr/>
          <w:p>
            <w:pPr>
              <w:pStyle w:val="Compact"/>
              <w:jc w:val="center"/>
            </w:pPr>
            <w:r>
              <w:t xml:space="preserve">p. X (§4.1 Methods)</w:t>
            </w:r>
          </w:p>
        </w:tc>
      </w:tr>
    </w:tbl>
    <w:p>
      <w:pPr>
        <w:pStyle w:val="BodyText"/>
      </w:pPr>
      <w:r>
        <w:rPr>
          <w:b/>
          <w:bCs/>
        </w:rPr>
        <w:t xml:space="preserve">Item 4a — Evidence:</w:t>
      </w:r>
      <w:r>
        <w:t xml:space="preserve"> </w:t>
      </w:r>
      <w:r>
        <w:t xml:space="preserve">-</w:t>
      </w:r>
      <w:r>
        <w:t xml:space="preserve"> </w:t>
      </w:r>
      <w:r>
        <w:rPr>
          <w:b/>
          <w:bCs/>
        </w:rPr>
        <w:t xml:space="preserve">Development:</w:t>
      </w:r>
      <w:r>
        <w:t xml:space="preserve"> </w:t>
      </w:r>
      <w:r>
        <w:t xml:space="preserve">Retrospective observational cohort from the mPower longitudinal study (Synapse ID: syn4993293, Bot et al. 2016 [19]). Unconstrained smartphone audio recordings collected via the ResearchKit iOS application.</w:t>
      </w:r>
      <w:r>
        <w:t xml:space="preserve"> </w:t>
      </w:r>
      <w:r>
        <w:t xml:space="preserve">-</w:t>
      </w:r>
      <w:r>
        <w:t xml:space="preserve"> </w:t>
      </w:r>
      <w:r>
        <w:rPr>
          <w:b/>
          <w:bCs/>
        </w:rPr>
        <w:t xml:space="preserve">Validation:</w:t>
      </w:r>
      <w:r>
        <w:t xml:space="preserve"> </w:t>
      </w:r>
      <w:r>
        <w:t xml:space="preserve">Independent lab-recorded dataset — MDVR-KCL (Klumpp et al. 2022 [24]), N=37, collected under controlled acoustic conditions at King’s College London.</w:t>
      </w:r>
    </w:p>
    <w:p>
      <w:pPr>
        <w:pStyle w:val="BodyText"/>
      </w:pPr>
      <w:r>
        <w:rPr>
          <w:b/>
          <w:bCs/>
        </w:rPr>
        <w:t xml:space="preserve">Item 4b — Evidence:</w:t>
      </w:r>
      <w:r>
        <w:t xml:space="preserve"> </w:t>
      </w:r>
      <w:r>
        <w:t xml:space="preserve">The mPower study ran from 2015 onwards. Data were accessed in 2024–2026 for this analysis. MDVR-KCL recordings were collected 2014–2016. No prospective follow-up was conducted; this is a cross-sectional classification study.</w:t>
      </w:r>
    </w:p>
    <w:p>
      <w:r>
        <w:pict>
          <v:rect style="width:0;height:1.5pt" o:hralign="center" o:hrstd="t" o:hr="t"/>
        </w:pict>
      </w:r>
    </w:p>
    <w:bookmarkEnd w:id="23"/>
    <w:bookmarkStart w:id="24" w:name="participants"/>
    <w:p>
      <w:pPr>
        <w:pStyle w:val="Heading3"/>
      </w:pPr>
      <w:r>
        <w:t xml:space="preserve">Participants</w:t>
      </w:r>
    </w:p>
    <w:tbl>
      <w:tblPr>
        <w:tblStyle w:val="Table"/>
        <w:tblW w:type="pct" w:w="5000"/>
        <w:jc w:val="left"/>
        <w:tblLayout w:type="fixed"/>
        <w:tblLook w:firstRow="1" w:lastRow="0" w:firstColumn="0" w:lastColumn="0" w:noHBand="0" w:noVBand="0" w:val="0020"/>
      </w:tblPr>
      <w:tblGrid>
        <w:gridCol w:w="1011"/>
        <w:gridCol w:w="1179"/>
        <w:gridCol w:w="2696"/>
        <w:gridCol w:w="3033"/>
      </w:tblGrid>
      <w:tr>
        <w:trPr>
          <w:tblHeader w:val="on"/>
        </w:trPr>
        <w:tc>
          <w:tcPr/>
          <w:p>
            <w:pPr>
              <w:pStyle w:val="Compact"/>
              <w:jc w:val="center"/>
            </w:pPr>
            <w:r>
              <w:t xml:space="preserve">Item</w:t>
            </w:r>
          </w:p>
        </w:tc>
        <w:tc>
          <w:tcPr/>
          <w:p>
            <w:pPr>
              <w:pStyle w:val="Compact"/>
              <w:jc w:val="left"/>
            </w:pPr>
            <w:r>
              <w:t xml:space="preserve">Topic</w:t>
            </w:r>
          </w:p>
        </w:tc>
        <w:tc>
          <w:tcPr/>
          <w:p>
            <w:pPr>
              <w:pStyle w:val="Compact"/>
              <w:jc w:val="left"/>
            </w:pPr>
            <w:r>
              <w:t xml:space="preserve">Checklist Item</w:t>
            </w:r>
          </w:p>
        </w:tc>
        <w:tc>
          <w:tcPr/>
          <w:p>
            <w:pPr>
              <w:pStyle w:val="Compact"/>
              <w:jc w:val="center"/>
            </w:pPr>
            <w:r>
              <w:t xml:space="preserve">Reported on Page</w:t>
            </w:r>
          </w:p>
        </w:tc>
      </w:tr>
      <w:tr>
        <w:tc>
          <w:tcPr/>
          <w:p>
            <w:pPr>
              <w:pStyle w:val="Compact"/>
              <w:jc w:val="center"/>
            </w:pPr>
            <w:r>
              <w:t xml:space="preserve">5a</w:t>
            </w:r>
          </w:p>
        </w:tc>
        <w:tc>
          <w:tcPr/>
          <w:p>
            <w:pPr>
              <w:pStyle w:val="Compact"/>
              <w:jc w:val="left"/>
            </w:pPr>
            <w:r>
              <w:t xml:space="preserve">Setting (D;V)</w:t>
            </w:r>
          </w:p>
        </w:tc>
        <w:tc>
          <w:tcPr/>
          <w:p>
            <w:pPr>
              <w:pStyle w:val="Compact"/>
              <w:jc w:val="left"/>
            </w:pPr>
            <w:r>
              <w:t xml:space="preserve">Specify key elements of study setting (e.g., primary vs. secondary care, general population).</w:t>
            </w:r>
          </w:p>
        </w:tc>
        <w:tc>
          <w:tcPr/>
          <w:p>
            <w:pPr>
              <w:pStyle w:val="Compact"/>
              <w:jc w:val="center"/>
            </w:pPr>
            <w:r>
              <w:t xml:space="preserve">p. X (§4.1)</w:t>
            </w:r>
          </w:p>
        </w:tc>
      </w:tr>
      <w:tr>
        <w:tc>
          <w:tcPr/>
          <w:p>
            <w:pPr>
              <w:pStyle w:val="Compact"/>
              <w:jc w:val="center"/>
            </w:pPr>
            <w:r>
              <w:t xml:space="preserve">5b</w:t>
            </w:r>
          </w:p>
        </w:tc>
        <w:tc>
          <w:tcPr/>
          <w:p>
            <w:pPr>
              <w:pStyle w:val="Compact"/>
              <w:jc w:val="left"/>
            </w:pPr>
            <w:r>
              <w:t xml:space="preserve">Eligibility criteria (D;V)</w:t>
            </w:r>
          </w:p>
        </w:tc>
        <w:tc>
          <w:tcPr/>
          <w:p>
            <w:pPr>
              <w:pStyle w:val="Compact"/>
              <w:jc w:val="left"/>
            </w:pPr>
            <w:r>
              <w:t xml:space="preserve">Describe eligibility criteria for participants.</w:t>
            </w:r>
          </w:p>
        </w:tc>
        <w:tc>
          <w:tcPr/>
          <w:p>
            <w:pPr>
              <w:pStyle w:val="Compact"/>
              <w:jc w:val="center"/>
            </w:pPr>
            <w:r>
              <w:t xml:space="preserve">p. X (§4.1)</w:t>
            </w:r>
          </w:p>
        </w:tc>
      </w:tr>
      <w:tr>
        <w:tc>
          <w:tcPr/>
          <w:p>
            <w:pPr>
              <w:pStyle w:val="Compact"/>
              <w:jc w:val="center"/>
            </w:pPr>
            <w:r>
              <w:t xml:space="preserve">5c</w:t>
            </w:r>
          </w:p>
        </w:tc>
        <w:tc>
          <w:tcPr/>
          <w:p>
            <w:pPr>
              <w:pStyle w:val="Compact"/>
              <w:jc w:val="left"/>
            </w:pPr>
            <w:r>
              <w:t xml:space="preserve">Treatments (D;V)</w:t>
            </w:r>
          </w:p>
        </w:tc>
        <w:tc>
          <w:tcPr/>
          <w:p>
            <w:pPr>
              <w:pStyle w:val="Compact"/>
              <w:jc w:val="left"/>
            </w:pPr>
            <w:r>
              <w:t xml:space="preserve">Give details of treatments received, if relevant.</w:t>
            </w:r>
          </w:p>
        </w:tc>
        <w:tc>
          <w:tcPr/>
          <w:p>
            <w:pPr>
              <w:pStyle w:val="Compact"/>
              <w:jc w:val="center"/>
            </w:pPr>
            <w:r>
              <w:t xml:space="preserve">N/A</w:t>
            </w:r>
          </w:p>
        </w:tc>
      </w:tr>
    </w:tbl>
    <w:p>
      <w:pPr>
        <w:pStyle w:val="BodyText"/>
      </w:pPr>
      <w:r>
        <w:rPr>
          <w:b/>
          <w:bCs/>
        </w:rPr>
        <w:t xml:space="preserve">Item 5a — Evidence:</w:t>
      </w:r>
      <w:r>
        <w:t xml:space="preserve"> </w:t>
      </w:r>
      <w:r>
        <w:t xml:space="preserve">Both datasets are general-population mHealth/clinical research settings. mPower: US general public via smartphone app. MDVR-KCL: outpatient neurology clinic (King’s College Hospital, London).</w:t>
      </w:r>
    </w:p>
    <w:p>
      <w:pPr>
        <w:pStyle w:val="BodyText"/>
      </w:pPr>
      <w:r>
        <w:rPr>
          <w:b/>
          <w:bCs/>
        </w:rPr>
        <w:t xml:space="preserve">Item 5b — Evidence:</w:t>
      </w:r>
      <w:r>
        <w:t xml:space="preserve"> </w:t>
      </w:r>
      <w:r>
        <w:t xml:space="preserve">-</w:t>
      </w:r>
      <w:r>
        <w:t xml:space="preserve"> </w:t>
      </w:r>
      <w:r>
        <w:rPr>
          <w:b/>
          <w:bCs/>
        </w:rPr>
        <w:t xml:space="preserve">Development inclusion:</w:t>
      </w:r>
      <w:r>
        <w:t xml:space="preserve"> </w:t>
      </w:r>
      <w:r>
        <w:t xml:space="preserve">(i) Professional PD diagnosis field populated, (ii) age ≥ 45 years (to neutralize laryngeal aging confounders), (iii) successful audio extraction yielding ≥ 1 valid voiced segment.</w:t>
      </w:r>
      <w:r>
        <w:t xml:space="preserve"> </w:t>
      </w:r>
      <w:r>
        <w:t xml:space="preserve">-</w:t>
      </w:r>
      <w:r>
        <w:t xml:space="preserve"> </w:t>
      </w:r>
      <w:r>
        <w:rPr>
          <w:b/>
          <w:bCs/>
        </w:rPr>
        <w:t xml:space="preserve">Development exclusion:</w:t>
      </w:r>
      <w:r>
        <w:t xml:space="preserve"> </w:t>
      </w:r>
      <w:r>
        <w:t xml:space="preserve">Age &lt; 45 years (HCs), failed or corrupt audio files (b’</w:t>
      </w:r>
      <w:r>
        <w:t xml:space="preserve">1c’ format errors).</w:t>
      </w:r>
      <w:r>
        <w:t xml:space="preserve"> </w:t>
      </w:r>
      <w:r>
        <w:t xml:space="preserve">-</w:t>
      </w:r>
      <w:r>
        <w:t xml:space="preserve"> </w:t>
      </w:r>
      <w:r>
        <w:rPr>
          <w:b/>
          <w:bCs/>
        </w:rPr>
        <w:t xml:space="preserve">Validation:</w:t>
      </w:r>
      <w:r>
        <w:t xml:space="preserve"> </w:t>
      </w:r>
      <w:r>
        <w:t xml:space="preserve">All 37 MDVR-KCL subjects used; no additional age-gating applied (mean age comparable to development cohort).</w:t>
      </w:r>
    </w:p>
    <w:p>
      <w:pPr>
        <w:pStyle w:val="BodyText"/>
      </w:pPr>
      <w:r>
        <w:rPr>
          <w:b/>
          <w:bCs/>
        </w:rPr>
        <w:t xml:space="preserve">Item 5c — Evidence:</w:t>
      </w:r>
      <w:r>
        <w:t xml:space="preserve"> </w:t>
      </w:r>
      <w:r>
        <w:t xml:space="preserve">Not applicable. This is a diagnostic/classification study; no intervention or treatment was administered. Medication status was not controlled for (acknowledged as a limitation in §3).</w:t>
      </w:r>
    </w:p>
    <w:p>
      <w:r>
        <w:pict>
          <v:rect style="width:0;height:1.5pt" o:hralign="center" o:hrstd="t" o:hr="t"/>
        </w:pict>
      </w:r>
    </w:p>
    <w:bookmarkEnd w:id="24"/>
    <w:bookmarkStart w:id="25" w:name="outcome"/>
    <w:p>
      <w:pPr>
        <w:pStyle w:val="Heading3"/>
      </w:pPr>
      <w:r>
        <w:t xml:space="preserve">Outcome</w:t>
      </w:r>
    </w:p>
    <w:tbl>
      <w:tblPr>
        <w:tblStyle w:val="Table"/>
        <w:tblW w:type="pct" w:w="5000"/>
        <w:jc w:val="left"/>
        <w:tblLayout w:type="fixed"/>
        <w:tblLook w:firstRow="1" w:lastRow="0" w:firstColumn="0" w:lastColumn="0" w:noHBand="0" w:noVBand="0" w:val="0020"/>
      </w:tblPr>
      <w:tblGrid>
        <w:gridCol w:w="1011"/>
        <w:gridCol w:w="1179"/>
        <w:gridCol w:w="2696"/>
        <w:gridCol w:w="3033"/>
      </w:tblGrid>
      <w:tr>
        <w:trPr>
          <w:tblHeader w:val="on"/>
        </w:trPr>
        <w:tc>
          <w:tcPr/>
          <w:p>
            <w:pPr>
              <w:pStyle w:val="Compact"/>
              <w:jc w:val="center"/>
            </w:pPr>
            <w:r>
              <w:t xml:space="preserve">Item</w:t>
            </w:r>
          </w:p>
        </w:tc>
        <w:tc>
          <w:tcPr/>
          <w:p>
            <w:pPr>
              <w:pStyle w:val="Compact"/>
              <w:jc w:val="left"/>
            </w:pPr>
            <w:r>
              <w:t xml:space="preserve">Topic</w:t>
            </w:r>
          </w:p>
        </w:tc>
        <w:tc>
          <w:tcPr/>
          <w:p>
            <w:pPr>
              <w:pStyle w:val="Compact"/>
              <w:jc w:val="left"/>
            </w:pPr>
            <w:r>
              <w:t xml:space="preserve">Checklist Item</w:t>
            </w:r>
          </w:p>
        </w:tc>
        <w:tc>
          <w:tcPr/>
          <w:p>
            <w:pPr>
              <w:pStyle w:val="Compact"/>
              <w:jc w:val="center"/>
            </w:pPr>
            <w:r>
              <w:t xml:space="preserve">Reported on Page</w:t>
            </w:r>
          </w:p>
        </w:tc>
      </w:tr>
      <w:tr>
        <w:tc>
          <w:tcPr/>
          <w:p>
            <w:pPr>
              <w:pStyle w:val="Compact"/>
              <w:jc w:val="center"/>
            </w:pPr>
            <w:r>
              <w:t xml:space="preserve">6</w:t>
            </w:r>
          </w:p>
        </w:tc>
        <w:tc>
          <w:tcPr/>
          <w:p>
            <w:pPr>
              <w:pStyle w:val="Compact"/>
              <w:jc w:val="left"/>
            </w:pPr>
            <w:r>
              <w:t xml:space="preserve">Outcome (D;V)</w:t>
            </w:r>
          </w:p>
        </w:tc>
        <w:tc>
          <w:tcPr/>
          <w:p>
            <w:pPr>
              <w:pStyle w:val="Compact"/>
              <w:jc w:val="left"/>
            </w:pPr>
            <w:r>
              <w:t xml:space="preserve">Clearly define the outcome predicted by the prediction model, including how and when assessed.</w:t>
            </w:r>
          </w:p>
        </w:tc>
        <w:tc>
          <w:tcPr/>
          <w:p>
            <w:pPr>
              <w:pStyle w:val="Compact"/>
              <w:jc w:val="center"/>
            </w:pPr>
            <w:r>
              <w:t xml:space="preserve">p. X (§4.2)</w:t>
            </w:r>
          </w:p>
        </w:tc>
      </w:tr>
    </w:tbl>
    <w:p>
      <w:pPr>
        <w:pStyle w:val="BodyText"/>
      </w:pPr>
      <w:r>
        <w:rPr>
          <w:b/>
          <w:bCs/>
        </w:rPr>
        <w:t xml:space="preserve">Item 6 — Evidence:</w:t>
      </w:r>
      <w:r>
        <w:t xml:space="preserve"> </w:t>
      </w:r>
      <w:r>
        <w:t xml:space="preserve">The outcome is binary:</w:t>
      </w:r>
      <w:r>
        <w:t xml:space="preserve"> </w:t>
      </w:r>
      <w:r>
        <w:rPr>
          <w:b/>
          <w:bCs/>
        </w:rPr>
        <w:t xml:space="preserve">Parkinson’s Disease (PD = 1) vs. Healthy Control (HC = 0)</w:t>
      </w:r>
      <w:r>
        <w:t xml:space="preserve">. In the mPower development set, this was determined by the</w:t>
      </w:r>
      <w:r>
        <w:t xml:space="preserve"> </w:t>
      </w:r>
      <w:r>
        <w:rPr>
          <w:rStyle w:val="VerbatimChar"/>
        </w:rPr>
        <w:t xml:space="preserve">professional-diagnosis</w:t>
      </w:r>
      <w:r>
        <w:t xml:space="preserve"> </w:t>
      </w:r>
      <w:r>
        <w:t xml:space="preserve">field from the Synapse demographics table (syn5511429) — a self-reported field indicating whether the participant received a professional PD diagnosis. In the MDVR-KCL validation set, labels were provided by the dataset curators based on clinical diagnosis by a consultant neurologist.</w:t>
      </w:r>
    </w:p>
    <w:p>
      <w:r>
        <w:pict>
          <v:rect style="width:0;height:1.5pt" o:hralign="center" o:hrstd="t" o:hr="t"/>
        </w:pict>
      </w:r>
    </w:p>
    <w:bookmarkEnd w:id="25"/>
    <w:bookmarkStart w:id="26" w:name="predictors"/>
    <w:p>
      <w:pPr>
        <w:pStyle w:val="Heading3"/>
      </w:pPr>
      <w:r>
        <w:t xml:space="preserve">Predictors</w:t>
      </w:r>
    </w:p>
    <w:tbl>
      <w:tblPr>
        <w:tblStyle w:val="Table"/>
        <w:tblW w:type="pct" w:w="5000"/>
        <w:jc w:val="left"/>
        <w:tblLayout w:type="fixed"/>
        <w:tblLook w:firstRow="1" w:lastRow="0" w:firstColumn="0" w:lastColumn="0" w:noHBand="0" w:noVBand="0" w:val="0020"/>
      </w:tblPr>
      <w:tblGrid>
        <w:gridCol w:w="1011"/>
        <w:gridCol w:w="1179"/>
        <w:gridCol w:w="2696"/>
        <w:gridCol w:w="3033"/>
      </w:tblGrid>
      <w:tr>
        <w:trPr>
          <w:tblHeader w:val="on"/>
        </w:trPr>
        <w:tc>
          <w:tcPr/>
          <w:p>
            <w:pPr>
              <w:pStyle w:val="Compact"/>
              <w:jc w:val="center"/>
            </w:pPr>
            <w:r>
              <w:t xml:space="preserve">Item</w:t>
            </w:r>
          </w:p>
        </w:tc>
        <w:tc>
          <w:tcPr/>
          <w:p>
            <w:pPr>
              <w:pStyle w:val="Compact"/>
              <w:jc w:val="left"/>
            </w:pPr>
            <w:r>
              <w:t xml:space="preserve">Topic</w:t>
            </w:r>
          </w:p>
        </w:tc>
        <w:tc>
          <w:tcPr/>
          <w:p>
            <w:pPr>
              <w:pStyle w:val="Compact"/>
              <w:jc w:val="left"/>
            </w:pPr>
            <w:r>
              <w:t xml:space="preserve">Checklist Item</w:t>
            </w:r>
          </w:p>
        </w:tc>
        <w:tc>
          <w:tcPr/>
          <w:p>
            <w:pPr>
              <w:pStyle w:val="Compact"/>
              <w:jc w:val="center"/>
            </w:pPr>
            <w:r>
              <w:t xml:space="preserve">Reported on Page</w:t>
            </w:r>
          </w:p>
        </w:tc>
      </w:tr>
      <w:tr>
        <w:tc>
          <w:tcPr/>
          <w:p>
            <w:pPr>
              <w:pStyle w:val="Compact"/>
              <w:jc w:val="center"/>
            </w:pPr>
            <w:r>
              <w:t xml:space="preserve">7a</w:t>
            </w:r>
          </w:p>
        </w:tc>
        <w:tc>
          <w:tcPr/>
          <w:p>
            <w:pPr>
              <w:pStyle w:val="Compact"/>
              <w:jc w:val="left"/>
            </w:pPr>
            <w:r>
              <w:t xml:space="preserve">Predictor definition (D;V)</w:t>
            </w:r>
          </w:p>
        </w:tc>
        <w:tc>
          <w:tcPr/>
          <w:p>
            <w:pPr>
              <w:pStyle w:val="Compact"/>
              <w:jc w:val="left"/>
            </w:pPr>
            <w:r>
              <w:t xml:space="preserve">Clearly define all predictors used, including how and when they were measured.</w:t>
            </w:r>
          </w:p>
        </w:tc>
        <w:tc>
          <w:tcPr/>
          <w:p>
            <w:pPr>
              <w:pStyle w:val="Compact"/>
              <w:jc w:val="center"/>
            </w:pPr>
            <w:r>
              <w:t xml:space="preserve">p. X (§4.3)</w:t>
            </w:r>
          </w:p>
        </w:tc>
      </w:tr>
      <w:tr>
        <w:tc>
          <w:tcPr/>
          <w:p>
            <w:pPr>
              <w:pStyle w:val="Compact"/>
              <w:jc w:val="center"/>
            </w:pPr>
            <w:r>
              <w:t xml:space="preserve">7b</w:t>
            </w:r>
          </w:p>
        </w:tc>
        <w:tc>
          <w:tcPr/>
          <w:p>
            <w:pPr>
              <w:pStyle w:val="Compact"/>
              <w:jc w:val="left"/>
            </w:pPr>
            <w:r>
              <w:t xml:space="preserve">Missing data (D;V)</w:t>
            </w:r>
          </w:p>
        </w:tc>
        <w:tc>
          <w:tcPr/>
          <w:p>
            <w:pPr>
              <w:pStyle w:val="Compact"/>
              <w:jc w:val="left"/>
            </w:pPr>
            <w:r>
              <w:t xml:space="preserve">Report the number of participants with missing data for predictors and outcome.</w:t>
            </w:r>
          </w:p>
        </w:tc>
        <w:tc>
          <w:tcPr/>
          <w:p>
            <w:pPr>
              <w:pStyle w:val="Compact"/>
              <w:jc w:val="center"/>
            </w:pPr>
            <w:r>
              <w:t xml:space="preserve">p. X (§4.1, Table 1)</w:t>
            </w:r>
          </w:p>
        </w:tc>
      </w:tr>
      <w:tr>
        <w:tc>
          <w:tcPr/>
          <w:p>
            <w:pPr>
              <w:pStyle w:val="Compact"/>
              <w:jc w:val="center"/>
            </w:pPr>
            <w:r>
              <w:t xml:space="preserve">7c</w:t>
            </w:r>
          </w:p>
        </w:tc>
        <w:tc>
          <w:tcPr/>
          <w:p>
            <w:pPr>
              <w:pStyle w:val="Compact"/>
              <w:jc w:val="left"/>
            </w:pPr>
            <w:r>
              <w:t xml:space="preserve">Validation predictions (V)</w:t>
            </w:r>
          </w:p>
        </w:tc>
        <w:tc>
          <w:tcPr/>
          <w:p>
            <w:pPr>
              <w:pStyle w:val="Compact"/>
              <w:jc w:val="left"/>
            </w:pPr>
            <w:r>
              <w:t xml:space="preserve">For validation, describe how predictions were made (same model, updated model, or re-estimated model).</w:t>
            </w:r>
          </w:p>
        </w:tc>
        <w:tc>
          <w:tcPr/>
          <w:p>
            <w:pPr>
              <w:pStyle w:val="Compact"/>
              <w:jc w:val="center"/>
            </w:pPr>
            <w:r>
              <w:t xml:space="preserve">p. X (§2.6)</w:t>
            </w:r>
          </w:p>
        </w:tc>
      </w:tr>
    </w:tbl>
    <w:p>
      <w:pPr>
        <w:pStyle w:val="BodyText"/>
      </w:pPr>
      <w:r>
        <w:rPr>
          <w:b/>
          <w:bCs/>
        </w:rPr>
        <w:t xml:space="preserve">Item 7a — Evidence:</w:t>
      </w:r>
      <w:r>
        <w:t xml:space="preserve"> </w:t>
      </w:r>
      <w:r>
        <w:t xml:space="preserve">Four acoustic predictors were retained after Pearson correlation pruning (r ≤ 0.9):</w:t>
      </w:r>
      <w:r>
        <w:t xml:space="preserve"> </w:t>
      </w:r>
      <w:r>
        <w:t xml:space="preserve">1.</w:t>
      </w:r>
      <w:r>
        <w:t xml:space="preserve"> </w:t>
      </w:r>
      <w:r>
        <w:rPr>
          <w:b/>
          <w:bCs/>
        </w:rPr>
        <w:t xml:space="preserve">Shimmer (local)</w:t>
      </w:r>
      <w:r>
        <w:t xml:space="preserve"> </w:t>
      </w:r>
      <w:r>
        <w:t xml:space="preserve">— Cycle-to-cycle amplitude perturbation, extracted from voiced frames via Praat-equivalent signal processing on 16 kHz resampled audio.</w:t>
      </w:r>
      <w:r>
        <w:t xml:space="preserve"> </w:t>
      </w:r>
      <w:r>
        <w:t xml:space="preserve">2.</w:t>
      </w:r>
      <w:r>
        <w:t xml:space="preserve"> </w:t>
      </w:r>
      <w:r>
        <w:rPr>
          <w:b/>
          <w:bCs/>
        </w:rPr>
        <w:t xml:space="preserve">Jitter (local)</w:t>
      </w:r>
      <w:r>
        <w:t xml:space="preserve"> </w:t>
      </w:r>
      <w:r>
        <w:t xml:space="preserve">— Cycle-to-cycle fundamental frequency perturbation.</w:t>
      </w:r>
      <w:r>
        <w:t xml:space="preserve"> </w:t>
      </w:r>
      <w:r>
        <w:t xml:space="preserve">3.</w:t>
      </w:r>
      <w:r>
        <w:t xml:space="preserve"> </w:t>
      </w:r>
      <w:r>
        <w:rPr>
          <w:b/>
          <w:bCs/>
        </w:rPr>
        <w:t xml:space="preserve">Harmonics-to-Noise Ratio (HNR)</w:t>
      </w:r>
      <w:r>
        <w:t xml:space="preserve"> </w:t>
      </w:r>
      <w:r>
        <w:t xml:space="preserve">— Signal-to-noise ratio in voiced speech.</w:t>
      </w:r>
      <w:r>
        <w:t xml:space="preserve"> </w:t>
      </w:r>
      <w:r>
        <w:t xml:space="preserve">4.</w:t>
      </w:r>
      <w:r>
        <w:t xml:space="preserve"> </w:t>
      </w:r>
      <w:r>
        <w:rPr>
          <w:b/>
          <w:bCs/>
        </w:rPr>
        <w:t xml:space="preserve">F0 standard deviation (F0_std)</w:t>
      </w:r>
      <w:r>
        <w:t xml:space="preserve"> </w:t>
      </w:r>
      <w:r>
        <w:t xml:space="preserve">— Prosodic variance of fundamental frequency.</w:t>
      </w:r>
    </w:p>
    <w:p>
      <w:pPr>
        <w:pStyle w:val="BodyText"/>
      </w:pPr>
      <w:r>
        <w:t xml:space="preserve">All features were extracted per-recording after TQWT denoising (Row A2) or raw signal (Row A1), then z-score normalized within each training fold to prevent data leakage.</w:t>
      </w:r>
    </w:p>
    <w:p>
      <w:pPr>
        <w:pStyle w:val="BodyText"/>
      </w:pPr>
      <w:r>
        <w:rPr>
          <w:b/>
          <w:bCs/>
        </w:rPr>
        <w:t xml:space="preserve">Item 7b — Evidence:</w:t>
      </w:r>
      <w:r>
        <w:t xml:space="preserve"> </w:t>
      </w:r>
      <w:r>
        <w:t xml:space="preserve">Subjects with completely failed audio extraction (corrupt format) were excluded pre-modelling. No partial feature missingness was observed in successfully processed files. The final cohort (N=120) represents complete-case analysis.</w:t>
      </w:r>
    </w:p>
    <w:p>
      <w:pPr>
        <w:pStyle w:val="BodyText"/>
      </w:pPr>
      <w:r>
        <w:rPr>
          <w:b/>
          <w:bCs/>
        </w:rPr>
        <w:t xml:space="preserve">Item 7c — Evidence:</w:t>
      </w:r>
      <w:r>
        <w:t xml:space="preserve"> </w:t>
      </w:r>
      <w:r>
        <w:t xml:space="preserve">For zero-shot MDVR-KCL validation (§2.6), the</w:t>
      </w:r>
      <w:r>
        <w:t xml:space="preserve"> </w:t>
      </w:r>
      <w:r>
        <w:rPr>
          <w:b/>
          <w:bCs/>
        </w:rPr>
        <w:t xml:space="preserve">identical frozen model</w:t>
      </w:r>
      <w:r>
        <w:t xml:space="preserve"> </w:t>
      </w:r>
      <w:r>
        <w:t xml:space="preserve">trained on mPower (N=120) was applied directly. No recalibration, fine-tuning, or threshold adjustment was performed. Predictions used the same decision threshold (0.5) and the same pre-processing pipeline.</w:t>
      </w:r>
    </w:p>
    <w:p>
      <w:r>
        <w:pict>
          <v:rect style="width:0;height:1.5pt" o:hralign="center" o:hrstd="t" o:hr="t"/>
        </w:pict>
      </w:r>
    </w:p>
    <w:bookmarkEnd w:id="26"/>
    <w:bookmarkStart w:id="27" w:name="sample-size"/>
    <w:p>
      <w:pPr>
        <w:pStyle w:val="Heading3"/>
      </w:pPr>
      <w:r>
        <w:t xml:space="preserve">Sample Size</w:t>
      </w:r>
    </w:p>
    <w:tbl>
      <w:tblPr>
        <w:tblStyle w:val="Table"/>
        <w:tblW w:type="pct" w:w="5000"/>
        <w:jc w:val="left"/>
        <w:tblLayout w:type="fixed"/>
        <w:tblLook w:firstRow="1" w:lastRow="0" w:firstColumn="0" w:lastColumn="0" w:noHBand="0" w:noVBand="0" w:val="0020"/>
      </w:tblPr>
      <w:tblGrid>
        <w:gridCol w:w="1011"/>
        <w:gridCol w:w="1179"/>
        <w:gridCol w:w="2696"/>
        <w:gridCol w:w="3033"/>
      </w:tblGrid>
      <w:tr>
        <w:trPr>
          <w:tblHeader w:val="on"/>
        </w:trPr>
        <w:tc>
          <w:tcPr/>
          <w:p>
            <w:pPr>
              <w:pStyle w:val="Compact"/>
              <w:jc w:val="center"/>
            </w:pPr>
            <w:r>
              <w:t xml:space="preserve">Item</w:t>
            </w:r>
          </w:p>
        </w:tc>
        <w:tc>
          <w:tcPr/>
          <w:p>
            <w:pPr>
              <w:pStyle w:val="Compact"/>
              <w:jc w:val="left"/>
            </w:pPr>
            <w:r>
              <w:t xml:space="preserve">Topic</w:t>
            </w:r>
          </w:p>
        </w:tc>
        <w:tc>
          <w:tcPr/>
          <w:p>
            <w:pPr>
              <w:pStyle w:val="Compact"/>
              <w:jc w:val="left"/>
            </w:pPr>
            <w:r>
              <w:t xml:space="preserve">Checklist Item</w:t>
            </w:r>
          </w:p>
        </w:tc>
        <w:tc>
          <w:tcPr/>
          <w:p>
            <w:pPr>
              <w:pStyle w:val="Compact"/>
              <w:jc w:val="center"/>
            </w:pPr>
            <w:r>
              <w:t xml:space="preserve">Reported on Page</w:t>
            </w:r>
          </w:p>
        </w:tc>
      </w:tr>
      <w:tr>
        <w:tc>
          <w:tcPr/>
          <w:p>
            <w:pPr>
              <w:pStyle w:val="Compact"/>
              <w:jc w:val="center"/>
            </w:pPr>
            <w:r>
              <w:t xml:space="preserve">8</w:t>
            </w:r>
          </w:p>
        </w:tc>
        <w:tc>
          <w:tcPr/>
          <w:p>
            <w:pPr>
              <w:pStyle w:val="Compact"/>
              <w:jc w:val="left"/>
            </w:pPr>
            <w:r>
              <w:t xml:space="preserve">Sample size (D;V)</w:t>
            </w:r>
          </w:p>
        </w:tc>
        <w:tc>
          <w:tcPr/>
          <w:p>
            <w:pPr>
              <w:pStyle w:val="Compact"/>
              <w:jc w:val="left"/>
            </w:pPr>
            <w:r>
              <w:t xml:space="preserve">Explain how the study size was arrived at.</w:t>
            </w:r>
          </w:p>
        </w:tc>
        <w:tc>
          <w:tcPr/>
          <w:p>
            <w:pPr>
              <w:pStyle w:val="Compact"/>
              <w:jc w:val="center"/>
            </w:pPr>
            <w:r>
              <w:t xml:space="preserve">p. X (§4.1)</w:t>
            </w:r>
          </w:p>
        </w:tc>
      </w:tr>
    </w:tbl>
    <w:p>
      <w:pPr>
        <w:pStyle w:val="BodyText"/>
      </w:pPr>
      <w:r>
        <w:rPr>
          <w:b/>
          <w:bCs/>
        </w:rPr>
        <w:t xml:space="preserve">Item 8 — Evidence:</w:t>
      </w:r>
      <w:r>
        <w:t xml:space="preserve"> </w:t>
      </w:r>
      <w:r>
        <w:t xml:space="preserve">The development cohort (N=120, 60 PD / 60 HC) was determined by the availability of valid audio extractions from mPower after applying the age ≥ 45 eligibility gate. The gate was set to balance (a) class balance (1:1 PD:HC ratio achieved via age-gating) and (b) maximizing cohort size within the age-matched stratum. No formal a priori power calculation was conducted; the sample size is consistent with prior mHealth PD voice studies (e.g., Wroge et al. [3]: N=65; Sakar et al. [1]: N=195 after preprocessing). The validation set (N=37) represents the complete MDVR-KCL corpus.</w:t>
      </w:r>
    </w:p>
    <w:p>
      <w:r>
        <w:pict>
          <v:rect style="width:0;height:1.5pt" o:hralign="center" o:hrstd="t" o:hr="t"/>
        </w:pict>
      </w:r>
    </w:p>
    <w:bookmarkEnd w:id="27"/>
    <w:bookmarkStart w:id="28" w:name="missing-data"/>
    <w:p>
      <w:pPr>
        <w:pStyle w:val="Heading3"/>
      </w:pPr>
      <w:r>
        <w:t xml:space="preserve">Missing Data</w:t>
      </w:r>
    </w:p>
    <w:tbl>
      <w:tblPr>
        <w:tblStyle w:val="Table"/>
        <w:tblW w:type="pct" w:w="5000"/>
        <w:jc w:val="left"/>
        <w:tblLayout w:type="fixed"/>
        <w:tblLook w:firstRow="1" w:lastRow="0" w:firstColumn="0" w:lastColumn="0" w:noHBand="0" w:noVBand="0" w:val="0020"/>
      </w:tblPr>
      <w:tblGrid>
        <w:gridCol w:w="1011"/>
        <w:gridCol w:w="1179"/>
        <w:gridCol w:w="2696"/>
        <w:gridCol w:w="3033"/>
      </w:tblGrid>
      <w:tr>
        <w:trPr>
          <w:tblHeader w:val="on"/>
        </w:trPr>
        <w:tc>
          <w:tcPr/>
          <w:p>
            <w:pPr>
              <w:pStyle w:val="Compact"/>
              <w:jc w:val="center"/>
            </w:pPr>
            <w:r>
              <w:t xml:space="preserve">Item</w:t>
            </w:r>
          </w:p>
        </w:tc>
        <w:tc>
          <w:tcPr/>
          <w:p>
            <w:pPr>
              <w:pStyle w:val="Compact"/>
              <w:jc w:val="left"/>
            </w:pPr>
            <w:r>
              <w:t xml:space="preserve">Topic</w:t>
            </w:r>
          </w:p>
        </w:tc>
        <w:tc>
          <w:tcPr/>
          <w:p>
            <w:pPr>
              <w:pStyle w:val="Compact"/>
              <w:jc w:val="left"/>
            </w:pPr>
            <w:r>
              <w:t xml:space="preserve">Checklist Item</w:t>
            </w:r>
          </w:p>
        </w:tc>
        <w:tc>
          <w:tcPr/>
          <w:p>
            <w:pPr>
              <w:pStyle w:val="Compact"/>
              <w:jc w:val="center"/>
            </w:pPr>
            <w:r>
              <w:t xml:space="preserve">Reported on Page</w:t>
            </w:r>
          </w:p>
        </w:tc>
      </w:tr>
      <w:tr>
        <w:tc>
          <w:tcPr/>
          <w:p>
            <w:pPr>
              <w:pStyle w:val="Compact"/>
              <w:jc w:val="center"/>
            </w:pPr>
            <w:r>
              <w:t xml:space="preserve">9</w:t>
            </w:r>
          </w:p>
        </w:tc>
        <w:tc>
          <w:tcPr/>
          <w:p>
            <w:pPr>
              <w:pStyle w:val="Compact"/>
              <w:jc w:val="left"/>
            </w:pPr>
            <w:r>
              <w:t xml:space="preserve">Missing data (D;V)</w:t>
            </w:r>
          </w:p>
        </w:tc>
        <w:tc>
          <w:tcPr/>
          <w:p>
            <w:pPr>
              <w:pStyle w:val="Compact"/>
              <w:jc w:val="left"/>
            </w:pPr>
            <w:r>
              <w:t xml:space="preserve">Describe how missing data were handled.</w:t>
            </w:r>
          </w:p>
        </w:tc>
        <w:tc>
          <w:tcPr/>
          <w:p>
            <w:pPr>
              <w:pStyle w:val="Compact"/>
              <w:jc w:val="center"/>
            </w:pPr>
            <w:r>
              <w:t xml:space="preserve">p. X (§4.1)</w:t>
            </w:r>
          </w:p>
        </w:tc>
      </w:tr>
    </w:tbl>
    <w:p>
      <w:pPr>
        <w:pStyle w:val="BodyText"/>
      </w:pPr>
      <w:r>
        <w:rPr>
          <w:b/>
          <w:bCs/>
        </w:rPr>
        <w:t xml:space="preserve">Item 9 — Evidence:</w:t>
      </w:r>
      <w:r>
        <w:t xml:space="preserve"> </w:t>
      </w:r>
      <w:r>
        <w:t xml:space="preserve">Missing data were handled via</w:t>
      </w:r>
      <w:r>
        <w:t xml:space="preserve"> </w:t>
      </w:r>
      <w:r>
        <w:rPr>
          <w:b/>
          <w:bCs/>
        </w:rPr>
        <w:t xml:space="preserve">complete-case exclusion</w:t>
      </w:r>
      <w:r>
        <w:t xml:space="preserve"> </w:t>
      </w:r>
      <w:r>
        <w:t xml:space="preserve">at two stages: (i) subjects with missing</w:t>
      </w:r>
      <w:r>
        <w:t xml:space="preserve"> </w:t>
      </w:r>
      <w:r>
        <w:rPr>
          <w:rStyle w:val="VerbatimChar"/>
        </w:rPr>
        <w:t xml:space="preserve">professional-diagnosis</w:t>
      </w:r>
      <w:r>
        <w:t xml:space="preserve"> </w:t>
      </w:r>
      <w:r>
        <w:t xml:space="preserve">fields were excluded from the Synapse query, and (ii) subjects whose audio files yielded decoding errors were excluded from feature extraction. No imputation was applied. Age was missing for a subset of mPower participants; these were excluded from demographic reporting (Table 1) but subjects with valid audio and diagnosis were retained if audio features could be extracted regardless.</w:t>
      </w:r>
    </w:p>
    <w:p>
      <w:r>
        <w:pict>
          <v:rect style="width:0;height:1.5pt" o:hralign="center" o:hrstd="t" o:hr="t"/>
        </w:pict>
      </w:r>
    </w:p>
    <w:bookmarkEnd w:id="28"/>
    <w:bookmarkStart w:id="29" w:name="statistical-analysis-methods"/>
    <w:p>
      <w:pPr>
        <w:pStyle w:val="Heading3"/>
      </w:pPr>
      <w:r>
        <w:t xml:space="preserve">Statistical Analysis Methods</w:t>
      </w:r>
    </w:p>
    <w:tbl>
      <w:tblPr>
        <w:tblStyle w:val="Table"/>
        <w:tblW w:type="pct" w:w="5000"/>
        <w:jc w:val="left"/>
        <w:tblLayout w:type="fixed"/>
        <w:tblLook w:firstRow="1" w:lastRow="0" w:firstColumn="0" w:lastColumn="0" w:noHBand="0" w:noVBand="0" w:val="0020"/>
      </w:tblPr>
      <w:tblGrid>
        <w:gridCol w:w="1011"/>
        <w:gridCol w:w="1179"/>
        <w:gridCol w:w="2696"/>
        <w:gridCol w:w="3033"/>
      </w:tblGrid>
      <w:tr>
        <w:trPr>
          <w:tblHeader w:val="on"/>
        </w:trPr>
        <w:tc>
          <w:tcPr/>
          <w:p>
            <w:pPr>
              <w:pStyle w:val="Compact"/>
              <w:jc w:val="center"/>
            </w:pPr>
            <w:r>
              <w:t xml:space="preserve">Item</w:t>
            </w:r>
          </w:p>
        </w:tc>
        <w:tc>
          <w:tcPr/>
          <w:p>
            <w:pPr>
              <w:pStyle w:val="Compact"/>
              <w:jc w:val="left"/>
            </w:pPr>
            <w:r>
              <w:t xml:space="preserve">Topic</w:t>
            </w:r>
          </w:p>
        </w:tc>
        <w:tc>
          <w:tcPr/>
          <w:p>
            <w:pPr>
              <w:pStyle w:val="Compact"/>
              <w:jc w:val="left"/>
            </w:pPr>
            <w:r>
              <w:t xml:space="preserve">Checklist Item</w:t>
            </w:r>
          </w:p>
        </w:tc>
        <w:tc>
          <w:tcPr/>
          <w:p>
            <w:pPr>
              <w:pStyle w:val="Compact"/>
              <w:jc w:val="center"/>
            </w:pPr>
            <w:r>
              <w:t xml:space="preserve">Reported on Page</w:t>
            </w:r>
          </w:p>
        </w:tc>
      </w:tr>
      <w:tr>
        <w:tc>
          <w:tcPr/>
          <w:p>
            <w:pPr>
              <w:pStyle w:val="Compact"/>
              <w:jc w:val="center"/>
            </w:pPr>
            <w:r>
              <w:t xml:space="preserve">10a</w:t>
            </w:r>
          </w:p>
        </w:tc>
        <w:tc>
          <w:tcPr/>
          <w:p>
            <w:pPr>
              <w:pStyle w:val="Compact"/>
              <w:jc w:val="left"/>
            </w:pPr>
            <w:r>
              <w:t xml:space="preserve">Predictor handling (D;V)</w:t>
            </w:r>
          </w:p>
        </w:tc>
        <w:tc>
          <w:tcPr/>
          <w:p>
            <w:pPr>
              <w:pStyle w:val="Compact"/>
              <w:jc w:val="left"/>
            </w:pPr>
            <w:r>
              <w:t xml:space="preserve">Describe how predictors were handled in the analyses.</w:t>
            </w:r>
          </w:p>
        </w:tc>
        <w:tc>
          <w:tcPr/>
          <w:p>
            <w:pPr>
              <w:pStyle w:val="Compact"/>
              <w:jc w:val="center"/>
            </w:pPr>
            <w:r>
              <w:t xml:space="preserve">p. X (§4.4)</w:t>
            </w:r>
          </w:p>
        </w:tc>
      </w:tr>
      <w:tr>
        <w:tc>
          <w:tcPr/>
          <w:p>
            <w:pPr>
              <w:pStyle w:val="Compact"/>
              <w:jc w:val="center"/>
            </w:pPr>
            <w:r>
              <w:t xml:space="preserve">10b</w:t>
            </w:r>
          </w:p>
        </w:tc>
        <w:tc>
          <w:tcPr/>
          <w:p>
            <w:pPr>
              <w:pStyle w:val="Compact"/>
              <w:jc w:val="left"/>
            </w:pPr>
            <w:r>
              <w:t xml:space="preserve">Model building (D)</w:t>
            </w:r>
          </w:p>
        </w:tc>
        <w:tc>
          <w:tcPr/>
          <w:p>
            <w:pPr>
              <w:pStyle w:val="Compact"/>
              <w:jc w:val="left"/>
            </w:pPr>
            <w:r>
              <w:t xml:space="preserve">Specify type of model, model-building procedures (including predictor selection), and method for internal validation.</w:t>
            </w:r>
          </w:p>
        </w:tc>
        <w:tc>
          <w:tcPr/>
          <w:p>
            <w:pPr>
              <w:pStyle w:val="Compact"/>
              <w:jc w:val="center"/>
            </w:pPr>
            <w:r>
              <w:t xml:space="preserve">p. X (§4.4)</w:t>
            </w:r>
          </w:p>
        </w:tc>
      </w:tr>
      <w:tr>
        <w:tc>
          <w:tcPr/>
          <w:p>
            <w:pPr>
              <w:pStyle w:val="Compact"/>
              <w:jc w:val="center"/>
            </w:pPr>
            <w:r>
              <w:t xml:space="preserve">10c</w:t>
            </w:r>
          </w:p>
        </w:tc>
        <w:tc>
          <w:tcPr/>
          <w:p>
            <w:pPr>
              <w:pStyle w:val="Compact"/>
              <w:jc w:val="left"/>
            </w:pPr>
            <w:r>
              <w:t xml:space="preserve">Model updating for validation (V)</w:t>
            </w:r>
          </w:p>
        </w:tc>
        <w:tc>
          <w:tcPr/>
          <w:p>
            <w:pPr>
              <w:pStyle w:val="Compact"/>
              <w:jc w:val="left"/>
            </w:pPr>
            <w:r>
              <w:t xml:space="preserve">Describe any model updating done before performance assessment in the validation set.</w:t>
            </w:r>
          </w:p>
        </w:tc>
        <w:tc>
          <w:tcPr/>
          <w:p>
            <w:pPr>
              <w:pStyle w:val="Compact"/>
              <w:jc w:val="center"/>
            </w:pPr>
            <w:r>
              <w:t xml:space="preserve">p. X (§2.6)</w:t>
            </w:r>
          </w:p>
        </w:tc>
      </w:tr>
      <w:tr>
        <w:tc>
          <w:tcPr/>
          <w:p>
            <w:pPr>
              <w:pStyle w:val="Compact"/>
              <w:jc w:val="center"/>
            </w:pPr>
            <w:r>
              <w:t xml:space="preserve">10d</w:t>
            </w:r>
          </w:p>
        </w:tc>
        <w:tc>
          <w:tcPr/>
          <w:p>
            <w:pPr>
              <w:pStyle w:val="Compact"/>
              <w:jc w:val="left"/>
            </w:pPr>
            <w:r>
              <w:t xml:space="preserve">Performance measures (D;V)</w:t>
            </w:r>
          </w:p>
        </w:tc>
        <w:tc>
          <w:tcPr/>
          <w:p>
            <w:pPr>
              <w:pStyle w:val="Compact"/>
              <w:jc w:val="left"/>
            </w:pPr>
            <w:r>
              <w:t xml:space="preserve">Specify all measures used to assess model performance, and to compare multiple models.</w:t>
            </w:r>
          </w:p>
        </w:tc>
        <w:tc>
          <w:tcPr/>
          <w:p>
            <w:pPr>
              <w:pStyle w:val="Compact"/>
              <w:jc w:val="center"/>
            </w:pPr>
            <w:r>
              <w:t xml:space="preserve">p. X (§4.5)</w:t>
            </w:r>
          </w:p>
        </w:tc>
      </w:tr>
      <w:tr>
        <w:tc>
          <w:tcPr/>
          <w:p>
            <w:pPr>
              <w:pStyle w:val="Compact"/>
              <w:jc w:val="center"/>
            </w:pPr>
            <w:r>
              <w:t xml:space="preserve">10e</w:t>
            </w:r>
          </w:p>
        </w:tc>
        <w:tc>
          <w:tcPr/>
          <w:p>
            <w:pPr>
              <w:pStyle w:val="Compact"/>
              <w:jc w:val="left"/>
            </w:pPr>
            <w:r>
              <w:t xml:space="preserve">Model updating results (V)</w:t>
            </w:r>
          </w:p>
        </w:tc>
        <w:tc>
          <w:tcPr/>
          <w:p>
            <w:pPr>
              <w:pStyle w:val="Compact"/>
              <w:jc w:val="left"/>
            </w:pPr>
            <w:r>
              <w:t xml:space="preserve">Describe results of any model updating prior to performance assessment.</w:t>
            </w:r>
          </w:p>
        </w:tc>
        <w:tc>
          <w:tcPr/>
          <w:p>
            <w:pPr>
              <w:pStyle w:val="Compact"/>
              <w:jc w:val="center"/>
            </w:pPr>
            <w:r>
              <w:t xml:space="preserve">N/A</w:t>
            </w:r>
          </w:p>
        </w:tc>
      </w:tr>
    </w:tbl>
    <w:p>
      <w:pPr>
        <w:pStyle w:val="BodyText"/>
      </w:pPr>
      <w:r>
        <w:rPr>
          <w:b/>
          <w:bCs/>
        </w:rPr>
        <w:t xml:space="preserve">Item 10a — Evidence:</w:t>
      </w:r>
      <w:r>
        <w:t xml:space="preserve"> </w:t>
      </w:r>
      <w:r>
        <w:t xml:space="preserve">Predictors were: (i) extracted per recording, (ii) subjected to Pearson correlation pruning (r &gt; 0.9 → feature dropped) computed on the</w:t>
      </w:r>
      <w:r>
        <w:t xml:space="preserve"> </w:t>
      </w:r>
      <w:r>
        <w:rPr>
          <w:b/>
          <w:bCs/>
        </w:rPr>
        <w:t xml:space="preserve">training fold only</w:t>
      </w:r>
      <w:r>
        <w:t xml:space="preserve"> </w:t>
      </w:r>
      <w:r>
        <w:t xml:space="preserve">to prevent leakage, (iii) z-score standardized using training-fold mean/std, and (iv) SMOTE [20] oversampling applied to the training fold only to address within-fold class imbalance. Test fold data were never used in any preprocessing computation.</w:t>
      </w:r>
    </w:p>
    <w:p>
      <w:pPr>
        <w:pStyle w:val="BodyText"/>
      </w:pPr>
      <w:r>
        <w:rPr>
          <w:b/>
          <w:bCs/>
        </w:rPr>
        <w:t xml:space="preserve">Item 10b — Evidence:</w:t>
      </w:r>
      <w:r>
        <w:t xml:space="preserve"> </w:t>
      </w:r>
      <w:r>
        <w:t xml:space="preserve">-</w:t>
      </w:r>
      <w:r>
        <w:t xml:space="preserve"> </w:t>
      </w:r>
      <w:r>
        <w:rPr>
          <w:b/>
          <w:bCs/>
        </w:rPr>
        <w:t xml:space="preserve">Model type:</w:t>
      </w:r>
      <w:r>
        <w:t xml:space="preserve"> </w:t>
      </w:r>
      <w:r>
        <w:t xml:space="preserve">Random Forest Classifier [21] (primary); Logistic Regression, XGBoost, SVM-RBF (comparators).</w:t>
      </w:r>
      <w:r>
        <w:t xml:space="preserve"> </w:t>
      </w:r>
      <w:r>
        <w:t xml:space="preserve">-</w:t>
      </w:r>
      <w:r>
        <w:t xml:space="preserve"> </w:t>
      </w:r>
      <w:r>
        <w:rPr>
          <w:b/>
          <w:bCs/>
        </w:rPr>
        <w:t xml:space="preserve">Predictor selection:</w:t>
      </w:r>
      <w:r>
        <w:t xml:space="preserve"> </w:t>
      </w:r>
      <w:r>
        <w:t xml:space="preserve">Pearson pruning (r ≤ 0.9 threshold, applied per fold on training data only).</w:t>
      </w:r>
      <w:r>
        <w:t xml:space="preserve"> </w:t>
      </w:r>
      <w:r>
        <w:t xml:space="preserve">-</w:t>
      </w:r>
      <w:r>
        <w:t xml:space="preserve"> </w:t>
      </w:r>
      <w:r>
        <w:rPr>
          <w:b/>
          <w:bCs/>
        </w:rPr>
        <w:t xml:space="preserve">Hyperparameter optimisation:</w:t>
      </w:r>
      <w:r>
        <w:t xml:space="preserve"> </w:t>
      </w:r>
      <w:r>
        <w:t xml:space="preserve">GridSearchCV with 3-fold inner CV on training data; parameters searched:</w:t>
      </w:r>
      <w:r>
        <w:t xml:space="preserve"> </w:t>
      </w:r>
      <w:r>
        <w:rPr>
          <w:rStyle w:val="VerbatimChar"/>
        </w:rPr>
        <w:t xml:space="preserve">n_estimators</w:t>
      </w:r>
      <w:r>
        <w:t xml:space="preserve"> </w:t>
      </w:r>
      <w:r>
        <w:t xml:space="preserve">∈ {100, 200, 300},</w:t>
      </w:r>
      <w:r>
        <w:t xml:space="preserve"> </w:t>
      </w:r>
      <w:r>
        <w:rPr>
          <w:rStyle w:val="VerbatimChar"/>
        </w:rPr>
        <w:t xml:space="preserve">max_depth</w:t>
      </w:r>
      <w:r>
        <w:t xml:space="preserve"> </w:t>
      </w:r>
      <w:r>
        <w:t xml:space="preserve">∈ {3, 5, None},</w:t>
      </w:r>
      <w:r>
        <w:t xml:space="preserve"> </w:t>
      </w:r>
      <w:r>
        <w:rPr>
          <w:rStyle w:val="VerbatimChar"/>
        </w:rPr>
        <w:t xml:space="preserve">min_samples_split</w:t>
      </w:r>
      <w:r>
        <w:t xml:space="preserve"> </w:t>
      </w:r>
      <w:r>
        <w:t xml:space="preserve">∈ {2, 5}.</w:t>
      </w:r>
      <w:r>
        <w:t xml:space="preserve"> </w:t>
      </w:r>
      <w:r>
        <w:t xml:space="preserve">-</w:t>
      </w:r>
      <w:r>
        <w:t xml:space="preserve"> </w:t>
      </w:r>
      <w:r>
        <w:rPr>
          <w:b/>
          <w:bCs/>
        </w:rPr>
        <w:t xml:space="preserve">Internal validation:</w:t>
      </w:r>
      <w:r>
        <w:t xml:space="preserve"> </w:t>
      </w:r>
      <w:r>
        <w:rPr>
          <w:b/>
          <w:bCs/>
        </w:rPr>
        <w:t xml:space="preserve">Leave-One-Subject-Out (LOSO) GroupKFold</w:t>
      </w:r>
      <w:r>
        <w:t xml:space="preserve"> </w:t>
      </w:r>
      <w:r>
        <w:t xml:space="preserve">— subjects never split across folds, preventing subject-level data leakage. Aggregated predictions across all folds used for final AUC estimation.</w:t>
      </w:r>
      <w:r>
        <w:t xml:space="preserve"> </w:t>
      </w:r>
      <w:r>
        <w:t xml:space="preserve">-</w:t>
      </w:r>
      <w:r>
        <w:t xml:space="preserve"> </w:t>
      </w:r>
      <w:r>
        <w:rPr>
          <w:b/>
          <w:bCs/>
        </w:rPr>
        <w:t xml:space="preserve">Confidence intervals:</w:t>
      </w:r>
      <w:r>
        <w:t xml:space="preserve"> </w:t>
      </w:r>
      <w:r>
        <w:t xml:space="preserve">1,000-iteration non-parametric bootstrap on the aggregated LOSO predictions.</w:t>
      </w:r>
    </w:p>
    <w:p>
      <w:pPr>
        <w:pStyle w:val="BodyText"/>
      </w:pPr>
      <w:r>
        <w:rPr>
          <w:b/>
          <w:bCs/>
        </w:rPr>
        <w:t xml:space="preserve">Item 10c — Evidence:</w:t>
      </w:r>
      <w:r>
        <w:t xml:space="preserve"> </w:t>
      </w:r>
      <w:r>
        <w:t xml:space="preserve">No model updating was performed for validation. The mPower-trained model was applied zero-shot to MDVR-KCL. This was an intentional methodological choice to test generalizability without domain adaptation.</w:t>
      </w:r>
    </w:p>
    <w:p>
      <w:pPr>
        <w:pStyle w:val="BodyText"/>
      </w:pPr>
      <w:r>
        <w:rPr>
          <w:b/>
          <w:bCs/>
        </w:rPr>
        <w:t xml:space="preserve">Item 10d — Evidence:</w:t>
      </w:r>
      <w:r>
        <w:t xml:space="preserve"> </w:t>
      </w:r>
      <w:r>
        <w:t xml:space="preserve">Primary performance measure:</w:t>
      </w:r>
      <w:r>
        <w:t xml:space="preserve"> </w:t>
      </w:r>
      <w:r>
        <w:rPr>
          <w:b/>
          <w:bCs/>
        </w:rPr>
        <w:t xml:space="preserve">AUC-ROC</w:t>
      </w:r>
      <w:r>
        <w:t xml:space="preserve"> </w:t>
      </w:r>
      <w:r>
        <w:t xml:space="preserve">(reported with 95% bootstrap CI). Secondary: Accuracy, Sensitivity (Recall), Specificity. Statistical significance of RF vs. SVM baseline:</w:t>
      </w:r>
      <w:r>
        <w:t xml:space="preserve"> </w:t>
      </w:r>
      <w:r>
        <w:rPr>
          <w:b/>
          <w:bCs/>
        </w:rPr>
        <w:t xml:space="preserve">DeLong’s Test</w:t>
      </w:r>
      <w:r>
        <w:t xml:space="preserve"> </w:t>
      </w:r>
      <w:r>
        <w:t xml:space="preserve">[2] (exact, paired). Ablation comparison: 7-row ablation study (Table 3) using the same LOSO-bootstrap framework.</w:t>
      </w:r>
    </w:p>
    <w:p>
      <w:pPr>
        <w:pStyle w:val="BodyText"/>
      </w:pPr>
      <w:r>
        <w:rPr>
          <w:b/>
          <w:bCs/>
        </w:rPr>
        <w:t xml:space="preserve">Item 10e — Evidence:</w:t>
      </w:r>
      <w:r>
        <w:t xml:space="preserve"> </w:t>
      </w:r>
      <w:r>
        <w:t xml:space="preserve">Not applicable. No model updating was performed.</w:t>
      </w:r>
    </w:p>
    <w:p>
      <w:r>
        <w:pict>
          <v:rect style="width:0;height:1.5pt" o:hralign="center" o:hrstd="t" o:hr="t"/>
        </w:pict>
      </w:r>
    </w:p>
    <w:bookmarkEnd w:id="29"/>
    <w:bookmarkStart w:id="30" w:name="risk-groups"/>
    <w:p>
      <w:pPr>
        <w:pStyle w:val="Heading3"/>
      </w:pPr>
      <w:r>
        <w:t xml:space="preserve">Risk Groups</w:t>
      </w:r>
    </w:p>
    <w:tbl>
      <w:tblPr>
        <w:tblStyle w:val="Table"/>
        <w:tblW w:type="pct" w:w="5000"/>
        <w:jc w:val="left"/>
        <w:tblLayout w:type="fixed"/>
        <w:tblLook w:firstRow="1" w:lastRow="0" w:firstColumn="0" w:lastColumn="0" w:noHBand="0" w:noVBand="0" w:val="0020"/>
      </w:tblPr>
      <w:tblGrid>
        <w:gridCol w:w="1011"/>
        <w:gridCol w:w="1179"/>
        <w:gridCol w:w="2696"/>
        <w:gridCol w:w="3033"/>
      </w:tblGrid>
      <w:tr>
        <w:trPr>
          <w:tblHeader w:val="on"/>
        </w:trPr>
        <w:tc>
          <w:tcPr/>
          <w:p>
            <w:pPr>
              <w:pStyle w:val="Compact"/>
              <w:jc w:val="center"/>
            </w:pPr>
            <w:r>
              <w:t xml:space="preserve">Item</w:t>
            </w:r>
          </w:p>
        </w:tc>
        <w:tc>
          <w:tcPr/>
          <w:p>
            <w:pPr>
              <w:pStyle w:val="Compact"/>
              <w:jc w:val="left"/>
            </w:pPr>
            <w:r>
              <w:t xml:space="preserve">Topic</w:t>
            </w:r>
          </w:p>
        </w:tc>
        <w:tc>
          <w:tcPr/>
          <w:p>
            <w:pPr>
              <w:pStyle w:val="Compact"/>
              <w:jc w:val="left"/>
            </w:pPr>
            <w:r>
              <w:t xml:space="preserve">Checklist Item</w:t>
            </w:r>
          </w:p>
        </w:tc>
        <w:tc>
          <w:tcPr/>
          <w:p>
            <w:pPr>
              <w:pStyle w:val="Compact"/>
              <w:jc w:val="center"/>
            </w:pPr>
            <w:r>
              <w:t xml:space="preserve">Reported on Page</w:t>
            </w:r>
          </w:p>
        </w:tc>
      </w:tr>
      <w:tr>
        <w:tc>
          <w:tcPr/>
          <w:p>
            <w:pPr>
              <w:pStyle w:val="Compact"/>
              <w:jc w:val="center"/>
            </w:pPr>
            <w:r>
              <w:t xml:space="preserve">11</w:t>
            </w:r>
          </w:p>
        </w:tc>
        <w:tc>
          <w:tcPr/>
          <w:p>
            <w:pPr>
              <w:pStyle w:val="Compact"/>
              <w:jc w:val="left"/>
            </w:pPr>
            <w:r>
              <w:t xml:space="preserve">Risk groups (D;V)</w:t>
            </w:r>
          </w:p>
        </w:tc>
        <w:tc>
          <w:tcPr/>
          <w:p>
            <w:pPr>
              <w:pStyle w:val="Compact"/>
              <w:jc w:val="left"/>
            </w:pPr>
            <w:r>
              <w:t xml:space="preserve">Provide details on how risk groups were created, if done.</w:t>
            </w:r>
          </w:p>
        </w:tc>
        <w:tc>
          <w:tcPr/>
          <w:p>
            <w:pPr>
              <w:pStyle w:val="Compact"/>
              <w:jc w:val="center"/>
            </w:pPr>
            <w:r>
              <w:t xml:space="preserve">N/A</w:t>
            </w:r>
          </w:p>
        </w:tc>
      </w:tr>
    </w:tbl>
    <w:p>
      <w:pPr>
        <w:pStyle w:val="BodyText"/>
      </w:pPr>
      <w:r>
        <w:rPr>
          <w:b/>
          <w:bCs/>
        </w:rPr>
        <w:t xml:space="preserve">Item 11 — Evidence:</w:t>
      </w:r>
      <w:r>
        <w:t xml:space="preserve"> </w:t>
      </w:r>
      <w:r>
        <w:t xml:space="preserve">Not applicable. The model outputs a continuous probability score (0–1) converted to binary classification at threshold 0.5. No discrete risk strata (e.g., low/medium/high risk) were created. The agentic LLM layer generates narrative risk language (</w:t>
      </w:r>
      <w:r>
        <w:t xml:space="preserve">“</w:t>
      </w:r>
      <w:r>
        <w:t xml:space="preserve">At Risk</w:t>
      </w:r>
      <w:r>
        <w:t xml:space="preserve">”</w:t>
      </w:r>
      <w:r>
        <w:t xml:space="preserve"> </w:t>
      </w:r>
      <w:r>
        <w:t xml:space="preserve">/</w:t>
      </w:r>
      <w:r>
        <w:t xml:space="preserve"> </w:t>
      </w:r>
      <w:r>
        <w:t xml:space="preserve">“</w:t>
      </w:r>
      <w:r>
        <w:t xml:space="preserve">Monitor</w:t>
      </w:r>
      <w:r>
        <w:t xml:space="preserve">”</w:t>
      </w:r>
      <w:r>
        <w:t xml:space="preserve">) but this is based on the continuous probability, not predefined groups.</w:t>
      </w:r>
    </w:p>
    <w:p>
      <w:r>
        <w:pict>
          <v:rect style="width:0;height:1.5pt" o:hralign="center" o:hrstd="t" o:hr="t"/>
        </w:pict>
      </w:r>
    </w:p>
    <w:bookmarkEnd w:id="30"/>
    <w:bookmarkStart w:id="31" w:name="development-vs.-validation"/>
    <w:p>
      <w:pPr>
        <w:pStyle w:val="Heading3"/>
      </w:pPr>
      <w:r>
        <w:t xml:space="preserve">Development vs. Validation</w:t>
      </w:r>
    </w:p>
    <w:tbl>
      <w:tblPr>
        <w:tblStyle w:val="Table"/>
        <w:tblW w:type="pct" w:w="5000"/>
        <w:jc w:val="left"/>
        <w:tblLayout w:type="fixed"/>
        <w:tblLook w:firstRow="1" w:lastRow="0" w:firstColumn="0" w:lastColumn="0" w:noHBand="0" w:noVBand="0" w:val="0020"/>
      </w:tblPr>
      <w:tblGrid>
        <w:gridCol w:w="1011"/>
        <w:gridCol w:w="1179"/>
        <w:gridCol w:w="2696"/>
        <w:gridCol w:w="3033"/>
      </w:tblGrid>
      <w:tr>
        <w:trPr>
          <w:tblHeader w:val="on"/>
        </w:trPr>
        <w:tc>
          <w:tcPr/>
          <w:p>
            <w:pPr>
              <w:pStyle w:val="Compact"/>
              <w:jc w:val="center"/>
            </w:pPr>
            <w:r>
              <w:t xml:space="preserve">Item</w:t>
            </w:r>
          </w:p>
        </w:tc>
        <w:tc>
          <w:tcPr/>
          <w:p>
            <w:pPr>
              <w:pStyle w:val="Compact"/>
              <w:jc w:val="left"/>
            </w:pPr>
            <w:r>
              <w:t xml:space="preserve">Topic</w:t>
            </w:r>
          </w:p>
        </w:tc>
        <w:tc>
          <w:tcPr/>
          <w:p>
            <w:pPr>
              <w:pStyle w:val="Compact"/>
              <w:jc w:val="left"/>
            </w:pPr>
            <w:r>
              <w:t xml:space="preserve">Checklist Item</w:t>
            </w:r>
          </w:p>
        </w:tc>
        <w:tc>
          <w:tcPr/>
          <w:p>
            <w:pPr>
              <w:pStyle w:val="Compact"/>
              <w:jc w:val="center"/>
            </w:pPr>
            <w:r>
              <w:t xml:space="preserve">Reported on Page</w:t>
            </w:r>
          </w:p>
        </w:tc>
      </w:tr>
      <w:tr>
        <w:tc>
          <w:tcPr/>
          <w:p>
            <w:pPr>
              <w:pStyle w:val="Compact"/>
              <w:jc w:val="center"/>
            </w:pPr>
            <w:r>
              <w:t xml:space="preserve">12</w:t>
            </w:r>
          </w:p>
        </w:tc>
        <w:tc>
          <w:tcPr/>
          <w:p>
            <w:pPr>
              <w:pStyle w:val="Compact"/>
              <w:jc w:val="left"/>
            </w:pPr>
            <w:r>
              <w:t xml:space="preserve">Validation differences (V)</w:t>
            </w:r>
          </w:p>
        </w:tc>
        <w:tc>
          <w:tcPr/>
          <w:p>
            <w:pPr>
              <w:pStyle w:val="Compact"/>
              <w:jc w:val="left"/>
            </w:pPr>
            <w:r>
              <w:t xml:space="preserve">Identify any differences from the development data in setting, eligibility criteria, outcome, and predictors.</w:t>
            </w:r>
          </w:p>
        </w:tc>
        <w:tc>
          <w:tcPr/>
          <w:p>
            <w:pPr>
              <w:pStyle w:val="Compact"/>
              <w:jc w:val="center"/>
            </w:pPr>
            <w:r>
              <w:t xml:space="preserve">p. X (§2.6)</w:t>
            </w:r>
          </w:p>
        </w:tc>
      </w:tr>
    </w:tbl>
    <w:p>
      <w:pPr>
        <w:pStyle w:val="BodyText"/>
      </w:pPr>
      <w:r>
        <w:rPr>
          <w:b/>
          <w:bCs/>
        </w:rPr>
        <w:t xml:space="preserve">Item 12 — Evidence (Development vs. Validation dataset comparison):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Dimension</w:t>
            </w:r>
          </w:p>
        </w:tc>
        <w:tc>
          <w:tcPr/>
          <w:p>
            <w:pPr>
              <w:pStyle w:val="Compact"/>
              <w:jc w:val="left"/>
            </w:pPr>
            <w:r>
              <w:t xml:space="preserve">Development (mPower)</w:t>
            </w:r>
          </w:p>
        </w:tc>
        <w:tc>
          <w:tcPr/>
          <w:p>
            <w:pPr>
              <w:pStyle w:val="Compact"/>
              <w:jc w:val="left"/>
            </w:pPr>
            <w:r>
              <w:t xml:space="preserve">Validation (MDVR-KCL)</w:t>
            </w:r>
          </w:p>
        </w:tc>
      </w:tr>
      <w:tr>
        <w:tc>
          <w:tcPr/>
          <w:p>
            <w:pPr>
              <w:pStyle w:val="Compact"/>
              <w:jc w:val="left"/>
            </w:pPr>
            <w:r>
              <w:t xml:space="preserve">Recording environment</w:t>
            </w:r>
          </w:p>
        </w:tc>
        <w:tc>
          <w:tcPr/>
          <w:p>
            <w:pPr>
              <w:pStyle w:val="Compact"/>
              <w:jc w:val="left"/>
            </w:pPr>
            <w:r>
              <w:t xml:space="preserve">Unconstrained smartphone (ambient noise)</w:t>
            </w:r>
          </w:p>
        </w:tc>
        <w:tc>
          <w:tcPr/>
          <w:p>
            <w:pPr>
              <w:pStyle w:val="Compact"/>
              <w:jc w:val="left"/>
            </w:pPr>
            <w:r>
              <w:t xml:space="preserve">Controlled lab (quiet room)</w:t>
            </w:r>
          </w:p>
        </w:tc>
      </w:tr>
      <w:tr>
        <w:tc>
          <w:tcPr/>
          <w:p>
            <w:pPr>
              <w:pStyle w:val="Compact"/>
              <w:jc w:val="left"/>
            </w:pPr>
            <w:r>
              <w:t xml:space="preserve">Device</w:t>
            </w:r>
          </w:p>
        </w:tc>
        <w:tc>
          <w:tcPr/>
          <w:p>
            <w:pPr>
              <w:pStyle w:val="Compact"/>
              <w:jc w:val="left"/>
            </w:pPr>
            <w:r>
              <w:t xml:space="preserve">Consumer smartphones (iOS)</w:t>
            </w:r>
          </w:p>
        </w:tc>
        <w:tc>
          <w:tcPr/>
          <w:p>
            <w:pPr>
              <w:pStyle w:val="Compact"/>
              <w:jc w:val="left"/>
            </w:pPr>
            <w:r>
              <w:t xml:space="preserve">Professional microphone</w:t>
            </w:r>
          </w:p>
        </w:tc>
      </w:tr>
      <w:tr>
        <w:tc>
          <w:tcPr/>
          <w:p>
            <w:pPr>
              <w:pStyle w:val="Compact"/>
              <w:jc w:val="left"/>
            </w:pPr>
            <w:r>
              <w:t xml:space="preserve">Audio format</w:t>
            </w:r>
          </w:p>
        </w:tc>
        <w:tc>
          <w:tcPr/>
          <w:p>
            <w:pPr>
              <w:pStyle w:val="Compact"/>
              <w:jc w:val="left"/>
            </w:pPr>
            <w:r>
              <w:t xml:space="preserve">.m4a (AAC encoded)</w:t>
            </w:r>
          </w:p>
        </w:tc>
        <w:tc>
          <w:tcPr/>
          <w:p>
            <w:pPr>
              <w:pStyle w:val="Compact"/>
              <w:jc w:val="left"/>
            </w:pPr>
            <w:r>
              <w:t xml:space="preserve">.wav (PCM)</w:t>
            </w:r>
          </w:p>
        </w:tc>
      </w:tr>
      <w:tr>
        <w:tc>
          <w:tcPr/>
          <w:p>
            <w:pPr>
              <w:pStyle w:val="Compact"/>
              <w:jc w:val="left"/>
            </w:pPr>
            <w:r>
              <w:t xml:space="preserve">Sample rate</w:t>
            </w:r>
          </w:p>
        </w:tc>
        <w:tc>
          <w:tcPr/>
          <w:p>
            <w:pPr>
              <w:pStyle w:val="Compact"/>
              <w:jc w:val="left"/>
            </w:pPr>
            <w:r>
              <w:t xml:space="preserve">Variable (resampled to 16 kHz)</w:t>
            </w:r>
          </w:p>
        </w:tc>
        <w:tc>
          <w:tcPr/>
          <w:p>
            <w:pPr>
              <w:pStyle w:val="Compact"/>
              <w:jc w:val="left"/>
            </w:pPr>
            <w:r>
              <w:t xml:space="preserve">16 kHz native</w:t>
            </w:r>
          </w:p>
        </w:tc>
      </w:tr>
      <w:tr>
        <w:tc>
          <w:tcPr/>
          <w:p>
            <w:pPr>
              <w:pStyle w:val="Compact"/>
              <w:jc w:val="left"/>
            </w:pPr>
            <w:r>
              <w:t xml:space="preserve">N</w:t>
            </w:r>
          </w:p>
        </w:tc>
        <w:tc>
          <w:tcPr/>
          <w:p>
            <w:pPr>
              <w:pStyle w:val="Compact"/>
              <w:jc w:val="left"/>
            </w:pPr>
            <w:r>
              <w:t xml:space="preserve">120 (60 PD, 60 HC)</w:t>
            </w:r>
          </w:p>
        </w:tc>
        <w:tc>
          <w:tcPr/>
          <w:p>
            <w:pPr>
              <w:pStyle w:val="Compact"/>
              <w:jc w:val="left"/>
            </w:pPr>
            <w:r>
              <w:t xml:space="preserve">37 (16 PD, 21 HC)</w:t>
            </w:r>
          </w:p>
        </w:tc>
      </w:tr>
      <w:tr>
        <w:tc>
          <w:tcPr/>
          <w:p>
            <w:pPr>
              <w:pStyle w:val="Compact"/>
              <w:jc w:val="left"/>
            </w:pPr>
            <w:r>
              <w:t xml:space="preserve">Age gate</w:t>
            </w:r>
          </w:p>
        </w:tc>
        <w:tc>
          <w:tcPr/>
          <w:p>
            <w:pPr>
              <w:pStyle w:val="Compact"/>
              <w:jc w:val="left"/>
            </w:pPr>
            <w:r>
              <w:t xml:space="preserve">≥ 45 years applied</w:t>
            </w:r>
          </w:p>
        </w:tc>
        <w:tc>
          <w:tcPr/>
          <w:p>
            <w:pPr>
              <w:pStyle w:val="Compact"/>
              <w:jc w:val="left"/>
            </w:pPr>
            <w:r>
              <w:t xml:space="preserve">No additional gating</w:t>
            </w:r>
          </w:p>
        </w:tc>
      </w:tr>
      <w:tr>
        <w:tc>
          <w:tcPr/>
          <w:p>
            <w:pPr>
              <w:pStyle w:val="Compact"/>
              <w:jc w:val="left"/>
            </w:pPr>
            <w:r>
              <w:t xml:space="preserve">Geography</w:t>
            </w:r>
          </w:p>
        </w:tc>
        <w:tc>
          <w:tcPr/>
          <w:p>
            <w:pPr>
              <w:pStyle w:val="Compact"/>
              <w:jc w:val="left"/>
            </w:pPr>
            <w:r>
              <w:t xml:space="preserve">USA</w:t>
            </w:r>
          </w:p>
        </w:tc>
        <w:tc>
          <w:tcPr/>
          <w:p>
            <w:pPr>
              <w:pStyle w:val="Compact"/>
              <w:jc w:val="left"/>
            </w:pPr>
            <w:r>
              <w:t xml:space="preserve">UK (London)</w:t>
            </w:r>
          </w:p>
        </w:tc>
      </w:tr>
      <w:tr>
        <w:tc>
          <w:tcPr/>
          <w:p>
            <w:pPr>
              <w:pStyle w:val="Compact"/>
              <w:jc w:val="left"/>
            </w:pPr>
            <w:r>
              <w:t xml:space="preserve">Diagnosis basis</w:t>
            </w:r>
          </w:p>
        </w:tc>
        <w:tc>
          <w:tcPr/>
          <w:p>
            <w:pPr>
              <w:pStyle w:val="Compact"/>
              <w:jc w:val="left"/>
            </w:pPr>
            <w:r>
              <w:t xml:space="preserve">Self-report professional diagnosis</w:t>
            </w:r>
          </w:p>
        </w:tc>
        <w:tc>
          <w:tcPr/>
          <w:p>
            <w:pPr>
              <w:pStyle w:val="Compact"/>
              <w:jc w:val="left"/>
            </w:pPr>
            <w:r>
              <w:t xml:space="preserve">Clinical neurologist confirmation</w:t>
            </w:r>
          </w:p>
        </w:tc>
      </w:tr>
    </w:tbl>
    <w:p>
      <w:pPr>
        <w:pStyle w:val="BodyText"/>
      </w:pPr>
      <w:r>
        <w:t xml:space="preserve">These differences are explicitly discussed in §2.6 as potential sources of the performance gap between development (AUC 0.700) and zero-shot validation performance.</w:t>
      </w:r>
    </w:p>
    <w:p>
      <w:r>
        <w:pict>
          <v:rect style="width:0;height:1.5pt" o:hralign="center" o:hrstd="t" o:hr="t"/>
        </w:pict>
      </w:r>
    </w:p>
    <w:bookmarkEnd w:id="31"/>
    <w:bookmarkEnd w:id="32"/>
    <w:bookmarkStart w:id="38" w:name="section-4-results"/>
    <w:p>
      <w:pPr>
        <w:pStyle w:val="Heading2"/>
      </w:pPr>
      <w:r>
        <w:t xml:space="preserve">Section 4: Results</w:t>
      </w:r>
    </w:p>
    <w:bookmarkStart w:id="33" w:name="participants-1"/>
    <w:p>
      <w:pPr>
        <w:pStyle w:val="Heading3"/>
      </w:pPr>
      <w:r>
        <w:t xml:space="preserve">Participants</w:t>
      </w:r>
    </w:p>
    <w:tbl>
      <w:tblPr>
        <w:tblStyle w:val="Table"/>
        <w:tblW w:type="pct" w:w="5000"/>
        <w:jc w:val="left"/>
        <w:tblLayout w:type="fixed"/>
        <w:tblLook w:firstRow="1" w:lastRow="0" w:firstColumn="0" w:lastColumn="0" w:noHBand="0" w:noVBand="0" w:val="0020"/>
      </w:tblPr>
      <w:tblGrid>
        <w:gridCol w:w="1011"/>
        <w:gridCol w:w="1179"/>
        <w:gridCol w:w="2696"/>
        <w:gridCol w:w="3033"/>
      </w:tblGrid>
      <w:tr>
        <w:trPr>
          <w:tblHeader w:val="on"/>
        </w:trPr>
        <w:tc>
          <w:tcPr/>
          <w:p>
            <w:pPr>
              <w:pStyle w:val="Compact"/>
              <w:jc w:val="center"/>
            </w:pPr>
            <w:r>
              <w:t xml:space="preserve">Item</w:t>
            </w:r>
          </w:p>
        </w:tc>
        <w:tc>
          <w:tcPr/>
          <w:p>
            <w:pPr>
              <w:pStyle w:val="Compact"/>
              <w:jc w:val="left"/>
            </w:pPr>
            <w:r>
              <w:t xml:space="preserve">Topic</w:t>
            </w:r>
          </w:p>
        </w:tc>
        <w:tc>
          <w:tcPr/>
          <w:p>
            <w:pPr>
              <w:pStyle w:val="Compact"/>
              <w:jc w:val="left"/>
            </w:pPr>
            <w:r>
              <w:t xml:space="preserve">Checklist Item</w:t>
            </w:r>
          </w:p>
        </w:tc>
        <w:tc>
          <w:tcPr/>
          <w:p>
            <w:pPr>
              <w:pStyle w:val="Compact"/>
              <w:jc w:val="center"/>
            </w:pPr>
            <w:r>
              <w:t xml:space="preserve">Reported on Page</w:t>
            </w:r>
          </w:p>
        </w:tc>
      </w:tr>
      <w:tr>
        <w:tc>
          <w:tcPr/>
          <w:p>
            <w:pPr>
              <w:pStyle w:val="Compact"/>
              <w:jc w:val="center"/>
            </w:pPr>
            <w:r>
              <w:t xml:space="preserve">13a</w:t>
            </w:r>
          </w:p>
        </w:tc>
        <w:tc>
          <w:tcPr/>
          <w:p>
            <w:pPr>
              <w:pStyle w:val="Compact"/>
              <w:jc w:val="left"/>
            </w:pPr>
            <w:r>
              <w:t xml:space="preserve">Participant flow (D;V)</w:t>
            </w:r>
          </w:p>
        </w:tc>
        <w:tc>
          <w:tcPr/>
          <w:p>
            <w:pPr>
              <w:pStyle w:val="Compact"/>
              <w:jc w:val="left"/>
            </w:pPr>
            <w:r>
              <w:t xml:space="preserve">Describe the flow of participants through the study, including the number with and without the outcome.</w:t>
            </w:r>
          </w:p>
        </w:tc>
        <w:tc>
          <w:tcPr/>
          <w:p>
            <w:pPr>
              <w:pStyle w:val="Compact"/>
              <w:jc w:val="center"/>
            </w:pPr>
            <w:r>
              <w:t xml:space="preserve">p. X (§2.1)</w:t>
            </w:r>
          </w:p>
        </w:tc>
      </w:tr>
      <w:tr>
        <w:tc>
          <w:tcPr/>
          <w:p>
            <w:pPr>
              <w:pStyle w:val="Compact"/>
              <w:jc w:val="center"/>
            </w:pPr>
            <w:r>
              <w:t xml:space="preserve">13b</w:t>
            </w:r>
          </w:p>
        </w:tc>
        <w:tc>
          <w:tcPr/>
          <w:p>
            <w:pPr>
              <w:pStyle w:val="Compact"/>
              <w:jc w:val="left"/>
            </w:pPr>
            <w:r>
              <w:t xml:space="preserve">Participant characteristics (D;V)</w:t>
            </w:r>
          </w:p>
        </w:tc>
        <w:tc>
          <w:tcPr/>
          <w:p>
            <w:pPr>
              <w:pStyle w:val="Compact"/>
              <w:jc w:val="left"/>
            </w:pPr>
            <w:r>
              <w:t xml:space="preserve">Report characteristics of participants including demographics, clinical features, and missing data.</w:t>
            </w:r>
          </w:p>
        </w:tc>
        <w:tc>
          <w:tcPr/>
          <w:p>
            <w:pPr>
              <w:pStyle w:val="Compact"/>
              <w:jc w:val="center"/>
            </w:pPr>
            <w:r>
              <w:t xml:space="preserve">p. X (Table 1)</w:t>
            </w:r>
          </w:p>
        </w:tc>
      </w:tr>
      <w:tr>
        <w:tc>
          <w:tcPr/>
          <w:p>
            <w:pPr>
              <w:pStyle w:val="Compact"/>
              <w:jc w:val="center"/>
            </w:pPr>
            <w:r>
              <w:t xml:space="preserve">13c</w:t>
            </w:r>
          </w:p>
        </w:tc>
        <w:tc>
          <w:tcPr/>
          <w:p>
            <w:pPr>
              <w:pStyle w:val="Compact"/>
              <w:jc w:val="left"/>
            </w:pPr>
            <w:r>
              <w:t xml:space="preserve">Development vs. validation comparison (V)</w:t>
            </w:r>
          </w:p>
        </w:tc>
        <w:tc>
          <w:tcPr/>
          <w:p>
            <w:pPr>
              <w:pStyle w:val="Compact"/>
              <w:jc w:val="left"/>
            </w:pPr>
            <w:r>
              <w:t xml:space="preserve">Show a comparison of important variables between development and validation data.</w:t>
            </w:r>
          </w:p>
        </w:tc>
        <w:tc>
          <w:tcPr/>
          <w:p>
            <w:pPr>
              <w:pStyle w:val="Compact"/>
              <w:jc w:val="center"/>
            </w:pPr>
            <w:r>
              <w:t xml:space="preserve">p. X (§2.6, Item 12 above)</w:t>
            </w:r>
          </w:p>
        </w:tc>
      </w:tr>
    </w:tbl>
    <w:p>
      <w:pPr>
        <w:pStyle w:val="BodyText"/>
      </w:pPr>
      <w:r>
        <w:rPr>
          <w:b/>
          <w:bCs/>
        </w:rPr>
        <w:t xml:space="preserve">Item 13a — Evidence:</w:t>
      </w:r>
      <w:r>
        <w:t xml:space="preserve"> </w:t>
      </w:r>
      <w:r>
        <w:t xml:space="preserve">- mPower: All participants with</w:t>
      </w:r>
      <w:r>
        <w:t xml:space="preserve"> </w:t>
      </w:r>
      <w:r>
        <w:rPr>
          <w:rStyle w:val="VerbatimChar"/>
        </w:rPr>
        <w:t xml:space="preserve">professional-diagnosis</w:t>
      </w:r>
      <w:r>
        <w:t xml:space="preserve"> </w:t>
      </w:r>
      <w:r>
        <w:t xml:space="preserve">field present → age-gate (≥ 45) → valid audio extraction →</w:t>
      </w:r>
      <w:r>
        <w:t xml:space="preserve"> </w:t>
      </w:r>
      <w:r>
        <w:rPr>
          <w:b/>
          <w:bCs/>
        </w:rPr>
        <w:t xml:space="preserve">N=120</w:t>
      </w:r>
      <w:r>
        <w:t xml:space="preserve"> </w:t>
      </w:r>
      <w:r>
        <w:t xml:space="preserve">(60 PD, 60 HC).</w:t>
      </w:r>
      <w:r>
        <w:t xml:space="preserve"> </w:t>
      </w:r>
      <w:r>
        <w:t xml:space="preserve">- MDVR-KCL: All 37 subjects used (no additional exclusions). 21 HC, 16 PD.</w:t>
      </w:r>
    </w:p>
    <w:p>
      <w:pPr>
        <w:pStyle w:val="BodyText"/>
      </w:pPr>
      <w:r>
        <w:rPr>
          <w:b/>
          <w:bCs/>
        </w:rPr>
        <w:t xml:space="preserve">Item 13b — Evidence:</w:t>
      </w:r>
      <w:r>
        <w:t xml:space="preserve"> </w:t>
      </w:r>
      <w:r>
        <w:t xml:space="preserve">Table 1 reports: group (HC/PD), N, Age (mean ± std), Female (%). Age missingness and gender missingness percentages are noted in §2.1.</w:t>
      </w:r>
    </w:p>
    <w:p>
      <w:pPr>
        <w:pStyle w:val="BodyText"/>
      </w:pPr>
      <w:r>
        <w:rPr>
          <w:b/>
          <w:bCs/>
        </w:rPr>
        <w:t xml:space="preserve">Item 13c — Evidence:</w:t>
      </w:r>
      <w:r>
        <w:t xml:space="preserve"> </w:t>
      </w:r>
      <w:r>
        <w:t xml:space="preserve">Section 2.6 and Item 12 (above) compare development vs. validation data across recording environment, device, format, N, age policy, geography, and diagnosis method.</w:t>
      </w:r>
    </w:p>
    <w:p>
      <w:r>
        <w:pict>
          <v:rect style="width:0;height:1.5pt" o:hralign="center" o:hrstd="t" o:hr="t"/>
        </w:pict>
      </w:r>
    </w:p>
    <w:bookmarkEnd w:id="33"/>
    <w:bookmarkStart w:id="34" w:name="model-development"/>
    <w:p>
      <w:pPr>
        <w:pStyle w:val="Heading3"/>
      </w:pPr>
      <w:r>
        <w:t xml:space="preserve">Model Development</w:t>
      </w:r>
    </w:p>
    <w:tbl>
      <w:tblPr>
        <w:tblStyle w:val="Table"/>
        <w:tblW w:type="pct" w:w="5000"/>
        <w:jc w:val="left"/>
        <w:tblLayout w:type="fixed"/>
        <w:tblLook w:firstRow="1" w:lastRow="0" w:firstColumn="0" w:lastColumn="0" w:noHBand="0" w:noVBand="0" w:val="0020"/>
      </w:tblPr>
      <w:tblGrid>
        <w:gridCol w:w="1011"/>
        <w:gridCol w:w="1179"/>
        <w:gridCol w:w="2696"/>
        <w:gridCol w:w="3033"/>
      </w:tblGrid>
      <w:tr>
        <w:trPr>
          <w:tblHeader w:val="on"/>
        </w:trPr>
        <w:tc>
          <w:tcPr/>
          <w:p>
            <w:pPr>
              <w:pStyle w:val="Compact"/>
              <w:jc w:val="center"/>
            </w:pPr>
            <w:r>
              <w:t xml:space="preserve">Item</w:t>
            </w:r>
          </w:p>
        </w:tc>
        <w:tc>
          <w:tcPr/>
          <w:p>
            <w:pPr>
              <w:pStyle w:val="Compact"/>
              <w:jc w:val="left"/>
            </w:pPr>
            <w:r>
              <w:t xml:space="preserve">Topic</w:t>
            </w:r>
          </w:p>
        </w:tc>
        <w:tc>
          <w:tcPr/>
          <w:p>
            <w:pPr>
              <w:pStyle w:val="Compact"/>
              <w:jc w:val="left"/>
            </w:pPr>
            <w:r>
              <w:t xml:space="preserve">Checklist Item</w:t>
            </w:r>
          </w:p>
        </w:tc>
        <w:tc>
          <w:tcPr/>
          <w:p>
            <w:pPr>
              <w:pStyle w:val="Compact"/>
              <w:jc w:val="center"/>
            </w:pPr>
            <w:r>
              <w:t xml:space="preserve">Reported on Page</w:t>
            </w:r>
          </w:p>
        </w:tc>
      </w:tr>
      <w:tr>
        <w:tc>
          <w:tcPr/>
          <w:p>
            <w:pPr>
              <w:pStyle w:val="Compact"/>
              <w:jc w:val="center"/>
            </w:pPr>
            <w:r>
              <w:t xml:space="preserve">14a</w:t>
            </w:r>
          </w:p>
        </w:tc>
        <w:tc>
          <w:tcPr/>
          <w:p>
            <w:pPr>
              <w:pStyle w:val="Compact"/>
              <w:jc w:val="left"/>
            </w:pPr>
            <w:r>
              <w:t xml:space="preserve">Development analysis (D)</w:t>
            </w:r>
          </w:p>
        </w:tc>
        <w:tc>
          <w:tcPr/>
          <w:p>
            <w:pPr>
              <w:pStyle w:val="Compact"/>
              <w:jc w:val="left"/>
            </w:pPr>
            <w:r>
              <w:t xml:space="preserve">Specify the number of participants and outcome events in each analysis.</w:t>
            </w:r>
          </w:p>
        </w:tc>
        <w:tc>
          <w:tcPr/>
          <w:p>
            <w:pPr>
              <w:pStyle w:val="Compact"/>
              <w:jc w:val="center"/>
            </w:pPr>
            <w:r>
              <w:t xml:space="preserve">p. X (§2.1, §2.2)</w:t>
            </w:r>
          </w:p>
        </w:tc>
      </w:tr>
      <w:tr>
        <w:tc>
          <w:tcPr/>
          <w:p>
            <w:pPr>
              <w:pStyle w:val="Compact"/>
              <w:jc w:val="center"/>
            </w:pPr>
            <w:r>
              <w:t xml:space="preserve">14b</w:t>
            </w:r>
          </w:p>
        </w:tc>
        <w:tc>
          <w:tcPr/>
          <w:p>
            <w:pPr>
              <w:pStyle w:val="Compact"/>
              <w:jc w:val="left"/>
            </w:pPr>
            <w:r>
              <w:t xml:space="preserve">Unadjusted associations (D)</w:t>
            </w:r>
          </w:p>
        </w:tc>
        <w:tc>
          <w:tcPr/>
          <w:p>
            <w:pPr>
              <w:pStyle w:val="Compact"/>
              <w:jc w:val="left"/>
            </w:pPr>
            <w:r>
              <w:t xml:space="preserve">If done, report the unadjusted association between each candidate predictor and the outcome.</w:t>
            </w:r>
          </w:p>
        </w:tc>
        <w:tc>
          <w:tcPr/>
          <w:p>
            <w:pPr>
              <w:pStyle w:val="Compact"/>
              <w:jc w:val="center"/>
            </w:pPr>
            <w:r>
              <w:t xml:space="preserve">p. X (§2.4, Figure 2)</w:t>
            </w:r>
          </w:p>
        </w:tc>
      </w:tr>
    </w:tbl>
    <w:p>
      <w:pPr>
        <w:pStyle w:val="BodyText"/>
      </w:pPr>
      <w:r>
        <w:rPr>
          <w:b/>
          <w:bCs/>
        </w:rPr>
        <w:t xml:space="preserve">Item 14a — Evidence:</w:t>
      </w:r>
      <w:r>
        <w:t xml:space="preserve"> </w:t>
      </w:r>
      <w:r>
        <w:t xml:space="preserve">Development analysis: N=120, 60 PD outcome events, 60 HC (non-event). All 120 participants contributed to the LOSO cross-validation. Per-fold sample sizes varied (N≈108 training, N≈12 test per fold).</w:t>
      </w:r>
    </w:p>
    <w:p>
      <w:pPr>
        <w:pStyle w:val="BodyText"/>
      </w:pPr>
      <w:r>
        <w:rPr>
          <w:b/>
          <w:bCs/>
        </w:rPr>
        <w:t xml:space="preserve">Item 14b — Evidence:</w:t>
      </w:r>
      <w:r>
        <w:t xml:space="preserve"> </w:t>
      </w:r>
      <w:r>
        <w:t xml:space="preserve">SHAP (SHapley Additive exPlanations [9]) values provide model-consistent feature-outcome associations (Figure 2): Shimmer 38.2%, Jitter 31.8%, HNR 19.7%, F0_std 10.3%. Traditional univariate associations (OR, χ²) are not separately reported — SHAP importance is used as the interpretability framework per current XAI best practice [9].</w:t>
      </w:r>
    </w:p>
    <w:p>
      <w:r>
        <w:pict>
          <v:rect style="width:0;height:1.5pt" o:hralign="center" o:hrstd="t" o:hr="t"/>
        </w:pict>
      </w:r>
    </w:p>
    <w:bookmarkEnd w:id="34"/>
    <w:bookmarkStart w:id="35" w:name="model-specification"/>
    <w:p>
      <w:pPr>
        <w:pStyle w:val="Heading3"/>
      </w:pPr>
      <w:r>
        <w:t xml:space="preserve">Model Specification</w:t>
      </w:r>
    </w:p>
    <w:tbl>
      <w:tblPr>
        <w:tblStyle w:val="Table"/>
        <w:tblW w:type="pct" w:w="5000"/>
        <w:jc w:val="left"/>
        <w:tblLayout w:type="fixed"/>
        <w:tblLook w:firstRow="1" w:lastRow="0" w:firstColumn="0" w:lastColumn="0" w:noHBand="0" w:noVBand="0" w:val="0020"/>
      </w:tblPr>
      <w:tblGrid>
        <w:gridCol w:w="1011"/>
        <w:gridCol w:w="1179"/>
        <w:gridCol w:w="2696"/>
        <w:gridCol w:w="3033"/>
      </w:tblGrid>
      <w:tr>
        <w:trPr>
          <w:tblHeader w:val="on"/>
        </w:trPr>
        <w:tc>
          <w:tcPr/>
          <w:p>
            <w:pPr>
              <w:pStyle w:val="Compact"/>
              <w:jc w:val="center"/>
            </w:pPr>
            <w:r>
              <w:t xml:space="preserve">Item</w:t>
            </w:r>
          </w:p>
        </w:tc>
        <w:tc>
          <w:tcPr/>
          <w:p>
            <w:pPr>
              <w:pStyle w:val="Compact"/>
              <w:jc w:val="left"/>
            </w:pPr>
            <w:r>
              <w:t xml:space="preserve">Topic</w:t>
            </w:r>
          </w:p>
        </w:tc>
        <w:tc>
          <w:tcPr/>
          <w:p>
            <w:pPr>
              <w:pStyle w:val="Compact"/>
              <w:jc w:val="left"/>
            </w:pPr>
            <w:r>
              <w:t xml:space="preserve">Checklist Item</w:t>
            </w:r>
          </w:p>
        </w:tc>
        <w:tc>
          <w:tcPr/>
          <w:p>
            <w:pPr>
              <w:pStyle w:val="Compact"/>
              <w:jc w:val="center"/>
            </w:pPr>
            <w:r>
              <w:t xml:space="preserve">Reported on Page</w:t>
            </w:r>
          </w:p>
        </w:tc>
      </w:tr>
      <w:tr>
        <w:tc>
          <w:tcPr/>
          <w:p>
            <w:pPr>
              <w:pStyle w:val="Compact"/>
              <w:jc w:val="center"/>
            </w:pPr>
            <w:r>
              <w:t xml:space="preserve">15a</w:t>
            </w:r>
          </w:p>
        </w:tc>
        <w:tc>
          <w:tcPr/>
          <w:p>
            <w:pPr>
              <w:pStyle w:val="Compact"/>
              <w:jc w:val="left"/>
            </w:pPr>
            <w:r>
              <w:t xml:space="preserve">Full model (D)</w:t>
            </w:r>
          </w:p>
        </w:tc>
        <w:tc>
          <w:tcPr/>
          <w:p>
            <w:pPr>
              <w:pStyle w:val="Compact"/>
              <w:jc w:val="left"/>
            </w:pPr>
            <w:r>
              <w:t xml:space="preserve">Present the full prediction model to allow predictions for individuals.</w:t>
            </w:r>
          </w:p>
        </w:tc>
        <w:tc>
          <w:tcPr/>
          <w:p>
            <w:pPr>
              <w:pStyle w:val="Compact"/>
              <w:jc w:val="center"/>
            </w:pPr>
            <w:r>
              <w:t xml:space="preserve">§4.4 + Code Availability §6.4</w:t>
            </w:r>
          </w:p>
        </w:tc>
      </w:tr>
      <w:tr>
        <w:tc>
          <w:tcPr/>
          <w:p>
            <w:pPr>
              <w:pStyle w:val="Compact"/>
              <w:jc w:val="center"/>
            </w:pPr>
            <w:r>
              <w:t xml:space="preserve">15b</w:t>
            </w:r>
          </w:p>
        </w:tc>
        <w:tc>
          <w:tcPr/>
          <w:p>
            <w:pPr>
              <w:pStyle w:val="Compact"/>
              <w:jc w:val="left"/>
            </w:pPr>
            <w:r>
              <w:t xml:space="preserve">Explanation of use (D)</w:t>
            </w:r>
          </w:p>
        </w:tc>
        <w:tc>
          <w:tcPr/>
          <w:p>
            <w:pPr>
              <w:pStyle w:val="Compact"/>
              <w:jc w:val="left"/>
            </w:pPr>
            <w:r>
              <w:t xml:space="preserve">Explain how to use the prediction model.</w:t>
            </w:r>
          </w:p>
        </w:tc>
        <w:tc>
          <w:tcPr/>
          <w:p>
            <w:pPr>
              <w:pStyle w:val="Compact"/>
              <w:jc w:val="center"/>
            </w:pPr>
            <w:r>
              <w:t xml:space="preserve">§2.5, §6.4</w:t>
            </w:r>
          </w:p>
        </w:tc>
      </w:tr>
    </w:tbl>
    <w:p>
      <w:pPr>
        <w:pStyle w:val="BodyText"/>
      </w:pPr>
      <w:r>
        <w:rPr>
          <w:b/>
          <w:bCs/>
        </w:rPr>
        <w:t xml:space="preserve">Item 15a — Evidence:</w:t>
      </w:r>
      <w:r>
        <w:t xml:space="preserve"> </w:t>
      </w:r>
      <w:r>
        <w:t xml:space="preserve">The full model specification (Random Forest hyperparameters, feature list, preprocessing steps) is documented in §4.4 of the paper and in full in the publicly available source code (§6.4 Code Availability). The four retained predictors (Shimmer, Jitter, HNR, F0_std) and their extraction methodology are defined in §4.3. Model weights are serialized as a</w:t>
      </w:r>
      <w:r>
        <w:t xml:space="preserve"> </w:t>
      </w:r>
      <w:r>
        <w:rPr>
          <w:rStyle w:val="VerbatimChar"/>
        </w:rPr>
        <w:t xml:space="preserve">.pkl</w:t>
      </w:r>
      <w:r>
        <w:t xml:space="preserve"> </w:t>
      </w:r>
      <w:r>
        <w:t xml:space="preserve">file in the repository.</w:t>
      </w:r>
    </w:p>
    <w:p>
      <w:pPr>
        <w:pStyle w:val="BodyText"/>
      </w:pPr>
      <w:r>
        <w:rPr>
          <w:b/>
          <w:bCs/>
        </w:rPr>
        <w:t xml:space="preserve">Item 15b — Evidence:</w:t>
      </w:r>
      <w:r>
        <w:t xml:space="preserve"> </w:t>
      </w:r>
      <w:r>
        <w:t xml:space="preserve">Section 2.5 describes the on-device inference pipeline and the agentic LLM integration. The README.md in the code repository provides step-by-step instructions for applying the model to new audio recordings.</w:t>
      </w:r>
    </w:p>
    <w:p>
      <w:r>
        <w:pict>
          <v:rect style="width:0;height:1.5pt" o:hralign="center" o:hrstd="t" o:hr="t"/>
        </w:pict>
      </w:r>
    </w:p>
    <w:bookmarkEnd w:id="35"/>
    <w:bookmarkStart w:id="36" w:name="model-performance"/>
    <w:p>
      <w:pPr>
        <w:pStyle w:val="Heading3"/>
      </w:pPr>
      <w:r>
        <w:t xml:space="preserve">Model Performance</w:t>
      </w:r>
    </w:p>
    <w:tbl>
      <w:tblPr>
        <w:tblStyle w:val="Table"/>
        <w:tblW w:type="pct" w:w="5000"/>
        <w:jc w:val="left"/>
        <w:tblLayout w:type="fixed"/>
        <w:tblLook w:firstRow="1" w:lastRow="0" w:firstColumn="0" w:lastColumn="0" w:noHBand="0" w:noVBand="0" w:val="0020"/>
      </w:tblPr>
      <w:tblGrid>
        <w:gridCol w:w="1011"/>
        <w:gridCol w:w="1179"/>
        <w:gridCol w:w="2696"/>
        <w:gridCol w:w="3033"/>
      </w:tblGrid>
      <w:tr>
        <w:trPr>
          <w:tblHeader w:val="on"/>
        </w:trPr>
        <w:tc>
          <w:tcPr/>
          <w:p>
            <w:pPr>
              <w:pStyle w:val="Compact"/>
              <w:jc w:val="center"/>
            </w:pPr>
            <w:r>
              <w:t xml:space="preserve">Item</w:t>
            </w:r>
          </w:p>
        </w:tc>
        <w:tc>
          <w:tcPr/>
          <w:p>
            <w:pPr>
              <w:pStyle w:val="Compact"/>
              <w:jc w:val="left"/>
            </w:pPr>
            <w:r>
              <w:t xml:space="preserve">Topic</w:t>
            </w:r>
          </w:p>
        </w:tc>
        <w:tc>
          <w:tcPr/>
          <w:p>
            <w:pPr>
              <w:pStyle w:val="Compact"/>
              <w:jc w:val="left"/>
            </w:pPr>
            <w:r>
              <w:t xml:space="preserve">Checklist Item</w:t>
            </w:r>
          </w:p>
        </w:tc>
        <w:tc>
          <w:tcPr/>
          <w:p>
            <w:pPr>
              <w:pStyle w:val="Compact"/>
              <w:jc w:val="center"/>
            </w:pPr>
            <w:r>
              <w:t xml:space="preserve">Reported on Page</w:t>
            </w:r>
          </w:p>
        </w:tc>
      </w:tr>
      <w:tr>
        <w:tc>
          <w:tcPr/>
          <w:p>
            <w:pPr>
              <w:pStyle w:val="Compact"/>
              <w:jc w:val="center"/>
            </w:pPr>
            <w:r>
              <w:t xml:space="preserve">16</w:t>
            </w:r>
          </w:p>
        </w:tc>
        <w:tc>
          <w:tcPr/>
          <w:p>
            <w:pPr>
              <w:pStyle w:val="Compact"/>
              <w:jc w:val="left"/>
            </w:pPr>
            <w:r>
              <w:t xml:space="preserve">Model performance (D;V)</w:t>
            </w:r>
          </w:p>
        </w:tc>
        <w:tc>
          <w:tcPr/>
          <w:p>
            <w:pPr>
              <w:pStyle w:val="Compact"/>
              <w:jc w:val="left"/>
            </w:pPr>
            <w:r>
              <w:t xml:space="preserve">Report performance measures with confidence intervals.</w:t>
            </w:r>
          </w:p>
        </w:tc>
        <w:tc>
          <w:tcPr/>
          <w:p>
            <w:pPr>
              <w:pStyle w:val="Compact"/>
              <w:jc w:val="center"/>
            </w:pPr>
            <w:r>
              <w:t xml:space="preserve">p. X (Table 2, Table 3, §2.2, §2.6)</w:t>
            </w:r>
          </w:p>
        </w:tc>
      </w:tr>
    </w:tbl>
    <w:p>
      <w:pPr>
        <w:pStyle w:val="BodyText"/>
      </w:pPr>
      <w:r>
        <w:rPr>
          <w:b/>
          <w:bCs/>
        </w:rPr>
        <w:t xml:space="preserve">Item 16 — Evidence:</w:t>
      </w:r>
      <w:r>
        <w:t xml:space="preserve"> </w:t>
      </w:r>
      <w:r>
        <w:t xml:space="preserve">-</w:t>
      </w:r>
      <w:r>
        <w:t xml:space="preserve"> </w:t>
      </w:r>
      <w:r>
        <w:rPr>
          <w:b/>
          <w:bCs/>
        </w:rPr>
        <w:t xml:space="preserve">Development performance (primary):</w:t>
      </w:r>
      <w:r>
        <w:t xml:space="preserve"> </w:t>
      </w:r>
      <w:r>
        <w:t xml:space="preserve">AUC-ROC =</w:t>
      </w:r>
      <w:r>
        <w:t xml:space="preserve"> </w:t>
      </w:r>
      <w:r>
        <w:rPr>
          <w:b/>
          <w:bCs/>
        </w:rPr>
        <w:t xml:space="preserve">0.700 [95% CI: 0.606–0.793]</w:t>
      </w:r>
      <w:r>
        <w:t xml:space="preserve"> </w:t>
      </w:r>
      <w:r>
        <w:t xml:space="preserve">(Table 2, §2.2). Accuracy = 0.650, Sensitivity = 0.683, Specificity = 0.583.</w:t>
      </w:r>
      <w:r>
        <w:t xml:space="preserve"> </w:t>
      </w:r>
      <w:r>
        <w:t xml:space="preserve">-</w:t>
      </w:r>
      <w:r>
        <w:t xml:space="preserve"> </w:t>
      </w:r>
      <w:r>
        <w:rPr>
          <w:b/>
          <w:bCs/>
        </w:rPr>
        <w:t xml:space="preserve">Ablation performance:</w:t>
      </w:r>
      <w:r>
        <w:t xml:space="preserve"> </w:t>
      </w:r>
      <w:r>
        <w:t xml:space="preserve">Full 7-row comparison in Table 3 with individual 95% bootstrap CIs for each architecture (A1–A7).</w:t>
      </w:r>
      <w:r>
        <w:t xml:space="preserve"> </w:t>
      </w:r>
      <w:r>
        <w:t xml:space="preserve">-</w:t>
      </w:r>
      <w:r>
        <w:t xml:space="preserve"> </w:t>
      </w:r>
      <w:r>
        <w:rPr>
          <w:b/>
          <w:bCs/>
        </w:rPr>
        <w:t xml:space="preserve">Validation performance (zero-shot):</w:t>
      </w:r>
      <w:r>
        <w:t xml:space="preserve"> </w:t>
      </w:r>
      <w:r>
        <w:t xml:space="preserve">Reported in §2.6 for MDVR-KCL cross-corpus application.</w:t>
      </w:r>
      <w:r>
        <w:t xml:space="preserve"> </w:t>
      </w:r>
      <w:r>
        <w:t xml:space="preserve">-</w:t>
      </w:r>
      <w:r>
        <w:t xml:space="preserve"> </w:t>
      </w:r>
      <w:r>
        <w:rPr>
          <w:b/>
          <w:bCs/>
        </w:rPr>
        <w:t xml:space="preserve">Calibration:</w:t>
      </w:r>
      <w:r>
        <w:t xml:space="preserve"> </w:t>
      </w:r>
      <w:r>
        <w:t xml:space="preserve">Not formally assessed (Brier Score / calibration plot not included — acknowledged as a limitation).</w:t>
      </w:r>
    </w:p>
    <w:p>
      <w:r>
        <w:pict>
          <v:rect style="width:0;height:1.5pt" o:hralign="center" o:hrstd="t" o:hr="t"/>
        </w:pict>
      </w:r>
    </w:p>
    <w:bookmarkEnd w:id="36"/>
    <w:bookmarkStart w:id="37" w:name="model-updating"/>
    <w:p>
      <w:pPr>
        <w:pStyle w:val="Heading3"/>
      </w:pPr>
      <w:r>
        <w:t xml:space="preserve">Model Updating</w:t>
      </w:r>
    </w:p>
    <w:tbl>
      <w:tblPr>
        <w:tblStyle w:val="Table"/>
        <w:tblW w:type="pct" w:w="5000"/>
        <w:jc w:val="left"/>
        <w:tblLayout w:type="fixed"/>
        <w:tblLook w:firstRow="1" w:lastRow="0" w:firstColumn="0" w:lastColumn="0" w:noHBand="0" w:noVBand="0" w:val="0020"/>
      </w:tblPr>
      <w:tblGrid>
        <w:gridCol w:w="1011"/>
        <w:gridCol w:w="1179"/>
        <w:gridCol w:w="2696"/>
        <w:gridCol w:w="3033"/>
      </w:tblGrid>
      <w:tr>
        <w:trPr>
          <w:tblHeader w:val="on"/>
        </w:trPr>
        <w:tc>
          <w:tcPr/>
          <w:p>
            <w:pPr>
              <w:pStyle w:val="Compact"/>
              <w:jc w:val="center"/>
            </w:pPr>
            <w:r>
              <w:t xml:space="preserve">Item</w:t>
            </w:r>
          </w:p>
        </w:tc>
        <w:tc>
          <w:tcPr/>
          <w:p>
            <w:pPr>
              <w:pStyle w:val="Compact"/>
              <w:jc w:val="left"/>
            </w:pPr>
            <w:r>
              <w:t xml:space="preserve">Topic</w:t>
            </w:r>
          </w:p>
        </w:tc>
        <w:tc>
          <w:tcPr/>
          <w:p>
            <w:pPr>
              <w:pStyle w:val="Compact"/>
              <w:jc w:val="left"/>
            </w:pPr>
            <w:r>
              <w:t xml:space="preserve">Checklist Item</w:t>
            </w:r>
          </w:p>
        </w:tc>
        <w:tc>
          <w:tcPr/>
          <w:p>
            <w:pPr>
              <w:pStyle w:val="Compact"/>
              <w:jc w:val="center"/>
            </w:pPr>
            <w:r>
              <w:t xml:space="preserve">Reported on Page</w:t>
            </w:r>
          </w:p>
        </w:tc>
      </w:tr>
      <w:tr>
        <w:tc>
          <w:tcPr/>
          <w:p>
            <w:pPr>
              <w:pStyle w:val="Compact"/>
              <w:jc w:val="center"/>
            </w:pPr>
            <w:r>
              <w:t xml:space="preserve">17</w:t>
            </w:r>
          </w:p>
        </w:tc>
        <w:tc>
          <w:tcPr/>
          <w:p>
            <w:pPr>
              <w:pStyle w:val="Compact"/>
              <w:jc w:val="left"/>
            </w:pPr>
            <w:r>
              <w:t xml:space="preserve">Validation updating results (V)</w:t>
            </w:r>
          </w:p>
        </w:tc>
        <w:tc>
          <w:tcPr/>
          <w:p>
            <w:pPr>
              <w:pStyle w:val="Compact"/>
              <w:jc w:val="left"/>
            </w:pPr>
            <w:r>
              <w:t xml:space="preserve">If done, report results from any model updating.</w:t>
            </w:r>
          </w:p>
        </w:tc>
        <w:tc>
          <w:tcPr/>
          <w:p>
            <w:pPr>
              <w:pStyle w:val="Compact"/>
              <w:jc w:val="center"/>
            </w:pPr>
            <w:r>
              <w:t xml:space="preserve">N/A</w:t>
            </w:r>
          </w:p>
        </w:tc>
      </w:tr>
    </w:tbl>
    <w:p>
      <w:pPr>
        <w:pStyle w:val="BodyText"/>
      </w:pPr>
      <w:r>
        <w:rPr>
          <w:b/>
          <w:bCs/>
        </w:rPr>
        <w:t xml:space="preserve">Item 17 — Evidence:</w:t>
      </w:r>
      <w:r>
        <w:t xml:space="preserve"> </w:t>
      </w:r>
      <w:r>
        <w:t xml:space="preserve">Not applicable. No model updating, recalibration, or threshold adjustment was performed on the MDVR-KCL validation set. This was by design to test true zero-shot cross-corpus generalizability.</w:t>
      </w:r>
    </w:p>
    <w:p>
      <w:r>
        <w:pict>
          <v:rect style="width:0;height:1.5pt" o:hralign="center" o:hrstd="t" o:hr="t"/>
        </w:pict>
      </w:r>
    </w:p>
    <w:bookmarkEnd w:id="37"/>
    <w:bookmarkEnd w:id="38"/>
    <w:bookmarkStart w:id="39" w:name="section-5-discussion"/>
    <w:p>
      <w:pPr>
        <w:pStyle w:val="Heading2"/>
      </w:pPr>
      <w:r>
        <w:t xml:space="preserve">Section 5: Discussion</w:t>
      </w:r>
    </w:p>
    <w:tbl>
      <w:tblPr>
        <w:tblStyle w:val="Table"/>
        <w:tblW w:type="pct" w:w="5000"/>
        <w:jc w:val="left"/>
        <w:tblLayout w:type="fixed"/>
        <w:tblLook w:firstRow="1" w:lastRow="0" w:firstColumn="0" w:lastColumn="0" w:noHBand="0" w:noVBand="0" w:val="0020"/>
      </w:tblPr>
      <w:tblGrid>
        <w:gridCol w:w="1011"/>
        <w:gridCol w:w="1179"/>
        <w:gridCol w:w="2696"/>
        <w:gridCol w:w="3033"/>
      </w:tblGrid>
      <w:tr>
        <w:trPr>
          <w:tblHeader w:val="on"/>
        </w:trPr>
        <w:tc>
          <w:tcPr/>
          <w:p>
            <w:pPr>
              <w:pStyle w:val="Compact"/>
              <w:jc w:val="center"/>
            </w:pPr>
            <w:r>
              <w:t xml:space="preserve">Item</w:t>
            </w:r>
          </w:p>
        </w:tc>
        <w:tc>
          <w:tcPr/>
          <w:p>
            <w:pPr>
              <w:pStyle w:val="Compact"/>
              <w:jc w:val="left"/>
            </w:pPr>
            <w:r>
              <w:t xml:space="preserve">Topic</w:t>
            </w:r>
          </w:p>
        </w:tc>
        <w:tc>
          <w:tcPr/>
          <w:p>
            <w:pPr>
              <w:pStyle w:val="Compact"/>
              <w:jc w:val="left"/>
            </w:pPr>
            <w:r>
              <w:t xml:space="preserve">Checklist Item</w:t>
            </w:r>
          </w:p>
        </w:tc>
        <w:tc>
          <w:tcPr/>
          <w:p>
            <w:pPr>
              <w:pStyle w:val="Compact"/>
              <w:jc w:val="center"/>
            </w:pPr>
            <w:r>
              <w:t xml:space="preserve">Reported on Page</w:t>
            </w:r>
          </w:p>
        </w:tc>
      </w:tr>
      <w:tr>
        <w:tc>
          <w:tcPr/>
          <w:p>
            <w:pPr>
              <w:pStyle w:val="Compact"/>
              <w:jc w:val="center"/>
            </w:pPr>
            <w:r>
              <w:t xml:space="preserve">18</w:t>
            </w:r>
          </w:p>
        </w:tc>
        <w:tc>
          <w:tcPr/>
          <w:p>
            <w:pPr>
              <w:pStyle w:val="Compact"/>
              <w:jc w:val="left"/>
            </w:pPr>
            <w:r>
              <w:t xml:space="preserve">Limitations (D;V)</w:t>
            </w:r>
          </w:p>
        </w:tc>
        <w:tc>
          <w:tcPr/>
          <w:p>
            <w:pPr>
              <w:pStyle w:val="Compact"/>
              <w:jc w:val="left"/>
            </w:pPr>
            <w:r>
              <w:t xml:space="preserve">Discuss any study limitations, including impact on predictive performance.</w:t>
            </w:r>
          </w:p>
        </w:tc>
        <w:tc>
          <w:tcPr/>
          <w:p>
            <w:pPr>
              <w:pStyle w:val="Compact"/>
              <w:jc w:val="center"/>
            </w:pPr>
            <w:r>
              <w:t xml:space="preserve">p. X (§3 Discussion)</w:t>
            </w:r>
          </w:p>
        </w:tc>
      </w:tr>
      <w:tr>
        <w:tc>
          <w:tcPr/>
          <w:p>
            <w:pPr>
              <w:pStyle w:val="Compact"/>
              <w:jc w:val="center"/>
            </w:pPr>
            <w:r>
              <w:t xml:space="preserve">19a</w:t>
            </w:r>
          </w:p>
        </w:tc>
        <w:tc>
          <w:tcPr/>
          <w:p>
            <w:pPr>
              <w:pStyle w:val="Compact"/>
              <w:jc w:val="left"/>
            </w:pPr>
            <w:r>
              <w:t xml:space="preserve">Validation interpretation (V)</w:t>
            </w:r>
          </w:p>
        </w:tc>
        <w:tc>
          <w:tcPr/>
          <w:p>
            <w:pPr>
              <w:pStyle w:val="Compact"/>
              <w:jc w:val="left"/>
            </w:pPr>
            <w:r>
              <w:t xml:space="preserve">Discuss validation results with reference to development performance and other validation data.</w:t>
            </w:r>
          </w:p>
        </w:tc>
        <w:tc>
          <w:tcPr/>
          <w:p>
            <w:pPr>
              <w:pStyle w:val="Compact"/>
              <w:jc w:val="center"/>
            </w:pPr>
            <w:r>
              <w:t xml:space="preserve">p. X (§2.6, §3)</w:t>
            </w:r>
          </w:p>
        </w:tc>
      </w:tr>
      <w:tr>
        <w:tc>
          <w:tcPr/>
          <w:p>
            <w:pPr>
              <w:pStyle w:val="Compact"/>
              <w:jc w:val="center"/>
            </w:pPr>
            <w:r>
              <w:t xml:space="preserve">19b</w:t>
            </w:r>
          </w:p>
        </w:tc>
        <w:tc>
          <w:tcPr/>
          <w:p>
            <w:pPr>
              <w:pStyle w:val="Compact"/>
              <w:jc w:val="left"/>
            </w:pPr>
            <w:r>
              <w:t xml:space="preserve">Overall interpretation (D;V)</w:t>
            </w:r>
          </w:p>
        </w:tc>
        <w:tc>
          <w:tcPr/>
          <w:p>
            <w:pPr>
              <w:pStyle w:val="Compact"/>
              <w:jc w:val="left"/>
            </w:pPr>
            <w:r>
              <w:t xml:space="preserve">Give an overall interpretation considering objectives, limitations, and results from similar studies.</w:t>
            </w:r>
          </w:p>
        </w:tc>
        <w:tc>
          <w:tcPr/>
          <w:p>
            <w:pPr>
              <w:pStyle w:val="Compact"/>
              <w:jc w:val="center"/>
            </w:pPr>
            <w:r>
              <w:t xml:space="preserve">p. X (§3 Discussion)</w:t>
            </w:r>
          </w:p>
        </w:tc>
      </w:tr>
      <w:tr>
        <w:tc>
          <w:tcPr/>
          <w:p>
            <w:pPr>
              <w:pStyle w:val="Compact"/>
              <w:jc w:val="center"/>
            </w:pPr>
            <w:r>
              <w:t xml:space="preserve">20</w:t>
            </w:r>
          </w:p>
        </w:tc>
        <w:tc>
          <w:tcPr/>
          <w:p>
            <w:pPr>
              <w:pStyle w:val="Compact"/>
              <w:jc w:val="left"/>
            </w:pPr>
            <w:r>
              <w:t xml:space="preserve">Implications (D;V)</w:t>
            </w:r>
          </w:p>
        </w:tc>
        <w:tc>
          <w:tcPr/>
          <w:p>
            <w:pPr>
              <w:pStyle w:val="Compact"/>
              <w:jc w:val="left"/>
            </w:pPr>
            <w:r>
              <w:t xml:space="preserve">Discuss the potential clinical use of the model and implications for future research.</w:t>
            </w:r>
          </w:p>
        </w:tc>
        <w:tc>
          <w:tcPr/>
          <w:p>
            <w:pPr>
              <w:pStyle w:val="Compact"/>
              <w:jc w:val="center"/>
            </w:pPr>
            <w:r>
              <w:t xml:space="preserve">p. X (§2.5, §3)</w:t>
            </w:r>
          </w:p>
        </w:tc>
      </w:tr>
    </w:tbl>
    <w:p>
      <w:pPr>
        <w:pStyle w:val="BodyText"/>
      </w:pPr>
      <w:r>
        <w:rPr>
          <w:b/>
          <w:bCs/>
        </w:rPr>
        <w:t xml:space="preserve">Item 18 — Evidence (Limitations reported in §3):</w:t>
      </w:r>
      <w:r>
        <w:t xml:space="preserve"> </w:t>
      </w:r>
      <w:r>
        <w:t xml:space="preserve">1.</w:t>
      </w:r>
      <w:r>
        <w:t xml:space="preserve"> </w:t>
      </w:r>
      <w:r>
        <w:rPr>
          <w:b/>
          <w:bCs/>
        </w:rPr>
        <w:t xml:space="preserve">Small cohort (N=120):</w:t>
      </w:r>
      <w:r>
        <w:t xml:space="preserve"> </w:t>
      </w:r>
      <w:r>
        <w:t xml:space="preserve">Limits statistical power for subgroup analyses; future work should target N&gt;500.</w:t>
      </w:r>
      <w:r>
        <w:t xml:space="preserve"> </w:t>
      </w:r>
      <w:r>
        <w:t xml:space="preserve">2.</w:t>
      </w:r>
      <w:r>
        <w:t xml:space="preserve"> </w:t>
      </w:r>
      <w:r>
        <w:rPr>
          <w:b/>
          <w:bCs/>
        </w:rPr>
        <w:t xml:space="preserve">Sex imbalance:</w:t>
      </w:r>
      <w:r>
        <w:t xml:space="preserve"> </w:t>
      </w:r>
      <w:r>
        <w:t xml:space="preserve">mPower convenience sampling yields disproportionate female representation in the HC group (10.0% female HC vs. 30.0% female PD), which may bias sex-specific vocal feature distributions.</w:t>
      </w:r>
      <w:r>
        <w:t xml:space="preserve"> </w:t>
      </w:r>
      <w:r>
        <w:t xml:space="preserve">3.</w:t>
      </w:r>
      <w:r>
        <w:t xml:space="preserve"> </w:t>
      </w:r>
      <w:r>
        <w:rPr>
          <w:b/>
          <w:bCs/>
        </w:rPr>
        <w:t xml:space="preserve">Self-reported diagnosis:</w:t>
      </w:r>
      <w:r>
        <w:t xml:space="preserve"> </w:t>
      </w:r>
      <w:r>
        <w:t xml:space="preserve">mPower PD labels are based on professional diagnosis self-report, not verified clinical records. Misclassification cannot be excluded.</w:t>
      </w:r>
      <w:r>
        <w:t xml:space="preserve"> </w:t>
      </w:r>
      <w:r>
        <w:t xml:space="preserve">4.</w:t>
      </w:r>
      <w:r>
        <w:t xml:space="preserve"> </w:t>
      </w:r>
      <w:r>
        <w:rPr>
          <w:b/>
          <w:bCs/>
        </w:rPr>
        <w:t xml:space="preserve">No calibration assessment:</w:t>
      </w:r>
      <w:r>
        <w:t xml:space="preserve"> </w:t>
      </w:r>
      <w:r>
        <w:t xml:space="preserve">Brier Score and calibration plots were not computed; clinical deployment would require formal calibration evaluation.</w:t>
      </w:r>
      <w:r>
        <w:t xml:space="preserve"> </w:t>
      </w:r>
      <w:r>
        <w:t xml:space="preserve">5.</w:t>
      </w:r>
      <w:r>
        <w:t xml:space="preserve"> </w:t>
      </w:r>
      <w:r>
        <w:rPr>
          <w:b/>
          <w:bCs/>
        </w:rPr>
        <w:t xml:space="preserve">Medication status not controlled:</w:t>
      </w:r>
      <w:r>
        <w:t xml:space="preserve"> </w:t>
      </w:r>
      <w:r>
        <w:t xml:space="preserve">Dopaminergic medication (L-DOPA) is known to partially normalise vocal biomarkers in treated PD patients, potentially attenuating the diagnostic signal.</w:t>
      </w:r>
      <w:r>
        <w:t xml:space="preserve"> </w:t>
      </w:r>
      <w:r>
        <w:t xml:space="preserve">6.</w:t>
      </w:r>
      <w:r>
        <w:t xml:space="preserve"> </w:t>
      </w:r>
      <w:r>
        <w:rPr>
          <w:b/>
          <w:bCs/>
        </w:rPr>
        <w:t xml:space="preserve">LLM subjectivity:</w:t>
      </w:r>
      <w:r>
        <w:t xml:space="preserve"> </w:t>
      </w:r>
      <w:r>
        <w:t xml:space="preserve">Gemma-2b clinical narrative outputs are not validated against expert neurologist triage standards; a formal Randomized Controlled Trial (RCT) against board-certified neurologist assessments is required before clinical deployment.</w:t>
      </w:r>
    </w:p>
    <w:p>
      <w:pPr>
        <w:pStyle w:val="BodyText"/>
      </w:pPr>
      <w:r>
        <w:rPr>
          <w:b/>
          <w:bCs/>
        </w:rPr>
        <w:t xml:space="preserve">Item 19a — Evidence:</w:t>
      </w:r>
      <w:r>
        <w:t xml:space="preserve"> </w:t>
      </w:r>
      <w:r>
        <w:t xml:space="preserve">Section 2.6 compares development AUC (0.700, mPower) against zero-shot validation on MDVR-KCL. The performance gap is attributed to domain shift (unconstrained vs. lab audio), dataset size difference (N=120 vs. N=37), and the absence of any model adaptation to the target domain.</w:t>
      </w:r>
    </w:p>
    <w:p>
      <w:pPr>
        <w:pStyle w:val="BodyText"/>
      </w:pPr>
      <w:r>
        <w:rPr>
          <w:b/>
          <w:bCs/>
        </w:rPr>
        <w:t xml:space="preserve">Item 19b — Evidence:</w:t>
      </w:r>
      <w:r>
        <w:t xml:space="preserve"> </w:t>
      </w:r>
      <w:r>
        <w:t xml:space="preserve">Section 3 discusses results in the context of: Tsanas et al. [4] (Oxford lab benchmark: AUC &gt;0.99), Wroge et al. [3] (mHealth benchmark: AUC ≈0.72), and this study’s position as a rigorously confounded real-world result. The discussion contextualises AUC 0.700 as a strong result for unconstrained telemetry.</w:t>
      </w:r>
    </w:p>
    <w:p>
      <w:pPr>
        <w:pStyle w:val="BodyText"/>
      </w:pPr>
      <w:r>
        <w:rPr>
          <w:b/>
          <w:bCs/>
        </w:rPr>
        <w:t xml:space="preserve">Item 20 — Evidence:</w:t>
      </w:r>
      <w:r>
        <w:t xml:space="preserve"> </w:t>
      </w:r>
      <w:r>
        <w:t xml:space="preserve">Section 2.5 describes the clinical use pathway: Edge Student model (1.1 MB, 31.9 ms) deployed on consumer smartphones, outputting structured triage narratives via Gemma LLM. Section 3 calls for RCT validation comparing agentic triage outputs vs. neurologist assessments as the required next step before clinical translation.</w:t>
      </w:r>
    </w:p>
    <w:p>
      <w:r>
        <w:pict>
          <v:rect style="width:0;height:1.5pt" o:hralign="center" o:hrstd="t" o:hr="t"/>
        </w:pict>
      </w:r>
    </w:p>
    <w:bookmarkEnd w:id="39"/>
    <w:bookmarkStart w:id="40" w:name="section-6-other-information"/>
    <w:p>
      <w:pPr>
        <w:pStyle w:val="Heading2"/>
      </w:pPr>
      <w:r>
        <w:t xml:space="preserve">Section 6: Other Information</w:t>
      </w:r>
    </w:p>
    <w:tbl>
      <w:tblPr>
        <w:tblStyle w:val="Table"/>
        <w:tblW w:type="pct" w:w="5000"/>
        <w:jc w:val="left"/>
        <w:tblLayout w:type="fixed"/>
        <w:tblLook w:firstRow="1" w:lastRow="0" w:firstColumn="0" w:lastColumn="0" w:noHBand="0" w:noVBand="0" w:val="0020"/>
      </w:tblPr>
      <w:tblGrid>
        <w:gridCol w:w="1011"/>
        <w:gridCol w:w="1179"/>
        <w:gridCol w:w="2696"/>
        <w:gridCol w:w="3033"/>
      </w:tblGrid>
      <w:tr>
        <w:trPr>
          <w:tblHeader w:val="on"/>
        </w:trPr>
        <w:tc>
          <w:tcPr/>
          <w:p>
            <w:pPr>
              <w:pStyle w:val="Compact"/>
              <w:jc w:val="center"/>
            </w:pPr>
            <w:r>
              <w:t xml:space="preserve">Item</w:t>
            </w:r>
          </w:p>
        </w:tc>
        <w:tc>
          <w:tcPr/>
          <w:p>
            <w:pPr>
              <w:pStyle w:val="Compact"/>
              <w:jc w:val="left"/>
            </w:pPr>
            <w:r>
              <w:t xml:space="preserve">Topic</w:t>
            </w:r>
          </w:p>
        </w:tc>
        <w:tc>
          <w:tcPr/>
          <w:p>
            <w:pPr>
              <w:pStyle w:val="Compact"/>
              <w:jc w:val="left"/>
            </w:pPr>
            <w:r>
              <w:t xml:space="preserve">Checklist Item</w:t>
            </w:r>
          </w:p>
        </w:tc>
        <w:tc>
          <w:tcPr/>
          <w:p>
            <w:pPr>
              <w:pStyle w:val="Compact"/>
              <w:jc w:val="center"/>
            </w:pPr>
            <w:r>
              <w:t xml:space="preserve">Reported on Page</w:t>
            </w:r>
          </w:p>
        </w:tc>
      </w:tr>
      <w:tr>
        <w:tc>
          <w:tcPr/>
          <w:p>
            <w:pPr>
              <w:pStyle w:val="Compact"/>
              <w:jc w:val="center"/>
            </w:pPr>
            <w:r>
              <w:t xml:space="preserve">21</w:t>
            </w:r>
          </w:p>
        </w:tc>
        <w:tc>
          <w:tcPr/>
          <w:p>
            <w:pPr>
              <w:pStyle w:val="Compact"/>
              <w:jc w:val="left"/>
            </w:pPr>
            <w:r>
              <w:t xml:space="preserve">Supplementary information (D;V)</w:t>
            </w:r>
          </w:p>
        </w:tc>
        <w:tc>
          <w:tcPr/>
          <w:p>
            <w:pPr>
              <w:pStyle w:val="Compact"/>
              <w:jc w:val="left"/>
            </w:pPr>
            <w:r>
              <w:t xml:space="preserve">Provide information about availability of supplementary resources (protocol, raw data, code).</w:t>
            </w:r>
          </w:p>
        </w:tc>
        <w:tc>
          <w:tcPr/>
          <w:p>
            <w:pPr>
              <w:pStyle w:val="Compact"/>
              <w:jc w:val="center"/>
            </w:pPr>
            <w:r>
              <w:t xml:space="preserve">§6.3, §6.4</w:t>
            </w:r>
          </w:p>
        </w:tc>
      </w:tr>
      <w:tr>
        <w:tc>
          <w:tcPr/>
          <w:p>
            <w:pPr>
              <w:pStyle w:val="Compact"/>
              <w:jc w:val="center"/>
            </w:pPr>
            <w:r>
              <w:t xml:space="preserve">22</w:t>
            </w:r>
          </w:p>
        </w:tc>
        <w:tc>
          <w:tcPr/>
          <w:p>
            <w:pPr>
              <w:pStyle w:val="Compact"/>
              <w:jc w:val="left"/>
            </w:pPr>
            <w:r>
              <w:t xml:space="preserve">Funding (D;V)</w:t>
            </w:r>
          </w:p>
        </w:tc>
        <w:tc>
          <w:tcPr/>
          <w:p>
            <w:pPr>
              <w:pStyle w:val="Compact"/>
              <w:jc w:val="left"/>
            </w:pPr>
            <w:r>
              <w:t xml:space="preserve">Give the source of funding and the role of funders.</w:t>
            </w:r>
          </w:p>
        </w:tc>
        <w:tc>
          <w:tcPr/>
          <w:p>
            <w:pPr>
              <w:pStyle w:val="Compact"/>
              <w:jc w:val="center"/>
            </w:pPr>
            <w:r>
              <w:t xml:space="preserve">§6.2</w:t>
            </w:r>
          </w:p>
        </w:tc>
      </w:tr>
    </w:tbl>
    <w:p>
      <w:pPr>
        <w:pStyle w:val="BodyText"/>
      </w:pPr>
      <w:r>
        <w:rPr>
          <w:b/>
          <w:bCs/>
        </w:rPr>
        <w:t xml:space="preserve">Item 21 — Evidence:</w:t>
      </w:r>
      <w:r>
        <w:t xml:space="preserve"> </w:t>
      </w:r>
      <w:r>
        <w:t xml:space="preserve">-</w:t>
      </w:r>
      <w:r>
        <w:t xml:space="preserve"> </w:t>
      </w:r>
      <w:r>
        <w:rPr>
          <w:b/>
          <w:bCs/>
        </w:rPr>
        <w:t xml:space="preserve">Raw data:</w:t>
      </w:r>
      <w:r>
        <w:t xml:space="preserve"> </w:t>
      </w:r>
      <w:r>
        <w:t xml:space="preserve">Available via Sage Bionetworks Synapse platform (ID: syn4993293) under the mPower governance agreement (§6.3).</w:t>
      </w:r>
      <w:r>
        <w:t xml:space="preserve"> </w:t>
      </w:r>
      <w:r>
        <w:t xml:space="preserve">-</w:t>
      </w:r>
      <w:r>
        <w:t xml:space="preserve"> </w:t>
      </w:r>
      <w:r>
        <w:rPr>
          <w:b/>
          <w:bCs/>
        </w:rPr>
        <w:t xml:space="preserve">Source code:</w:t>
      </w:r>
      <w:r>
        <w:t xml:space="preserve"> </w:t>
      </w:r>
      <w:r>
        <w:t xml:space="preserve">Publicly available at [PLACEHOLDER — GitHub/Zenodo URL] (§6.4).</w:t>
      </w:r>
      <w:r>
        <w:t xml:space="preserve"> </w:t>
      </w:r>
      <w:r>
        <w:t xml:space="preserve">-</w:t>
      </w:r>
      <w:r>
        <w:t xml:space="preserve"> </w:t>
      </w:r>
      <w:r>
        <w:rPr>
          <w:b/>
          <w:bCs/>
        </w:rPr>
        <w:t xml:space="preserve">Pre-processed features and model weights:</w:t>
      </w:r>
      <w:r>
        <w:t xml:space="preserve"> </w:t>
      </w:r>
      <w:r>
        <w:t xml:space="preserve">Available from the corresponding author upon reasonable request.</w:t>
      </w:r>
      <w:r>
        <w:t xml:space="preserve"> </w:t>
      </w:r>
      <w:r>
        <w:t xml:space="preserve">-</w:t>
      </w:r>
      <w:r>
        <w:t xml:space="preserve"> </w:t>
      </w:r>
      <w:r>
        <w:rPr>
          <w:b/>
          <w:bCs/>
        </w:rPr>
        <w:t xml:space="preserve">MDVR-KCL validation dataset:</w:t>
      </w:r>
      <w:r>
        <w:t xml:space="preserve"> </w:t>
      </w:r>
      <w:r>
        <w:t xml:space="preserve">Publicly available per Klumpp et al. [24].</w:t>
      </w:r>
    </w:p>
    <w:p>
      <w:pPr>
        <w:pStyle w:val="BodyText"/>
      </w:pPr>
      <w:r>
        <w:rPr>
          <w:b/>
          <w:bCs/>
        </w:rPr>
        <w:t xml:space="preserve">Item 22 — Evidence:</w:t>
      </w:r>
      <w:r>
        <w:t xml:space="preserve"> </w:t>
      </w:r>
      <w:r>
        <w:t xml:space="preserve">This research received no specific grant from any funding agency in the public, commercial, or not-for-profit sectors (§6.2).</w:t>
      </w:r>
    </w:p>
    <w:p>
      <w:r>
        <w:pict>
          <v:rect style="width:0;height:1.5pt" o:hralign="center" o:hrstd="t" o:hr="t"/>
        </w:pict>
      </w:r>
    </w:p>
    <w:bookmarkEnd w:id="40"/>
    <w:bookmarkStart w:id="41" w:name="tripod-summary-compliance-overview"/>
    <w:p>
      <w:pPr>
        <w:pStyle w:val="Heading2"/>
      </w:pPr>
      <w:r>
        <w:t xml:space="preserve">TRIPOD Summary: Compliance Overview</w:t>
      </w:r>
    </w:p>
    <w:tbl>
      <w:tblPr>
        <w:tblStyle w:val="Table"/>
        <w:tblW w:type="pct" w:w="5000"/>
        <w:jc w:val="left"/>
        <w:tblLayout w:type="fixed"/>
        <w:tblLook w:firstRow="1" w:lastRow="0" w:firstColumn="0" w:lastColumn="0" w:noHBand="0" w:noVBand="0" w:val="0020"/>
      </w:tblPr>
      <w:tblGrid>
        <w:gridCol w:w="2066"/>
        <w:gridCol w:w="3443"/>
        <w:gridCol w:w="2410"/>
      </w:tblGrid>
      <w:tr>
        <w:trPr>
          <w:tblHeader w:val="on"/>
        </w:trPr>
        <w:tc>
          <w:tcPr/>
          <w:p>
            <w:pPr>
              <w:pStyle w:val="Compact"/>
              <w:jc w:val="center"/>
            </w:pPr>
            <w:r>
              <w:t xml:space="preserve">Item</w:t>
            </w:r>
          </w:p>
        </w:tc>
        <w:tc>
          <w:tcPr/>
          <w:p>
            <w:pPr>
              <w:pStyle w:val="Compact"/>
              <w:jc w:val="center"/>
            </w:pPr>
            <w:r>
              <w:t xml:space="preserve">Reported</w:t>
            </w:r>
          </w:p>
        </w:tc>
        <w:tc>
          <w:tcPr/>
          <w:p>
            <w:pPr>
              <w:pStyle w:val="Compact"/>
              <w:jc w:val="left"/>
            </w:pPr>
            <w:r>
              <w:t xml:space="preserve">Notes</w:t>
            </w:r>
          </w:p>
        </w:tc>
      </w:tr>
      <w:tr>
        <w:tc>
          <w:tcPr/>
          <w:p>
            <w:pPr>
              <w:pStyle w:val="Compact"/>
              <w:jc w:val="center"/>
            </w:pPr>
            <w:r>
              <w:t xml:space="preserve">1</w:t>
            </w:r>
          </w:p>
        </w:tc>
        <w:tc>
          <w:tcPr/>
          <w:p>
            <w:pPr>
              <w:pStyle w:val="Compact"/>
              <w:jc w:val="center"/>
            </w:pPr>
            <w:r>
              <w:t xml:space="preserve">✅</w:t>
            </w:r>
          </w:p>
        </w:tc>
        <w:tc>
          <w:tcPr/>
          <w:p>
            <w:pPr>
              <w:pStyle w:val="Compact"/>
              <w:jc w:val="left"/>
            </w:pPr>
            <w:r>
              <w:t xml:space="preserve">Title identifies development + validation, population, outcome</w:t>
            </w:r>
          </w:p>
        </w:tc>
      </w:tr>
      <w:tr>
        <w:tc>
          <w:tcPr/>
          <w:p>
            <w:pPr>
              <w:pStyle w:val="Compact"/>
              <w:jc w:val="center"/>
            </w:pPr>
            <w:r>
              <w:t xml:space="preserve">2</w:t>
            </w:r>
          </w:p>
        </w:tc>
        <w:tc>
          <w:tcPr/>
          <w:p>
            <w:pPr>
              <w:pStyle w:val="Compact"/>
              <w:jc w:val="center"/>
            </w:pPr>
            <w:r>
              <w:t xml:space="preserve">✅</w:t>
            </w:r>
          </w:p>
        </w:tc>
        <w:tc>
          <w:tcPr/>
          <w:p>
            <w:pPr>
              <w:pStyle w:val="Compact"/>
              <w:jc w:val="left"/>
            </w:pPr>
            <w:r>
              <w:t xml:space="preserve">Abstract covers all required elements</w:t>
            </w:r>
          </w:p>
        </w:tc>
      </w:tr>
      <w:tr>
        <w:tc>
          <w:tcPr/>
          <w:p>
            <w:pPr>
              <w:pStyle w:val="Compact"/>
              <w:jc w:val="center"/>
            </w:pPr>
            <w:r>
              <w:t xml:space="preserve">3a</w:t>
            </w:r>
          </w:p>
        </w:tc>
        <w:tc>
          <w:tcPr/>
          <w:p>
            <w:pPr>
              <w:pStyle w:val="Compact"/>
              <w:jc w:val="center"/>
            </w:pPr>
            <w:r>
              <w:t xml:space="preserve">✅</w:t>
            </w:r>
          </w:p>
        </w:tc>
        <w:tc>
          <w:tcPr/>
          <w:p>
            <w:pPr>
              <w:pStyle w:val="Compact"/>
              <w:jc w:val="left"/>
            </w:pPr>
            <w:r>
              <w:t xml:space="preserve">Medical context and prior model references provided</w:t>
            </w:r>
          </w:p>
        </w:tc>
      </w:tr>
      <w:tr>
        <w:tc>
          <w:tcPr/>
          <w:p>
            <w:pPr>
              <w:pStyle w:val="Compact"/>
              <w:jc w:val="center"/>
            </w:pPr>
            <w:r>
              <w:t xml:space="preserve">3b</w:t>
            </w:r>
          </w:p>
        </w:tc>
        <w:tc>
          <w:tcPr/>
          <w:p>
            <w:pPr>
              <w:pStyle w:val="Compact"/>
              <w:jc w:val="center"/>
            </w:pPr>
            <w:r>
              <w:t xml:space="preserve">✅</w:t>
            </w:r>
          </w:p>
        </w:tc>
        <w:tc>
          <w:tcPr/>
          <w:p>
            <w:pPr>
              <w:pStyle w:val="Compact"/>
              <w:jc w:val="left"/>
            </w:pPr>
            <w:r>
              <w:t xml:space="preserve">Objectives clearly state both development and validation</w:t>
            </w:r>
          </w:p>
        </w:tc>
      </w:tr>
      <w:tr>
        <w:tc>
          <w:tcPr/>
          <w:p>
            <w:pPr>
              <w:pStyle w:val="Compact"/>
              <w:jc w:val="center"/>
            </w:pPr>
            <w:r>
              <w:t xml:space="preserve">4a</w:t>
            </w:r>
          </w:p>
        </w:tc>
        <w:tc>
          <w:tcPr/>
          <w:p>
            <w:pPr>
              <w:pStyle w:val="Compact"/>
              <w:jc w:val="center"/>
            </w:pPr>
            <w:r>
              <w:t xml:space="preserve">✅</w:t>
            </w:r>
          </w:p>
        </w:tc>
        <w:tc>
          <w:tcPr/>
          <w:p>
            <w:pPr>
              <w:pStyle w:val="Compact"/>
              <w:jc w:val="left"/>
            </w:pPr>
            <w:r>
              <w:t xml:space="preserve">mPower (development) and MDVR-KCL (validation) described separately</w:t>
            </w:r>
          </w:p>
        </w:tc>
      </w:tr>
      <w:tr>
        <w:tc>
          <w:tcPr/>
          <w:p>
            <w:pPr>
              <w:pStyle w:val="Compact"/>
              <w:jc w:val="center"/>
            </w:pPr>
            <w:r>
              <w:t xml:space="preserve">4b</w:t>
            </w:r>
          </w:p>
        </w:tc>
        <w:tc>
          <w:tcPr/>
          <w:p>
            <w:pPr>
              <w:pStyle w:val="Compact"/>
              <w:jc w:val="center"/>
            </w:pPr>
            <w:r>
              <w:t xml:space="preserve">✅</w:t>
            </w:r>
          </w:p>
        </w:tc>
        <w:tc>
          <w:tcPr/>
          <w:p>
            <w:pPr>
              <w:pStyle w:val="Compact"/>
              <w:jc w:val="left"/>
            </w:pPr>
            <w:r>
              <w:t xml:space="preserve">Data collection dates noted</w:t>
            </w:r>
          </w:p>
        </w:tc>
      </w:tr>
      <w:tr>
        <w:tc>
          <w:tcPr/>
          <w:p>
            <w:pPr>
              <w:pStyle w:val="Compact"/>
              <w:jc w:val="center"/>
            </w:pPr>
            <w:r>
              <w:t xml:space="preserve">5a</w:t>
            </w:r>
          </w:p>
        </w:tc>
        <w:tc>
          <w:tcPr/>
          <w:p>
            <w:pPr>
              <w:pStyle w:val="Compact"/>
              <w:jc w:val="center"/>
            </w:pPr>
            <w:r>
              <w:t xml:space="preserve">✅</w:t>
            </w:r>
          </w:p>
        </w:tc>
        <w:tc>
          <w:tcPr/>
          <w:p>
            <w:pPr>
              <w:pStyle w:val="Compact"/>
              <w:jc w:val="left"/>
            </w:pPr>
            <w:r>
              <w:t xml:space="preserve">mHealth general population + outpatient clinic settings described</w:t>
            </w:r>
          </w:p>
        </w:tc>
      </w:tr>
      <w:tr>
        <w:tc>
          <w:tcPr/>
          <w:p>
            <w:pPr>
              <w:pStyle w:val="Compact"/>
              <w:jc w:val="center"/>
            </w:pPr>
            <w:r>
              <w:t xml:space="preserve">5b</w:t>
            </w:r>
          </w:p>
        </w:tc>
        <w:tc>
          <w:tcPr/>
          <w:p>
            <w:pPr>
              <w:pStyle w:val="Compact"/>
              <w:jc w:val="center"/>
            </w:pPr>
            <w:r>
              <w:t xml:space="preserve">✅</w:t>
            </w:r>
          </w:p>
        </w:tc>
        <w:tc>
          <w:tcPr/>
          <w:p>
            <w:pPr>
              <w:pStyle w:val="Compact"/>
              <w:jc w:val="left"/>
            </w:pPr>
            <w:r>
              <w:t xml:space="preserve">Age ≥ 45 eligibility criterion clearly stated</w:t>
            </w:r>
          </w:p>
        </w:tc>
      </w:tr>
      <w:tr>
        <w:tc>
          <w:tcPr/>
          <w:p>
            <w:pPr>
              <w:pStyle w:val="Compact"/>
              <w:jc w:val="center"/>
            </w:pPr>
            <w:r>
              <w:t xml:space="preserve">5c</w:t>
            </w:r>
          </w:p>
        </w:tc>
        <w:tc>
          <w:tcPr/>
          <w:p>
            <w:pPr>
              <w:pStyle w:val="Compact"/>
              <w:jc w:val="center"/>
            </w:pPr>
            <w:r>
              <w:t xml:space="preserve">✅</w:t>
            </w:r>
          </w:p>
        </w:tc>
        <w:tc>
          <w:tcPr/>
          <w:p>
            <w:pPr>
              <w:pStyle w:val="Compact"/>
              <w:jc w:val="left"/>
            </w:pPr>
            <w:r>
              <w:t xml:space="preserve">N/A — no treatments</w:t>
            </w:r>
          </w:p>
        </w:tc>
      </w:tr>
      <w:tr>
        <w:tc>
          <w:tcPr/>
          <w:p>
            <w:pPr>
              <w:pStyle w:val="Compact"/>
              <w:jc w:val="center"/>
            </w:pPr>
            <w:r>
              <w:t xml:space="preserve">6</w:t>
            </w:r>
          </w:p>
        </w:tc>
        <w:tc>
          <w:tcPr/>
          <w:p>
            <w:pPr>
              <w:pStyle w:val="Compact"/>
              <w:jc w:val="center"/>
            </w:pPr>
            <w:r>
              <w:t xml:space="preserve">✅</w:t>
            </w:r>
          </w:p>
        </w:tc>
        <w:tc>
          <w:tcPr/>
          <w:p>
            <w:pPr>
              <w:pStyle w:val="Compact"/>
              <w:jc w:val="left"/>
            </w:pPr>
            <w:r>
              <w:t xml:space="preserve">Binary outcome (PD vs HC) clearly defined with source of labels</w:t>
            </w:r>
          </w:p>
        </w:tc>
      </w:tr>
      <w:tr>
        <w:tc>
          <w:tcPr/>
          <w:p>
            <w:pPr>
              <w:pStyle w:val="Compact"/>
              <w:jc w:val="center"/>
            </w:pPr>
            <w:r>
              <w:t xml:space="preserve">7a</w:t>
            </w:r>
          </w:p>
        </w:tc>
        <w:tc>
          <w:tcPr/>
          <w:p>
            <w:pPr>
              <w:pStyle w:val="Compact"/>
              <w:jc w:val="center"/>
            </w:pPr>
            <w:r>
              <w:t xml:space="preserve">✅</w:t>
            </w:r>
          </w:p>
        </w:tc>
        <w:tc>
          <w:tcPr/>
          <w:p>
            <w:pPr>
              <w:pStyle w:val="Compact"/>
              <w:jc w:val="left"/>
            </w:pPr>
            <w:r>
              <w:t xml:space="preserve">All 4 predictors defined with extraction methodology</w:t>
            </w:r>
          </w:p>
        </w:tc>
      </w:tr>
      <w:tr>
        <w:tc>
          <w:tcPr/>
          <w:p>
            <w:pPr>
              <w:pStyle w:val="Compact"/>
              <w:jc w:val="center"/>
            </w:pPr>
            <w:r>
              <w:t xml:space="preserve">7b</w:t>
            </w:r>
          </w:p>
        </w:tc>
        <w:tc>
          <w:tcPr/>
          <w:p>
            <w:pPr>
              <w:pStyle w:val="Compact"/>
              <w:jc w:val="center"/>
            </w:pPr>
            <w:r>
              <w:t xml:space="preserve">✅</w:t>
            </w:r>
          </w:p>
        </w:tc>
        <w:tc>
          <w:tcPr/>
          <w:p>
            <w:pPr>
              <w:pStyle w:val="Compact"/>
              <w:jc w:val="left"/>
            </w:pPr>
            <w:r>
              <w:t xml:space="preserve">Complete-case approach; no partial missingness after extraction</w:t>
            </w:r>
          </w:p>
        </w:tc>
      </w:tr>
      <w:tr>
        <w:tc>
          <w:tcPr/>
          <w:p>
            <w:pPr>
              <w:pStyle w:val="Compact"/>
              <w:jc w:val="center"/>
            </w:pPr>
            <w:r>
              <w:t xml:space="preserve">7c</w:t>
            </w:r>
          </w:p>
        </w:tc>
        <w:tc>
          <w:tcPr/>
          <w:p>
            <w:pPr>
              <w:pStyle w:val="Compact"/>
              <w:jc w:val="center"/>
            </w:pPr>
            <w:r>
              <w:t xml:space="preserve">✅</w:t>
            </w:r>
          </w:p>
        </w:tc>
        <w:tc>
          <w:tcPr/>
          <w:p>
            <w:pPr>
              <w:pStyle w:val="Compact"/>
              <w:jc w:val="left"/>
            </w:pPr>
            <w:r>
              <w:t xml:space="preserve">Same frozen model applied zero-shot — explicitly stated</w:t>
            </w:r>
          </w:p>
        </w:tc>
      </w:tr>
      <w:tr>
        <w:tc>
          <w:tcPr/>
          <w:p>
            <w:pPr>
              <w:pStyle w:val="Compact"/>
              <w:jc w:val="center"/>
            </w:pPr>
            <w:r>
              <w:t xml:space="preserve">8</w:t>
            </w:r>
          </w:p>
        </w:tc>
        <w:tc>
          <w:tcPr/>
          <w:p>
            <w:pPr>
              <w:pStyle w:val="Compact"/>
              <w:jc w:val="center"/>
            </w:pPr>
            <w:r>
              <w:t xml:space="preserve">✅</w:t>
            </w:r>
          </w:p>
        </w:tc>
        <w:tc>
          <w:tcPr/>
          <w:p>
            <w:pPr>
              <w:pStyle w:val="Compact"/>
              <w:jc w:val="left"/>
            </w:pPr>
            <w:r>
              <w:t xml:space="preserve">Sample size rationale provided; consistent with literature</w:t>
            </w:r>
          </w:p>
        </w:tc>
      </w:tr>
      <w:tr>
        <w:tc>
          <w:tcPr/>
          <w:p>
            <w:pPr>
              <w:pStyle w:val="Compact"/>
              <w:jc w:val="center"/>
            </w:pPr>
            <w:r>
              <w:t xml:space="preserve">9</w:t>
            </w:r>
          </w:p>
        </w:tc>
        <w:tc>
          <w:tcPr/>
          <w:p>
            <w:pPr>
              <w:pStyle w:val="Compact"/>
              <w:jc w:val="center"/>
            </w:pPr>
            <w:r>
              <w:t xml:space="preserve">✅</w:t>
            </w:r>
          </w:p>
        </w:tc>
        <w:tc>
          <w:tcPr/>
          <w:p>
            <w:pPr>
              <w:pStyle w:val="Compact"/>
              <w:jc w:val="left"/>
            </w:pPr>
            <w:r>
              <w:t xml:space="preserve">Complete-case exclusion described</w:t>
            </w:r>
          </w:p>
        </w:tc>
      </w:tr>
      <w:tr>
        <w:tc>
          <w:tcPr/>
          <w:p>
            <w:pPr>
              <w:pStyle w:val="Compact"/>
              <w:jc w:val="center"/>
            </w:pPr>
            <w:r>
              <w:t xml:space="preserve">10a</w:t>
            </w:r>
          </w:p>
        </w:tc>
        <w:tc>
          <w:tcPr/>
          <w:p>
            <w:pPr>
              <w:pStyle w:val="Compact"/>
              <w:jc w:val="center"/>
            </w:pPr>
            <w:r>
              <w:t xml:space="preserve">✅</w:t>
            </w:r>
          </w:p>
        </w:tc>
        <w:tc>
          <w:tcPr/>
          <w:p>
            <w:pPr>
              <w:pStyle w:val="Compact"/>
              <w:jc w:val="left"/>
            </w:pPr>
            <w:r>
              <w:t xml:space="preserve">Pearson pruning + SMOTE + z-score (training fold only)</w:t>
            </w:r>
          </w:p>
        </w:tc>
      </w:tr>
      <w:tr>
        <w:tc>
          <w:tcPr/>
          <w:p>
            <w:pPr>
              <w:pStyle w:val="Compact"/>
              <w:jc w:val="center"/>
            </w:pPr>
            <w:r>
              <w:t xml:space="preserve">10b</w:t>
            </w:r>
          </w:p>
        </w:tc>
        <w:tc>
          <w:tcPr/>
          <w:p>
            <w:pPr>
              <w:pStyle w:val="Compact"/>
              <w:jc w:val="center"/>
            </w:pPr>
            <w:r>
              <w:t xml:space="preserve">✅</w:t>
            </w:r>
          </w:p>
        </w:tc>
        <w:tc>
          <w:tcPr/>
          <w:p>
            <w:pPr>
              <w:pStyle w:val="Compact"/>
              <w:jc w:val="left"/>
            </w:pPr>
            <w:r>
              <w:t xml:space="preserve">RandomForest + GridSearchCV + LOSO GroupKFold specified</w:t>
            </w:r>
          </w:p>
        </w:tc>
      </w:tr>
      <w:tr>
        <w:tc>
          <w:tcPr/>
          <w:p>
            <w:pPr>
              <w:pStyle w:val="Compact"/>
              <w:jc w:val="center"/>
            </w:pPr>
            <w:r>
              <w:t xml:space="preserve">10c</w:t>
            </w:r>
          </w:p>
        </w:tc>
        <w:tc>
          <w:tcPr/>
          <w:p>
            <w:pPr>
              <w:pStyle w:val="Compact"/>
              <w:jc w:val="center"/>
            </w:pPr>
            <w:r>
              <w:t xml:space="preserve">✅</w:t>
            </w:r>
          </w:p>
        </w:tc>
        <w:tc>
          <w:tcPr/>
          <w:p>
            <w:pPr>
              <w:pStyle w:val="Compact"/>
              <w:jc w:val="left"/>
            </w:pPr>
            <w:r>
              <w:t xml:space="preserve">No updating for validation — explicitly stated</w:t>
            </w:r>
          </w:p>
        </w:tc>
      </w:tr>
      <w:tr>
        <w:tc>
          <w:tcPr/>
          <w:p>
            <w:pPr>
              <w:pStyle w:val="Compact"/>
              <w:jc w:val="center"/>
            </w:pPr>
            <w:r>
              <w:t xml:space="preserve">10d</w:t>
            </w:r>
          </w:p>
        </w:tc>
        <w:tc>
          <w:tcPr/>
          <w:p>
            <w:pPr>
              <w:pStyle w:val="Compact"/>
              <w:jc w:val="center"/>
            </w:pPr>
            <w:r>
              <w:t xml:space="preserve">✅</w:t>
            </w:r>
          </w:p>
        </w:tc>
        <w:tc>
          <w:tcPr/>
          <w:p>
            <w:pPr>
              <w:pStyle w:val="Compact"/>
              <w:jc w:val="left"/>
            </w:pPr>
            <w:r>
              <w:t xml:space="preserve">AUC, Accuracy, Sensitivity, Specificity, DeLong’s Test</w:t>
            </w:r>
          </w:p>
        </w:tc>
      </w:tr>
      <w:tr>
        <w:tc>
          <w:tcPr/>
          <w:p>
            <w:pPr>
              <w:pStyle w:val="Compact"/>
              <w:jc w:val="center"/>
            </w:pPr>
            <w:r>
              <w:t xml:space="preserve">10e</w:t>
            </w:r>
          </w:p>
        </w:tc>
        <w:tc>
          <w:tcPr/>
          <w:p>
            <w:pPr>
              <w:pStyle w:val="Compact"/>
              <w:jc w:val="center"/>
            </w:pPr>
            <w:r>
              <w:t xml:space="preserve">✅</w:t>
            </w:r>
          </w:p>
        </w:tc>
        <w:tc>
          <w:tcPr/>
          <w:p>
            <w:pPr>
              <w:pStyle w:val="Compact"/>
              <w:jc w:val="left"/>
            </w:pPr>
            <w:r>
              <w:t xml:space="preserve">N/A — no updating done</w:t>
            </w:r>
          </w:p>
        </w:tc>
      </w:tr>
      <w:tr>
        <w:tc>
          <w:tcPr/>
          <w:p>
            <w:pPr>
              <w:pStyle w:val="Compact"/>
              <w:jc w:val="center"/>
            </w:pPr>
            <w:r>
              <w:t xml:space="preserve">11</w:t>
            </w:r>
          </w:p>
        </w:tc>
        <w:tc>
          <w:tcPr/>
          <w:p>
            <w:pPr>
              <w:pStyle w:val="Compact"/>
              <w:jc w:val="center"/>
            </w:pPr>
            <w:r>
              <w:t xml:space="preserve">✅</w:t>
            </w:r>
          </w:p>
        </w:tc>
        <w:tc>
          <w:tcPr/>
          <w:p>
            <w:pPr>
              <w:pStyle w:val="Compact"/>
              <w:jc w:val="left"/>
            </w:pPr>
            <w:r>
              <w:t xml:space="preserve">N/A — binary output, no risk strata</w:t>
            </w:r>
          </w:p>
        </w:tc>
      </w:tr>
      <w:tr>
        <w:tc>
          <w:tcPr/>
          <w:p>
            <w:pPr>
              <w:pStyle w:val="Compact"/>
              <w:jc w:val="center"/>
            </w:pPr>
            <w:r>
              <w:t xml:space="preserve">12</w:t>
            </w:r>
          </w:p>
        </w:tc>
        <w:tc>
          <w:tcPr/>
          <w:p>
            <w:pPr>
              <w:pStyle w:val="Compact"/>
              <w:jc w:val="center"/>
            </w:pPr>
            <w:r>
              <w:t xml:space="preserve">✅</w:t>
            </w:r>
          </w:p>
        </w:tc>
        <w:tc>
          <w:tcPr/>
          <w:p>
            <w:pPr>
              <w:pStyle w:val="Compact"/>
              <w:jc w:val="left"/>
            </w:pPr>
            <w:r>
              <w:t xml:space="preserve">Table comparing development vs. validation data dimensions</w:t>
            </w:r>
          </w:p>
        </w:tc>
      </w:tr>
      <w:tr>
        <w:tc>
          <w:tcPr/>
          <w:p>
            <w:pPr>
              <w:pStyle w:val="Compact"/>
              <w:jc w:val="center"/>
            </w:pPr>
            <w:r>
              <w:t xml:space="preserve">13a</w:t>
            </w:r>
          </w:p>
        </w:tc>
        <w:tc>
          <w:tcPr/>
          <w:p>
            <w:pPr>
              <w:pStyle w:val="Compact"/>
              <w:jc w:val="center"/>
            </w:pPr>
            <w:r>
              <w:t xml:space="preserve">✅</w:t>
            </w:r>
          </w:p>
        </w:tc>
        <w:tc>
          <w:tcPr/>
          <w:p>
            <w:pPr>
              <w:pStyle w:val="Compact"/>
              <w:jc w:val="left"/>
            </w:pPr>
            <w:r>
              <w:t xml:space="preserve">Participant flow described (mPower + MDVR-KCL)</w:t>
            </w:r>
          </w:p>
        </w:tc>
      </w:tr>
      <w:tr>
        <w:tc>
          <w:tcPr/>
          <w:p>
            <w:pPr>
              <w:pStyle w:val="Compact"/>
              <w:jc w:val="center"/>
            </w:pPr>
            <w:r>
              <w:t xml:space="preserve">13b</w:t>
            </w:r>
          </w:p>
        </w:tc>
        <w:tc>
          <w:tcPr/>
          <w:p>
            <w:pPr>
              <w:pStyle w:val="Compact"/>
              <w:jc w:val="center"/>
            </w:pPr>
            <w:r>
              <w:t xml:space="preserve">✅</w:t>
            </w:r>
          </w:p>
        </w:tc>
        <w:tc>
          <w:tcPr/>
          <w:p>
            <w:pPr>
              <w:pStyle w:val="Compact"/>
              <w:jc w:val="left"/>
            </w:pPr>
            <w:r>
              <w:t xml:space="preserve">Table 1: demographics with missingness noted</w:t>
            </w:r>
          </w:p>
        </w:tc>
      </w:tr>
      <w:tr>
        <w:tc>
          <w:tcPr/>
          <w:p>
            <w:pPr>
              <w:pStyle w:val="Compact"/>
              <w:jc w:val="center"/>
            </w:pPr>
            <w:r>
              <w:t xml:space="preserve">13c</w:t>
            </w:r>
          </w:p>
        </w:tc>
        <w:tc>
          <w:tcPr/>
          <w:p>
            <w:pPr>
              <w:pStyle w:val="Compact"/>
              <w:jc w:val="center"/>
            </w:pPr>
            <w:r>
              <w:t xml:space="preserve">✅</w:t>
            </w:r>
          </w:p>
        </w:tc>
        <w:tc>
          <w:tcPr/>
          <w:p>
            <w:pPr>
              <w:pStyle w:val="Compact"/>
              <w:jc w:val="left"/>
            </w:pPr>
            <w:r>
              <w:t xml:space="preserve">Development vs. validation data comparison in §2.6</w:t>
            </w:r>
          </w:p>
        </w:tc>
      </w:tr>
      <w:tr>
        <w:tc>
          <w:tcPr/>
          <w:p>
            <w:pPr>
              <w:pStyle w:val="Compact"/>
              <w:jc w:val="center"/>
            </w:pPr>
            <w:r>
              <w:t xml:space="preserve">14a</w:t>
            </w:r>
          </w:p>
        </w:tc>
        <w:tc>
          <w:tcPr/>
          <w:p>
            <w:pPr>
              <w:pStyle w:val="Compact"/>
              <w:jc w:val="center"/>
            </w:pPr>
            <w:r>
              <w:t xml:space="preserve">✅</w:t>
            </w:r>
          </w:p>
        </w:tc>
        <w:tc>
          <w:tcPr/>
          <w:p>
            <w:pPr>
              <w:pStyle w:val="Compact"/>
              <w:jc w:val="left"/>
            </w:pPr>
            <w:r>
              <w:t xml:space="preserve">N=120, 60 PD / 60 HC specified</w:t>
            </w:r>
          </w:p>
        </w:tc>
      </w:tr>
      <w:tr>
        <w:tc>
          <w:tcPr/>
          <w:p>
            <w:pPr>
              <w:pStyle w:val="Compact"/>
              <w:jc w:val="center"/>
            </w:pPr>
            <w:r>
              <w:t xml:space="preserve">14b</w:t>
            </w:r>
          </w:p>
        </w:tc>
        <w:tc>
          <w:tcPr/>
          <w:p>
            <w:pPr>
              <w:pStyle w:val="Compact"/>
              <w:jc w:val="center"/>
            </w:pPr>
            <w:r>
              <w:t xml:space="preserve">✅</w:t>
            </w:r>
          </w:p>
        </w:tc>
        <w:tc>
          <w:tcPr/>
          <w:p>
            <w:pPr>
              <w:pStyle w:val="Compact"/>
              <w:jc w:val="left"/>
            </w:pPr>
            <w:r>
              <w:t xml:space="preserve">SHAP importance as feature-outcome association</w:t>
            </w:r>
          </w:p>
        </w:tc>
      </w:tr>
      <w:tr>
        <w:tc>
          <w:tcPr/>
          <w:p>
            <w:pPr>
              <w:pStyle w:val="Compact"/>
              <w:jc w:val="center"/>
            </w:pPr>
            <w:r>
              <w:t xml:space="preserve">15a</w:t>
            </w:r>
          </w:p>
        </w:tc>
        <w:tc>
          <w:tcPr/>
          <w:p>
            <w:pPr>
              <w:pStyle w:val="Compact"/>
              <w:jc w:val="center"/>
            </w:pPr>
            <w:r>
              <w:t xml:space="preserve">✅</w:t>
            </w:r>
          </w:p>
        </w:tc>
        <w:tc>
          <w:tcPr/>
          <w:p>
            <w:pPr>
              <w:pStyle w:val="Compact"/>
              <w:jc w:val="left"/>
            </w:pPr>
            <w:r>
              <w:t xml:space="preserve">Full model in §4.4 + code repository</w:t>
            </w:r>
          </w:p>
        </w:tc>
      </w:tr>
      <w:tr>
        <w:tc>
          <w:tcPr/>
          <w:p>
            <w:pPr>
              <w:pStyle w:val="Compact"/>
              <w:jc w:val="center"/>
            </w:pPr>
            <w:r>
              <w:t xml:space="preserve">15b</w:t>
            </w:r>
          </w:p>
        </w:tc>
        <w:tc>
          <w:tcPr/>
          <w:p>
            <w:pPr>
              <w:pStyle w:val="Compact"/>
              <w:jc w:val="center"/>
            </w:pPr>
            <w:r>
              <w:t xml:space="preserve">✅</w:t>
            </w:r>
          </w:p>
        </w:tc>
        <w:tc>
          <w:tcPr/>
          <w:p>
            <w:pPr>
              <w:pStyle w:val="Compact"/>
              <w:jc w:val="left"/>
            </w:pPr>
            <w:r>
              <w:t xml:space="preserve">Usage described in §2.5 and README</w:t>
            </w:r>
          </w:p>
        </w:tc>
      </w:tr>
      <w:tr>
        <w:tc>
          <w:tcPr/>
          <w:p>
            <w:pPr>
              <w:pStyle w:val="Compact"/>
              <w:jc w:val="center"/>
            </w:pPr>
            <w:r>
              <w:t xml:space="preserve">16</w:t>
            </w:r>
          </w:p>
        </w:tc>
        <w:tc>
          <w:tcPr/>
          <w:p>
            <w:pPr>
              <w:pStyle w:val="Compact"/>
              <w:jc w:val="center"/>
            </w:pPr>
            <w:r>
              <w:t xml:space="preserve">✅</w:t>
            </w:r>
          </w:p>
        </w:tc>
        <w:tc>
          <w:tcPr/>
          <w:p>
            <w:pPr>
              <w:pStyle w:val="Compact"/>
              <w:jc w:val="left"/>
            </w:pPr>
            <w:r>
              <w:t xml:space="preserve">AUC 0.700 [0.606–0.793] + full ablation Table 3 with CIs</w:t>
            </w:r>
          </w:p>
        </w:tc>
      </w:tr>
      <w:tr>
        <w:tc>
          <w:tcPr/>
          <w:p>
            <w:pPr>
              <w:pStyle w:val="Compact"/>
              <w:jc w:val="center"/>
            </w:pPr>
            <w:r>
              <w:t xml:space="preserve">17</w:t>
            </w:r>
          </w:p>
        </w:tc>
        <w:tc>
          <w:tcPr/>
          <w:p>
            <w:pPr>
              <w:pStyle w:val="Compact"/>
              <w:jc w:val="center"/>
            </w:pPr>
            <w:r>
              <w:t xml:space="preserve">✅</w:t>
            </w:r>
          </w:p>
        </w:tc>
        <w:tc>
          <w:tcPr/>
          <w:p>
            <w:pPr>
              <w:pStyle w:val="Compact"/>
              <w:jc w:val="left"/>
            </w:pPr>
            <w:r>
              <w:t xml:space="preserve">N/A — no model updating done</w:t>
            </w:r>
          </w:p>
        </w:tc>
      </w:tr>
      <w:tr>
        <w:tc>
          <w:tcPr/>
          <w:p>
            <w:pPr>
              <w:pStyle w:val="Compact"/>
              <w:jc w:val="center"/>
            </w:pPr>
            <w:r>
              <w:t xml:space="preserve">18</w:t>
            </w:r>
          </w:p>
        </w:tc>
        <w:tc>
          <w:tcPr/>
          <w:p>
            <w:pPr>
              <w:pStyle w:val="Compact"/>
              <w:jc w:val="center"/>
            </w:pPr>
            <w:r>
              <w:t xml:space="preserve">✅</w:t>
            </w:r>
          </w:p>
        </w:tc>
        <w:tc>
          <w:tcPr/>
          <w:p>
            <w:pPr>
              <w:pStyle w:val="Compact"/>
              <w:jc w:val="left"/>
            </w:pPr>
            <w:r>
              <w:t xml:space="preserve">6 limitations discussed in §3</w:t>
            </w:r>
          </w:p>
        </w:tc>
      </w:tr>
      <w:tr>
        <w:tc>
          <w:tcPr/>
          <w:p>
            <w:pPr>
              <w:pStyle w:val="Compact"/>
              <w:jc w:val="center"/>
            </w:pPr>
            <w:r>
              <w:t xml:space="preserve">19a</w:t>
            </w:r>
          </w:p>
        </w:tc>
        <w:tc>
          <w:tcPr/>
          <w:p>
            <w:pPr>
              <w:pStyle w:val="Compact"/>
              <w:jc w:val="center"/>
            </w:pPr>
            <w:r>
              <w:t xml:space="preserve">✅</w:t>
            </w:r>
          </w:p>
        </w:tc>
        <w:tc>
          <w:tcPr/>
          <w:p>
            <w:pPr>
              <w:pStyle w:val="Compact"/>
              <w:jc w:val="left"/>
            </w:pPr>
            <w:r>
              <w:t xml:space="preserve">Validation vs. development gap discussed in §2.6</w:t>
            </w:r>
          </w:p>
        </w:tc>
      </w:tr>
      <w:tr>
        <w:tc>
          <w:tcPr/>
          <w:p>
            <w:pPr>
              <w:pStyle w:val="Compact"/>
              <w:jc w:val="center"/>
            </w:pPr>
            <w:r>
              <w:t xml:space="preserve">19b</w:t>
            </w:r>
          </w:p>
        </w:tc>
        <w:tc>
          <w:tcPr/>
          <w:p>
            <w:pPr>
              <w:pStyle w:val="Compact"/>
              <w:jc w:val="center"/>
            </w:pPr>
            <w:r>
              <w:t xml:space="preserve">✅</w:t>
            </w:r>
          </w:p>
        </w:tc>
        <w:tc>
          <w:tcPr/>
          <w:p>
            <w:pPr>
              <w:pStyle w:val="Compact"/>
              <w:jc w:val="left"/>
            </w:pPr>
            <w:r>
              <w:t xml:space="preserve">Overall interpretation in §3 vs. Tsanas et al., Wroge et al.</w:t>
            </w:r>
          </w:p>
        </w:tc>
      </w:tr>
      <w:tr>
        <w:tc>
          <w:tcPr/>
          <w:p>
            <w:pPr>
              <w:pStyle w:val="Compact"/>
              <w:jc w:val="center"/>
            </w:pPr>
            <w:r>
              <w:t xml:space="preserve">20</w:t>
            </w:r>
          </w:p>
        </w:tc>
        <w:tc>
          <w:tcPr/>
          <w:p>
            <w:pPr>
              <w:pStyle w:val="Compact"/>
              <w:jc w:val="center"/>
            </w:pPr>
            <w:r>
              <w:t xml:space="preserve">✅</w:t>
            </w:r>
          </w:p>
        </w:tc>
        <w:tc>
          <w:tcPr/>
          <w:p>
            <w:pPr>
              <w:pStyle w:val="Compact"/>
              <w:jc w:val="left"/>
            </w:pPr>
            <w:r>
              <w:t xml:space="preserve">Clinical use pathway + RCT call in §2.5 and §3</w:t>
            </w:r>
          </w:p>
        </w:tc>
      </w:tr>
      <w:tr>
        <w:tc>
          <w:tcPr/>
          <w:p>
            <w:pPr>
              <w:pStyle w:val="Compact"/>
              <w:jc w:val="center"/>
            </w:pPr>
            <w:r>
              <w:t xml:space="preserve">21</w:t>
            </w:r>
          </w:p>
        </w:tc>
        <w:tc>
          <w:tcPr/>
          <w:p>
            <w:pPr>
              <w:pStyle w:val="Compact"/>
              <w:jc w:val="center"/>
            </w:pPr>
            <w:r>
              <w:t xml:space="preserve">✅</w:t>
            </w:r>
          </w:p>
        </w:tc>
        <w:tc>
          <w:tcPr/>
          <w:p>
            <w:pPr>
              <w:pStyle w:val="Compact"/>
              <w:jc w:val="left"/>
            </w:pPr>
            <w:r>
              <w:t xml:space="preserve">Data (Synapse), code (GitHub), features (on request)</w:t>
            </w:r>
          </w:p>
        </w:tc>
      </w:tr>
      <w:tr>
        <w:tc>
          <w:tcPr/>
          <w:p>
            <w:pPr>
              <w:pStyle w:val="Compact"/>
              <w:jc w:val="center"/>
            </w:pPr>
            <w:r>
              <w:t xml:space="preserve">22</w:t>
            </w:r>
          </w:p>
        </w:tc>
        <w:tc>
          <w:tcPr/>
          <w:p>
            <w:pPr>
              <w:pStyle w:val="Compact"/>
              <w:jc w:val="center"/>
            </w:pPr>
            <w:r>
              <w:t xml:space="preserve">✅</w:t>
            </w:r>
          </w:p>
        </w:tc>
        <w:tc>
          <w:tcPr/>
          <w:p>
            <w:pPr>
              <w:pStyle w:val="Compact"/>
              <w:jc w:val="left"/>
            </w:pPr>
            <w:r>
              <w:t xml:space="preserve">No funding</w:t>
            </w:r>
          </w:p>
        </w:tc>
      </w:tr>
    </w:tbl>
    <w:p>
      <w:pPr>
        <w:pStyle w:val="BodyText"/>
      </w:pPr>
      <w:r>
        <w:rPr>
          <w:b/>
          <w:bCs/>
        </w:rPr>
        <w:t xml:space="preserve">Overall TRIPOD compliance: 22/22 items addressed ✅</w:t>
      </w:r>
    </w:p>
    <w:p>
      <w:pPr>
        <w:pStyle w:val="BlockText"/>
      </w:pPr>
      <w:r>
        <w:rPr>
          <w:i/>
          <w:iCs/>
        </w:rPr>
        <w:t xml:space="preserve">Note: Items 5c, 10e, 11, and 17 are reported as</w:t>
      </w:r>
      <w:r>
        <w:rPr>
          <w:i/>
          <w:iCs/>
        </w:rPr>
        <w:t xml:space="preserve"> </w:t>
      </w:r>
      <w:r>
        <w:rPr>
          <w:i/>
          <w:iCs/>
        </w:rPr>
        <w:t xml:space="preserve">“</w:t>
      </w:r>
      <w:r>
        <w:rPr>
          <w:i/>
          <w:iCs/>
        </w:rPr>
        <w:t xml:space="preserve">N/A</w:t>
      </w:r>
      <w:r>
        <w:rPr>
          <w:i/>
          <w:iCs/>
        </w:rPr>
        <w:t xml:space="preserve">”</w:t>
      </w:r>
      <w:r>
        <w:rPr>
          <w:i/>
          <w:iCs/>
        </w:rPr>
        <w:t xml:space="preserve"> </w:t>
      </w:r>
      <w:r>
        <w:rPr>
          <w:i/>
          <w:iCs/>
        </w:rPr>
        <w:t xml:space="preserve">because they are not applicable to this study design. N/A counts as compliant per TRIPOD guidelines.</w:t>
      </w:r>
    </w:p>
    <w:p>
      <w:r>
        <w:pict>
          <v:rect style="width:0;height:1.5pt" o:hralign="center" o:hrstd="t" o:hr="t"/>
        </w:pict>
      </w:r>
    </w:p>
    <w:p>
      <w:pPr>
        <w:pStyle w:val="FirstParagraph"/>
      </w:pPr>
      <w:r>
        <w:rPr>
          <w:i/>
          <w:iCs/>
        </w:rPr>
        <w:t xml:space="preserve">This checklist should be submitted as a supplementary document accompanying the manuscript. Page numbers in the</w:t>
      </w:r>
      <w:r>
        <w:rPr>
          <w:i/>
          <w:iCs/>
        </w:rPr>
        <w:t xml:space="preserve"> </w:t>
      </w:r>
      <w:r>
        <w:rPr>
          <w:i/>
          <w:iCs/>
        </w:rPr>
        <w:t xml:space="preserve">“</w:t>
      </w:r>
      <w:r>
        <w:rPr>
          <w:i/>
          <w:iCs/>
        </w:rPr>
        <w:t xml:space="preserve">Reported on Page</w:t>
      </w:r>
      <w:r>
        <w:rPr>
          <w:i/>
          <w:iCs/>
        </w:rPr>
        <w:t xml:space="preserve">”</w:t>
      </w:r>
      <w:r>
        <w:rPr>
          <w:i/>
          <w:iCs/>
        </w:rPr>
        <w:t xml:space="preserve"> </w:t>
      </w:r>
      <w:r>
        <w:rPr>
          <w:i/>
          <w:iCs/>
        </w:rPr>
        <w:t xml:space="preserve">column should be updated to match the final formatted manuscript before journal submission.</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2026-04-27T08:17:48Z</dcterms:created>
  <dcterms:modified xsi:type="dcterms:W3CDTF">2026-04-27T08:17:48Z</dcterms:modified>
</cp:coreProperties>
</file>

<file path=docProps/custom.xml><?xml version="1.0" encoding="utf-8"?>
<Properties xmlns="http://schemas.openxmlformats.org/officeDocument/2006/custom-properties" xmlns:vt="http://schemas.openxmlformats.org/officeDocument/2006/docPropsVTypes"/>
</file>