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5DA10" w14:textId="77777777" w:rsidR="00360A97" w:rsidRDefault="00000000">
      <w:pPr>
        <w:pStyle w:val="Title"/>
        <w:jc w:val="both"/>
      </w:pPr>
      <w:r>
        <w:rPr>
          <w:rFonts w:ascii="Times New Roman" w:hAnsi="Times New Roman"/>
          <w:sz w:val="20"/>
        </w:rPr>
        <w:t>Wavelet-Anchored Cross-Attention Fusion with Edge Knowledge Distillation for Robust Parkinson’s Disease Acoustic Biomarker Analysis</w:t>
      </w:r>
    </w:p>
    <w:p w14:paraId="7FCB6F2D" w14:textId="77777777" w:rsidR="00360A97" w:rsidRDefault="00000000">
      <w:pPr>
        <w:pStyle w:val="Heading1"/>
      </w:pPr>
      <w:bookmarkStart w:id="0" w:name="X60abf61d33b5477d783900746a88c4d06742c77"/>
      <w:r>
        <w:rPr>
          <w:rFonts w:ascii="Times New Roman" w:hAnsi="Times New Roman"/>
          <w:b/>
          <w:sz w:val="24"/>
        </w:rPr>
        <w:t>Wavelet-Anchored Cross-Attention Fusion with Edge Knowledge Distillation for Robust Parkinson’s Disease Acoustic Biomarker Analysis</w:t>
      </w:r>
    </w:p>
    <w:p w14:paraId="3A75099C" w14:textId="77777777" w:rsidR="00360A97" w:rsidRDefault="00000000">
      <w:pPr>
        <w:pStyle w:val="Heading2"/>
      </w:pPr>
      <w:bookmarkStart w:id="1" w:name="abstract"/>
      <w:r>
        <w:rPr>
          <w:rFonts w:ascii="Times New Roman" w:hAnsi="Times New Roman"/>
          <w:b/>
          <w:sz w:val="22"/>
        </w:rPr>
        <w:t>Abstract</w:t>
      </w:r>
    </w:p>
    <w:p w14:paraId="54501B87" w14:textId="77777777" w:rsidR="00F56E19" w:rsidRDefault="00000000">
      <w:pPr>
        <w:pStyle w:val="FirstParagraph"/>
        <w:spacing w:before="0" w:after="80"/>
        <w:jc w:val="both"/>
        <w:rPr>
          <w:rFonts w:ascii="Times New Roman" w:hAnsi="Times New Roman"/>
          <w:sz w:val="20"/>
        </w:rPr>
      </w:pPr>
      <w:r w:rsidRPr="00F56E19">
        <w:rPr>
          <w:rFonts w:ascii="Times New Roman" w:hAnsi="Times New Roman"/>
          <w:b/>
          <w:bCs/>
          <w:sz w:val="20"/>
        </w:rPr>
        <w:t>Background and Objective:</w:t>
      </w:r>
      <w:r w:rsidRPr="00F56E19">
        <w:rPr>
          <w:rFonts w:ascii="Times New Roman" w:hAnsi="Times New Roman"/>
          <w:sz w:val="20"/>
        </w:rPr>
        <w:t xml:space="preserve"> Continuous remote monitoring of Parkinson’s Disease (PD) via mobile health (mHealth) telemetry remains clinically impractical due to unconstrained acoustic noise, demographic confounding, and a critical gap between raw model predictions and actionable clinical output. This paper presents MedGemma-PD, an end-to-end, edge-deployable acoustic pipeline engineered for robust PD detection from uncontrolled smartphone</w:t>
      </w:r>
      <w:r w:rsidR="00F56E19">
        <w:rPr>
          <w:rFonts w:ascii="Times New Roman" w:hAnsi="Times New Roman"/>
          <w:sz w:val="20"/>
        </w:rPr>
        <w:t xml:space="preserve"> </w:t>
      </w:r>
      <w:r w:rsidRPr="00F56E19">
        <w:rPr>
          <w:rFonts w:ascii="Times New Roman" w:hAnsi="Times New Roman"/>
          <w:sz w:val="20"/>
        </w:rPr>
        <w:t>recordings.</w:t>
      </w:r>
    </w:p>
    <w:p w14:paraId="4954AC94" w14:textId="1416C637" w:rsidR="00E116B8" w:rsidRDefault="00000000">
      <w:pPr>
        <w:pStyle w:val="FirstParagraph"/>
        <w:spacing w:before="0" w:after="80"/>
        <w:jc w:val="both"/>
        <w:rPr>
          <w:rFonts w:ascii="Times New Roman" w:hAnsi="Times New Roman"/>
          <w:sz w:val="20"/>
        </w:rPr>
      </w:pPr>
      <w:r w:rsidRPr="00F56E19">
        <w:rPr>
          <w:rFonts w:ascii="Times New Roman" w:hAnsi="Times New Roman"/>
          <w:b/>
          <w:bCs/>
          <w:sz w:val="20"/>
        </w:rPr>
        <w:t>Methods:</w:t>
      </w:r>
      <w:r w:rsidRPr="00F56E19">
        <w:rPr>
          <w:rFonts w:ascii="Times New Roman" w:hAnsi="Times New Roman"/>
          <w:sz w:val="20"/>
        </w:rPr>
        <w:t xml:space="preserve"> Using the mPower longitudinal cohort (N=120, post age-gating ≥45 years), we applied a Tunable Q-Factor Wavelet Transform (TQWT; Q=3, r=3, J=12) to isolate laryngeal perturbation features from ambient noise. A novel Cross-Attention Fusion module anchors frozen wav2vec 2.0 embeddings to deterministic physiological features—Jitter, Shimmer, HNR, and F0std—to counter overfitting on small clinical datasets. The full model was compressed via knowledge distillation (T=4.0, α=0.7) into a 287K-parameter 1D-CNN edge student. An on-device, 4-bit quantized Gemma-2b agent synthesizes SHAP-driven outputs into structured clinical narratives. Evaluation employed 5-fold subject-stratified GroupKFold cross-validation to prevent data leakage.</w:t>
      </w:r>
    </w:p>
    <w:p w14:paraId="1EEC19BF" w14:textId="506D81BB" w:rsidR="00F56E19" w:rsidRDefault="00000000">
      <w:pPr>
        <w:pStyle w:val="FirstParagraph"/>
        <w:spacing w:before="0" w:after="80"/>
        <w:jc w:val="both"/>
        <w:rPr>
          <w:rFonts w:ascii="Times New Roman" w:hAnsi="Times New Roman"/>
          <w:sz w:val="20"/>
        </w:rPr>
      </w:pPr>
      <w:r w:rsidRPr="00F56E19">
        <w:rPr>
          <w:rFonts w:ascii="Times New Roman" w:hAnsi="Times New Roman"/>
          <w:b/>
          <w:bCs/>
          <w:sz w:val="20"/>
        </w:rPr>
        <w:t>Results:</w:t>
      </w:r>
      <w:r w:rsidRPr="00F56E19">
        <w:rPr>
          <w:rFonts w:ascii="Times New Roman" w:hAnsi="Times New Roman"/>
          <w:sz w:val="20"/>
        </w:rPr>
        <w:t xml:space="preserve"> The TQWT-denoised physiological pipeline achieved a peak AUC-ROC of 0.700 [95% CI: 0.606–0.793], significantly outperforming full neural fine-tuning (AUC: 0.502) and MFCC baselines (AUC: 0.332), both of which collapsed under real-world noise. The edge student achieved 31.9 ± 25.5 ms CPU inference latency with a 1.1 MB footprint, representing a &gt;370× compression over the teacher model. LLM-generated clinical narratives scored 4.8/5.0 for factual accuracy with excellent inter-rater agreement (Cohen’s κ = 0.88).</w:t>
      </w:r>
    </w:p>
    <w:p w14:paraId="36FE6DAE" w14:textId="48BEF94E" w:rsidR="00360A97" w:rsidRDefault="00000000">
      <w:pPr>
        <w:pStyle w:val="FirstParagraph"/>
        <w:spacing w:before="0" w:after="80"/>
        <w:jc w:val="both"/>
        <w:rPr>
          <w:rFonts w:ascii="Times New Roman" w:hAnsi="Times New Roman"/>
        </w:rPr>
      </w:pPr>
      <w:r w:rsidRPr="00F56E19">
        <w:rPr>
          <w:rFonts w:ascii="Times New Roman" w:hAnsi="Times New Roman"/>
          <w:b/>
          <w:bCs/>
          <w:sz w:val="20"/>
        </w:rPr>
        <w:t>Conclusions:</w:t>
      </w:r>
      <w:r w:rsidRPr="00F56E19">
        <w:rPr>
          <w:rFonts w:ascii="Times New Roman" w:hAnsi="Times New Roman"/>
          <w:sz w:val="20"/>
        </w:rPr>
        <w:t xml:space="preserve"> </w:t>
      </w:r>
      <w:proofErr w:type="spellStart"/>
      <w:r w:rsidRPr="00F56E19">
        <w:rPr>
          <w:rFonts w:ascii="Times New Roman" w:hAnsi="Times New Roman"/>
          <w:sz w:val="20"/>
        </w:rPr>
        <w:t>MedGemma</w:t>
      </w:r>
      <w:proofErr w:type="spellEnd"/>
      <w:r w:rsidRPr="00F56E19">
        <w:rPr>
          <w:rFonts w:ascii="Times New Roman" w:hAnsi="Times New Roman"/>
          <w:sz w:val="20"/>
        </w:rPr>
        <w:t>-PD demonstrates that physiologically-grounded, noise-resistant feature engineering outperforms deep learning in unconstrained mHealth settings. The framework delivers an edge-deployable, HIPAA-aligned pipeline that bridges acoustic telemetry and clinical decision support for scalable PD telemonitoring.</w:t>
      </w:r>
      <w:r w:rsidR="00F56E19">
        <w:rPr>
          <w:rFonts w:ascii="Times New Roman" w:hAnsi="Times New Roman"/>
          <w:sz w:val="20"/>
        </w:rPr>
        <w:t xml:space="preserve"> </w:t>
      </w:r>
      <m:oMath>
        <m:r>
          <w:rPr>
            <w:rFonts w:ascii="Cambria Math" w:hAnsi="Cambria Math"/>
          </w:rPr>
          <m:t>N</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45Q</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12T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0.7</m:t>
        </m:r>
      </m:oMath>
    </w:p>
    <w:p w14:paraId="7CDB1503" w14:textId="77777777" w:rsidR="00E116B8" w:rsidRDefault="00E116B8">
      <w:pPr>
        <w:pStyle w:val="BodyText"/>
        <w:spacing w:before="0" w:after="80"/>
        <w:jc w:val="both"/>
      </w:pPr>
    </w:p>
    <w:p w14:paraId="59C2750A" w14:textId="616F108E" w:rsidR="00360A97" w:rsidRDefault="00000000">
      <w:pPr>
        <w:pStyle w:val="BodyText"/>
        <w:spacing w:before="0" w:after="80"/>
        <w:jc w:val="both"/>
      </w:pPr>
      <w:r>
        <w:rPr>
          <w:rFonts w:ascii="Times New Roman" w:hAnsi="Times New Roman"/>
          <w:b/>
          <w:bCs/>
          <w:sz w:val="20"/>
        </w:rPr>
        <w:t>Keywords:</w:t>
      </w:r>
      <w:r>
        <w:rPr>
          <w:rFonts w:ascii="Times New Roman" w:hAnsi="Times New Roman"/>
          <w:sz w:val="20"/>
        </w:rPr>
        <w:t xml:space="preserve"> Parkinson’s Disease; Speech Biomarkers; Mobile Health; Edge Intelligence; Knowledge Distillation; Explainable AI; Cross-Attention Fusion; Tunable Q-Factor Wavelet Transform; Dysarthria Detection; mHealth Telemetry</w:t>
      </w:r>
    </w:p>
    <w:p w14:paraId="1410EFC1" w14:textId="77777777" w:rsidR="00360A97" w:rsidRDefault="00000000">
      <w:pPr>
        <w:spacing w:after="80"/>
        <w:jc w:val="both"/>
      </w:pPr>
      <w:r>
        <w:rPr>
          <w:rFonts w:ascii="Times New Roman" w:hAnsi="Times New Roman"/>
          <w:sz w:val="20"/>
        </w:rPr>
        <w:pict w14:anchorId="70DA4ADF">
          <v:rect id="_x0000_i1025" style="width:0;height:1.5pt" o:hralign="center" o:hrstd="t" o:hr="t"/>
        </w:pict>
      </w:r>
    </w:p>
    <w:p w14:paraId="68CA80E6" w14:textId="77777777" w:rsidR="00360A97" w:rsidRDefault="00000000">
      <w:pPr>
        <w:pStyle w:val="Heading2"/>
      </w:pPr>
      <w:bookmarkStart w:id="2" w:name="introduction"/>
      <w:bookmarkEnd w:id="1"/>
      <w:r>
        <w:rPr>
          <w:rFonts w:ascii="Times New Roman" w:hAnsi="Times New Roman"/>
          <w:b/>
          <w:sz w:val="22"/>
        </w:rPr>
        <w:t>1. Introduction</w:t>
      </w:r>
    </w:p>
    <w:p w14:paraId="3BBFE3D4" w14:textId="77777777" w:rsidR="00360A97" w:rsidRDefault="00000000">
      <w:pPr>
        <w:pStyle w:val="FirstParagraph"/>
        <w:spacing w:before="0" w:after="80"/>
        <w:jc w:val="both"/>
      </w:pPr>
      <w:r>
        <w:rPr>
          <w:rFonts w:ascii="Times New Roman" w:hAnsi="Times New Roman"/>
          <w:sz w:val="20"/>
        </w:rPr>
        <w:t>Continuous, objective, and non-invasive monitoring of Parkinson’s Disease (PD) progression represents one of the most critical and unmet challenges in modern neuro-engineering and medical informatics. Parkinson’s Disease is a progressive neurodegenerative disorder characterized by the deterioration of dopaminergic neurons in the substantia nigra. Long before gross motor symptoms such as resting tremors or postural instability become clinically dominant, early-stage PD manifests symptomatically through subtle, systemic physiological degradations. Foremost among these early indicators is the loss of precise laryngeal muscle control and respiratory coordination, a condition clinically classified as hypokinetic dysarthria [1]. This condition alters the fundamental acoustics of phonation, introducing measurable amplitude and frequency perturbations during speech. However, the prevailing clinical diagnostic standard—the Movement Disorder Society-Sponsored Revision of the Unified Parkinson’s Disease Rating Scale (MDS-UPDRS)—remains inherently episodic. It requires intensive specialist resources, necessitates physically demanding in-clinic visits, and is intrinsically subject to high inter-rater variability and subjective clinical interpretation.</w:t>
      </w:r>
    </w:p>
    <w:p w14:paraId="4B94018C" w14:textId="77777777" w:rsidR="00360A97" w:rsidRDefault="00000000">
      <w:pPr>
        <w:pStyle w:val="BodyText"/>
        <w:spacing w:before="0" w:after="80"/>
        <w:jc w:val="both"/>
      </w:pPr>
      <w:r>
        <w:rPr>
          <w:rFonts w:ascii="Times New Roman" w:hAnsi="Times New Roman"/>
          <w:sz w:val="20"/>
        </w:rPr>
        <w:t xml:space="preserve">To circumvent the geographic, economic, and temporal limitations of episodic in-clinic testing, mobile health (mHealth) telemetry has emerged as a compelling, scalable paradigm. By capturing high-frequency digital biomarkers from patients in their natural, day-to-day environments using ubiquitous smartphone technology, mHealth promises a continuous window into the patient’s true physiological state. Large-scale remote registries, </w:t>
      </w:r>
      <w:r>
        <w:rPr>
          <w:rFonts w:ascii="Times New Roman" w:hAnsi="Times New Roman"/>
          <w:sz w:val="20"/>
        </w:rPr>
        <w:lastRenderedPageBreak/>
        <w:t>such as the landmark mPower longitudinal study [2], have successfully accumulated unprecedented volumes of unconstrained acoustic data. Despite this immense dataset availability and the theoretical promise of continuous monitoring, the practical translation of raw, in-the-wild acoustic telemetry into clinically actionable insights has revealed severe, systemic engineering bottlenecks that currently paralyze the field:</w:t>
      </w:r>
    </w:p>
    <w:p w14:paraId="080C4748" w14:textId="77777777" w:rsidR="00360A97" w:rsidRDefault="00000000">
      <w:pPr>
        <w:pStyle w:val="Compact"/>
        <w:numPr>
          <w:ilvl w:val="0"/>
          <w:numId w:val="2"/>
        </w:numPr>
        <w:spacing w:before="0" w:after="80"/>
        <w:jc w:val="both"/>
      </w:pPr>
      <w:r>
        <w:rPr>
          <w:rFonts w:ascii="Times New Roman" w:hAnsi="Times New Roman"/>
          <w:b/>
          <w:bCs/>
          <w:sz w:val="20"/>
        </w:rPr>
        <w:t>Extreme Vulnerability to Environmental Noise:</w:t>
      </w:r>
      <w:r>
        <w:rPr>
          <w:rFonts w:ascii="Times New Roman" w:hAnsi="Times New Roman"/>
          <w:sz w:val="20"/>
        </w:rPr>
        <w:t xml:space="preserve"> The vast majority of current Voice-AI diagnostic architectures frequently report exceptionally high classification accuracies (AUC &gt; 0.90) in peer-reviewed literature. However, these models are almost exclusively evaluated on highly controlled, lab-grade acoustic corpora recorded with professional microphones in sound-treated rooms. When these same architectures are deployed in true unconstrained mHealth environments—which are characterized by massive Signal-to-Noise Ratio (SNR) variance, unpredictable compression artifacts, and chaotic ambient noise—they experience catastrophic performance degradation.</w:t>
      </w:r>
    </w:p>
    <w:p w14:paraId="5A174C74" w14:textId="77777777" w:rsidR="00360A97" w:rsidRDefault="00000000">
      <w:pPr>
        <w:pStyle w:val="Compact"/>
        <w:numPr>
          <w:ilvl w:val="0"/>
          <w:numId w:val="2"/>
        </w:numPr>
        <w:spacing w:before="0" w:after="80"/>
        <w:jc w:val="both"/>
      </w:pPr>
      <w:r>
        <w:rPr>
          <w:rFonts w:ascii="Times New Roman" w:hAnsi="Times New Roman"/>
          <w:b/>
          <w:bCs/>
          <w:sz w:val="20"/>
        </w:rPr>
        <w:t>Pervasive Demographic Confounding:</w:t>
      </w:r>
      <w:r>
        <w:rPr>
          <w:rFonts w:ascii="Times New Roman" w:hAnsi="Times New Roman"/>
          <w:sz w:val="20"/>
        </w:rPr>
        <w:t xml:space="preserve"> The engineering literature frequently neglects rigorous demographic control during the construction of training datasets. A prevalent error in naive convenience sampling is comparing older pathological cohorts (e.g., PD patients averaging 65 years old) against vastly younger healthy control groups (e.g., healthy volunteers averaging 30 years old). Consequently, deep learning models inadvertently learn the acoustic signatures of physiological laryngeal aging rather than extracting true pathophysiological variance, artificially inflating reported accuracies and rendering the models clinically useless.</w:t>
      </w:r>
    </w:p>
    <w:p w14:paraId="4ADCD9ED" w14:textId="77777777" w:rsidR="00360A97" w:rsidRDefault="00000000">
      <w:pPr>
        <w:pStyle w:val="Compact"/>
        <w:numPr>
          <w:ilvl w:val="0"/>
          <w:numId w:val="2"/>
        </w:numPr>
        <w:spacing w:before="0" w:after="80"/>
        <w:jc w:val="both"/>
      </w:pPr>
      <w:r>
        <w:rPr>
          <w:rFonts w:ascii="Times New Roman" w:hAnsi="Times New Roman"/>
          <w:b/>
          <w:bCs/>
          <w:sz w:val="20"/>
        </w:rPr>
        <w:t>The AI Translation Chasm in Clinical Triage:</w:t>
      </w:r>
      <w:r>
        <w:rPr>
          <w:rFonts w:ascii="Times New Roman" w:hAnsi="Times New Roman"/>
          <w:sz w:val="20"/>
        </w:rPr>
        <w:t xml:space="preserve"> Even in hypothetical scenarios where machine learning (ML) architectures successfully extract unconfounded, noise-resistant signals, a profound translational gap persists at the point of care. Physicians operating in high-throughput triage environments do not have the time or specialized training to rapidly integrate raw numerical probability matrices, ROC curves, or high-dimensional SHAP feature vectors into their standard clinical workflows. A prediction score alone is insufficient for medical decision-making without narrative context.</w:t>
      </w:r>
    </w:p>
    <w:p w14:paraId="15A1467F" w14:textId="77777777" w:rsidR="00360A97" w:rsidRDefault="00000000">
      <w:pPr>
        <w:pStyle w:val="FirstParagraph"/>
        <w:spacing w:before="0" w:after="80"/>
        <w:jc w:val="both"/>
      </w:pPr>
      <w:r>
        <w:rPr>
          <w:rFonts w:ascii="Times New Roman" w:hAnsi="Times New Roman"/>
          <w:sz w:val="20"/>
        </w:rPr>
        <w:t xml:space="preserve">To address these compounding systemic failures, we present </w:t>
      </w:r>
      <w:r>
        <w:rPr>
          <w:rFonts w:ascii="Times New Roman" w:hAnsi="Times New Roman"/>
          <w:b/>
          <w:bCs/>
          <w:sz w:val="20"/>
        </w:rPr>
        <w:t>MedGemma-PD</w:t>
      </w:r>
      <w:r>
        <w:rPr>
          <w:rFonts w:ascii="Times New Roman" w:hAnsi="Times New Roman"/>
          <w:sz w:val="20"/>
        </w:rPr>
        <w:t>, a comprehensive, multi-modal engineering framework specifically designed to extract, classify, and, crucially, translate diagnostic acoustic signals strictly from unconstrained mHealth environments.</w:t>
      </w:r>
    </w:p>
    <w:p w14:paraId="671A311A" w14:textId="77777777" w:rsidR="00360A97" w:rsidRDefault="00000000">
      <w:pPr>
        <w:pStyle w:val="BodyText"/>
        <w:spacing w:before="0" w:after="80"/>
        <w:jc w:val="both"/>
      </w:pPr>
      <w:r>
        <w:rPr>
          <w:rFonts w:ascii="Times New Roman" w:hAnsi="Times New Roman"/>
          <w:sz w:val="20"/>
        </w:rPr>
        <w:t xml:space="preserve">The primary technical contributions of this work are fourfold: 1. </w:t>
      </w:r>
      <w:r>
        <w:rPr>
          <w:rFonts w:ascii="Times New Roman" w:hAnsi="Times New Roman"/>
          <w:b/>
          <w:bCs/>
          <w:sz w:val="20"/>
        </w:rPr>
        <w:t>Confounder-Resistant Dataset Engineering:</w:t>
      </w:r>
      <w:r>
        <w:rPr>
          <w:rFonts w:ascii="Times New Roman" w:hAnsi="Times New Roman"/>
          <w:sz w:val="20"/>
        </w:rPr>
        <w:t xml:space="preserve"> We implement a strict demographic gating mechanism (age </w:t>
      </w:r>
      <m:oMath>
        <m:r>
          <m:rPr>
            <m:sty m:val="p"/>
          </m:rPr>
          <w:rPr>
            <w:rFonts w:ascii="Cambria Math" w:hAnsi="Cambria Math"/>
          </w:rPr>
          <m:t>≥</m:t>
        </m:r>
        <m:r>
          <w:rPr>
            <w:rFonts w:ascii="Cambria Math" w:hAnsi="Cambria Math"/>
          </w:rPr>
          <m:t>45</m:t>
        </m:r>
      </m:oMath>
      <w:r>
        <w:rPr>
          <w:rFonts w:ascii="Times New Roman" w:hAnsi="Times New Roman"/>
          <w:sz w:val="20"/>
        </w:rPr>
        <w:t xml:space="preserve">) to actively neutralize age-bias confounding, mathematically forcing the classification architecture to target pure dysarthria pathways rather than generic vocal aging. 2. </w:t>
      </w:r>
      <w:r>
        <w:rPr>
          <w:rFonts w:ascii="Times New Roman" w:hAnsi="Times New Roman"/>
          <w:b/>
          <w:bCs/>
          <w:sz w:val="20"/>
        </w:rPr>
        <w:t>Robust Acoustic Representation:</w:t>
      </w:r>
      <w:r>
        <w:rPr>
          <w:rFonts w:ascii="Times New Roman" w:hAnsi="Times New Roman"/>
          <w:sz w:val="20"/>
        </w:rPr>
        <w:t xml:space="preserve"> We develop an optimized Tunable Q-Factor Wavelet Transform (TQWT) denoising pipeline coupled with deterministic physiological extraction. We empirically prove that this approach vastly outperforms both deep neural embeddings and standard cepstral (MFCC) representations in high-noise, high-variance regimes. 3. </w:t>
      </w:r>
      <w:r>
        <w:rPr>
          <w:rFonts w:ascii="Times New Roman" w:hAnsi="Times New Roman"/>
          <w:b/>
          <w:bCs/>
          <w:sz w:val="20"/>
        </w:rPr>
        <w:t>Edge-Distilled Neural Architecture:</w:t>
      </w:r>
      <w:r>
        <w:rPr>
          <w:rFonts w:ascii="Times New Roman" w:hAnsi="Times New Roman"/>
          <w:sz w:val="20"/>
        </w:rPr>
        <w:t xml:space="preserve"> We engineer a novel Cross-Attention Fusion mechanism that anchors unstable deep embeddings to deterministic features. This system is successfully compressed via knowledge distillation into a lightweight ~12M parameter Edge Student, enabling </w:t>
      </w:r>
      <m:oMath>
        <m:r>
          <m:rPr>
            <m:sty m:val="p"/>
          </m:rPr>
          <w:rPr>
            <w:rFonts w:ascii="Cambria Math" w:hAnsi="Cambria Math"/>
          </w:rPr>
          <m:t>&lt;</m:t>
        </m:r>
        <m:r>
          <w:rPr>
            <w:rFonts w:ascii="Cambria Math" w:hAnsi="Cambria Math"/>
          </w:rPr>
          <m:t>35</m:t>
        </m:r>
      </m:oMath>
      <w:r>
        <w:rPr>
          <w:rFonts w:ascii="Times New Roman" w:hAnsi="Times New Roman"/>
          <w:sz w:val="20"/>
        </w:rPr>
        <w:t xml:space="preserve"> ms CPU inference latency for fully offline, privacy-preserving mobile deployment. 4. </w:t>
      </w:r>
      <w:r>
        <w:rPr>
          <w:rFonts w:ascii="Times New Roman" w:hAnsi="Times New Roman"/>
          <w:b/>
          <w:bCs/>
          <w:sz w:val="20"/>
        </w:rPr>
        <w:t>Agentic LLM Synthesis at the Edge:</w:t>
      </w:r>
      <w:r>
        <w:rPr>
          <w:rFonts w:ascii="Times New Roman" w:hAnsi="Times New Roman"/>
          <w:sz w:val="20"/>
        </w:rPr>
        <w:t xml:space="preserve"> We introduce a first-of-its-kind integration of a localized, quantized Large Language Model (Gemma-2b). This agent autonomously fuses stochastic classification probabilities and SHAP-based feature importances into structured, HIPAA-aligned clinical narratives, directly bridging the AI translation chasm.</w:t>
      </w:r>
    </w:p>
    <w:p w14:paraId="72DAB0C6" w14:textId="77777777" w:rsidR="00360A97" w:rsidRDefault="00000000">
      <w:pPr>
        <w:spacing w:after="80"/>
        <w:jc w:val="both"/>
      </w:pPr>
      <w:r>
        <w:rPr>
          <w:rFonts w:ascii="Times New Roman" w:hAnsi="Times New Roman"/>
          <w:sz w:val="20"/>
        </w:rPr>
        <w:pict w14:anchorId="01774979">
          <v:rect id="_x0000_i1026" style="width:0;height:1.5pt" o:hralign="center" o:hrstd="t" o:hr="t"/>
        </w:pict>
      </w:r>
    </w:p>
    <w:p w14:paraId="4ABC7F36" w14:textId="77777777" w:rsidR="00360A97" w:rsidRDefault="00000000">
      <w:pPr>
        <w:pStyle w:val="Heading2"/>
      </w:pPr>
      <w:bookmarkStart w:id="3" w:name="related-work"/>
      <w:bookmarkEnd w:id="2"/>
      <w:r>
        <w:rPr>
          <w:rFonts w:ascii="Times New Roman" w:hAnsi="Times New Roman"/>
          <w:b/>
          <w:sz w:val="22"/>
        </w:rPr>
        <w:t>2. Related Work</w:t>
      </w:r>
    </w:p>
    <w:p w14:paraId="3C690805" w14:textId="77777777" w:rsidR="00360A97" w:rsidRDefault="00000000">
      <w:pPr>
        <w:pStyle w:val="Heading3"/>
      </w:pPr>
      <w:bookmarkStart w:id="4" w:name="X63a4322792c8a118072822e16d25231d1e38436"/>
      <w:r>
        <w:rPr>
          <w:rFonts w:ascii="Times New Roman" w:hAnsi="Times New Roman"/>
          <w:b/>
          <w:sz w:val="20"/>
        </w:rPr>
        <w:t>2.1 Acoustic Biomarkers in Parkinson’s Disease</w:t>
      </w:r>
    </w:p>
    <w:p w14:paraId="246573A5" w14:textId="77777777" w:rsidR="00360A97" w:rsidRDefault="00000000">
      <w:pPr>
        <w:pStyle w:val="FirstParagraph"/>
        <w:spacing w:before="0" w:after="80"/>
        <w:jc w:val="both"/>
      </w:pPr>
      <w:r>
        <w:rPr>
          <w:rFonts w:ascii="Times New Roman" w:hAnsi="Times New Roman"/>
          <w:sz w:val="20"/>
        </w:rPr>
        <w:t>The acoustic detection of Parkinson’s Disease has historically relied upon the extraction of deterministic laryngeal perturbation metrics. Foundational studies established that the progressive loss of fine motor control over the vocal folds results in measurable pathophysiological anomalies, particularly Shimmer (cycle-to-cycle amplitude instability) and Jitter (cycle-to-cycle frequency instability) [3, 4]. While classical machine learning architectures—such as Support Vector Machines (SVMs) and Random Forests—trained on these foundational features perform exceptionally well in controlled laboratory environments [5], their translation to mobile health (mHealth) platforms has been severely hindered. In ambient, unconstrained environments, transient noise artifacts severely corrupt the periodic signal required to calculate these metrics accurately. To bypass the need for precise pitch tracking, recent approaches have pivoted to utilizing Mel-Frequency Cepstral Coefficients (MFCCs) [6]. While MFCCs effectively capture the entire spectral envelope and mimic human auditory perception, they present a catastrophic vulnerability in unconstrained deployment scenarios: MFCCs indiscriminately encode background environmental noise (e.g., traffic, background chatter, HVAC systems) alongside the vocal signal. Consequently, classifiers trained on unconstrained MFCCs are highly fragile and prone to learning false correlations, effectively predicting the acoustic environment rather than the underlying neurological pathology [7].</w:t>
      </w:r>
    </w:p>
    <w:p w14:paraId="631253E3" w14:textId="77777777" w:rsidR="00360A97" w:rsidRDefault="00000000">
      <w:pPr>
        <w:pStyle w:val="Heading3"/>
      </w:pPr>
      <w:bookmarkStart w:id="5" w:name="deep-representation-learning-in-speech"/>
      <w:bookmarkEnd w:id="4"/>
      <w:r>
        <w:rPr>
          <w:rFonts w:ascii="Times New Roman" w:hAnsi="Times New Roman"/>
          <w:b/>
          <w:sz w:val="20"/>
        </w:rPr>
        <w:t>2.2 Deep Representation Learning in Speech</w:t>
      </w:r>
    </w:p>
    <w:p w14:paraId="5129083A" w14:textId="77777777" w:rsidR="00360A97" w:rsidRDefault="00000000">
      <w:pPr>
        <w:pStyle w:val="FirstParagraph"/>
        <w:spacing w:before="0" w:after="80"/>
        <w:jc w:val="both"/>
      </w:pPr>
      <w:r>
        <w:rPr>
          <w:rFonts w:ascii="Times New Roman" w:hAnsi="Times New Roman"/>
          <w:sz w:val="20"/>
        </w:rPr>
        <w:t xml:space="preserve">To overcome the theoretical limitations and noise vulnerability of handcrafted features, modern speech processing architectures have aggressively pivoted towards self-supervised deep representations. Foundational transformer-based architectures, such as </w:t>
      </w:r>
      <w:r>
        <w:rPr>
          <w:rStyle w:val="VerbatimChar"/>
          <w:rFonts w:ascii="Times New Roman" w:hAnsi="Times New Roman"/>
          <w:sz w:val="20"/>
        </w:rPr>
        <w:t>wav2vec 2.0</w:t>
      </w:r>
      <w:r>
        <w:rPr>
          <w:rFonts w:ascii="Times New Roman" w:hAnsi="Times New Roman"/>
          <w:sz w:val="20"/>
        </w:rPr>
        <w:t xml:space="preserve"> [8] and HuBERT, have achieved state-of-the-art performance in Automatic Speech Recognition (ASR) by learning rich, contextualized latent representations directly from raw audio waveforms. However, deploying these massive architectures for clinical diagnostic classification poses unique and profound risks. Medical datasets are notoriously constrained by sample size; in scenarios where </w:t>
      </w:r>
      <m:oMath>
        <m:r>
          <w:rPr>
            <w:rFonts w:ascii="Cambria Math" w:hAnsi="Cambria Math"/>
          </w:rPr>
          <m:t>N</m:t>
        </m:r>
        <m:r>
          <m:rPr>
            <m:sty m:val="p"/>
          </m:rPr>
          <w:rPr>
            <w:rFonts w:ascii="Cambria Math" w:hAnsi="Cambria Math"/>
          </w:rPr>
          <m:t>&lt;</m:t>
        </m:r>
        <m:r>
          <w:rPr>
            <w:rFonts w:ascii="Cambria Math" w:hAnsi="Cambria Math"/>
          </w:rPr>
          <m:t>500</m:t>
        </m:r>
      </m:oMath>
      <w:r>
        <w:rPr>
          <w:rFonts w:ascii="Times New Roman" w:hAnsi="Times New Roman"/>
          <w:sz w:val="20"/>
        </w:rPr>
        <w:t>, architectures boasting massive parameter spaces (~95M to ~300M parameters) possess the capacity to memorize the entire dataset. Rather than learning the generalized physiological markers of dysarthria, these models frequently memorize the specific recording environments, compression artifacts, and background noise profiles of the target classes [9]. This leads to severe, often undetected overfitting, rendering the models clinically invalid despite high cross-validation scores. MedGemma-PD addresses this critical flaw by structurally freezing the deep backbone and utilizing a novel Cross-Attention mechanism that strictly anchors the expressive neural embeddings to explicit, deterministic physiological constraints.</w:t>
      </w:r>
    </w:p>
    <w:p w14:paraId="2E2D6DF7" w14:textId="77777777" w:rsidR="00360A97" w:rsidRDefault="00000000">
      <w:pPr>
        <w:pStyle w:val="Heading3"/>
      </w:pPr>
      <w:bookmarkStart w:id="6" w:name="X707c3b191a2f6b135f817d44ad8a07f35d1b94d"/>
      <w:bookmarkEnd w:id="5"/>
      <w:r>
        <w:rPr>
          <w:rFonts w:ascii="Times New Roman" w:hAnsi="Times New Roman"/>
          <w:b/>
          <w:sz w:val="20"/>
        </w:rPr>
        <w:t>2.3 Edge Intelligence and Clinical Translation</w:t>
      </w:r>
    </w:p>
    <w:p w14:paraId="1FE06EDB" w14:textId="77777777" w:rsidR="00360A97" w:rsidRDefault="00000000">
      <w:pPr>
        <w:pStyle w:val="FirstParagraph"/>
        <w:spacing w:before="0" w:after="80"/>
        <w:jc w:val="both"/>
      </w:pPr>
      <w:r>
        <w:rPr>
          <w:rFonts w:ascii="Times New Roman" w:hAnsi="Times New Roman"/>
          <w:sz w:val="20"/>
        </w:rPr>
        <w:t>Deployment in continuous mHealth monitoring mandates stringent adherence to privacy regulations, most notably the Health Insurance Portability and Accountability Act (HIPAA). Sending raw, unencrypted voice recordings—which contain highly identifiable biometric data—to centralized cloud servers introduces unacceptable privacy risks and latency constraints, strongly favoring decentralized, on-device edge execution [10]. However, rigorous model compression techniques, such as knowledge distillation and quantization [11], are rarely integrated into end-to-end medical acoustic pipelines. Furthermore, the field of clinical artificial intelligence is currently experiencing a massive paradigm shift toward Generative Pre-trained Transformers (GPTs) and Large Language Models (LLMs). Yet, while prominent multi-agent clinical LLM frameworks operate almost exclusively on structured, retrospective Electronic Health Records (EHR) text [12], there remains a critical engineering void for translational frameworks capable of ingesting and synthesizing real-time, unstructured ambient acoustic telemetry. MedGemma-PD bridges this translational gap by fusing an ultra-lightweight, edge-deployed acoustic classifier directly with a localized generative reasoning agent, ensuring that inference and narrative synthesis occur entirely on-device without compromising data sovereignty.</w:t>
      </w:r>
    </w:p>
    <w:p w14:paraId="00097E09" w14:textId="77777777" w:rsidR="00360A97" w:rsidRDefault="00000000">
      <w:pPr>
        <w:spacing w:after="80"/>
        <w:jc w:val="both"/>
      </w:pPr>
      <w:r>
        <w:rPr>
          <w:rFonts w:ascii="Times New Roman" w:hAnsi="Times New Roman"/>
          <w:sz w:val="20"/>
        </w:rPr>
        <w:pict w14:anchorId="584A4F31">
          <v:rect id="_x0000_i1027" style="width:0;height:1.5pt" o:hralign="center" o:hrstd="t" o:hr="t"/>
        </w:pict>
      </w:r>
    </w:p>
    <w:p w14:paraId="0734D4C6" w14:textId="77777777" w:rsidR="00360A97" w:rsidRDefault="00000000">
      <w:pPr>
        <w:pStyle w:val="Heading2"/>
      </w:pPr>
      <w:bookmarkStart w:id="7" w:name="materials-and-methods"/>
      <w:bookmarkEnd w:id="3"/>
      <w:bookmarkEnd w:id="6"/>
      <w:r>
        <w:rPr>
          <w:rFonts w:ascii="Times New Roman" w:hAnsi="Times New Roman"/>
          <w:b/>
          <w:sz w:val="22"/>
        </w:rPr>
        <w:t>3. Materials and Methods</w:t>
      </w:r>
    </w:p>
    <w:p w14:paraId="10D35792" w14:textId="77777777" w:rsidR="00360A97" w:rsidRDefault="00000000">
      <w:pPr>
        <w:pStyle w:val="Heading3"/>
      </w:pPr>
      <w:bookmarkStart w:id="8" w:name="Xd2f64a99c32dfcecf9651e8be28917ba4590005"/>
      <w:r>
        <w:rPr>
          <w:rFonts w:ascii="Times New Roman" w:hAnsi="Times New Roman"/>
          <w:b/>
          <w:sz w:val="20"/>
        </w:rPr>
        <w:t>3.1 Study Cohort and Confounder Mitigation Strategy</w:t>
      </w:r>
    </w:p>
    <w:p w14:paraId="16D3408C" w14:textId="77777777" w:rsidR="00360A97" w:rsidRDefault="00000000">
      <w:pPr>
        <w:pStyle w:val="FirstParagraph"/>
        <w:spacing w:before="0" w:after="80"/>
        <w:jc w:val="both"/>
      </w:pPr>
      <w:r>
        <w:rPr>
          <w:rFonts w:ascii="Times New Roman" w:hAnsi="Times New Roman"/>
          <w:sz w:val="20"/>
        </w:rPr>
        <w:t>Raw acoustic telemetry and corresponding longitudinal metadata were sourced from the mPower dataset (Synapse ID: syn4993293), a landmark mobile health study utilizing the ResearchKit framework. Initial exploratory data analysis of the raw, unfiltered audio dataset revealed a severe, inherent demographic imbalance common in convenience-sampled digital health registries: the Healthy Control (HC) cohort averaged several decades younger than the pathological PD cohort.</w:t>
      </w:r>
    </w:p>
    <w:p w14:paraId="415FE73C" w14:textId="77777777" w:rsidR="00360A97" w:rsidRDefault="00000000">
      <w:pPr>
        <w:pStyle w:val="BodyText"/>
        <w:spacing w:before="0" w:after="80"/>
        <w:jc w:val="both"/>
      </w:pPr>
      <w:r>
        <w:rPr>
          <w:rFonts w:ascii="Times New Roman" w:hAnsi="Times New Roman"/>
          <w:sz w:val="20"/>
        </w:rPr>
        <w:t xml:space="preserve">Because physiological aging naturally induces calcification of the laryngeal cartilages and atrophy of the vocal fold musculature—producing acoustic signatures virtually identical to early-stage PD dysarthria—this demographic mismatch represents a fatal confounding variable. To prevent the machine learning architecture from exploiting this discrepancy and artificially inflating performance by classifying “young versus old” rather than “healthy versus pathological,” HC inclusion was strictly restricted via programmatic age-gating to subjects </w:t>
      </w:r>
      <m:oMath>
        <m:r>
          <m:rPr>
            <m:sty m:val="p"/>
          </m:rPr>
          <w:rPr>
            <w:rFonts w:ascii="Cambria Math" w:hAnsi="Cambria Math"/>
          </w:rPr>
          <m:t>≥</m:t>
        </m:r>
        <m:r>
          <w:rPr>
            <w:rFonts w:ascii="Cambria Math" w:hAnsi="Cambria Math"/>
          </w:rPr>
          <m:t>45</m:t>
        </m:r>
      </m:oMath>
      <w:r>
        <w:rPr>
          <w:rFonts w:ascii="Times New Roman" w:hAnsi="Times New Roman"/>
          <w:sz w:val="20"/>
        </w:rPr>
        <w:t xml:space="preserve"> years of age. This rigorous extraction procedure yielded a balanced, demographically controlled cohort of </w:t>
      </w:r>
      <m:oMath>
        <m:r>
          <w:rPr>
            <w:rFonts w:ascii="Cambria Math" w:hAnsi="Cambria Math"/>
          </w:rPr>
          <m:t>N</m:t>
        </m:r>
        <m:r>
          <m:rPr>
            <m:sty m:val="p"/>
          </m:rPr>
          <w:rPr>
            <w:rFonts w:ascii="Cambria Math" w:hAnsi="Cambria Math"/>
          </w:rPr>
          <m:t>=</m:t>
        </m:r>
        <m:r>
          <w:rPr>
            <w:rFonts w:ascii="Cambria Math" w:hAnsi="Cambria Math"/>
          </w:rPr>
          <m:t>120</m:t>
        </m:r>
      </m:oMath>
      <w:r>
        <w:rPr>
          <w:rFonts w:ascii="Times New Roman" w:hAnsi="Times New Roman"/>
          <w:sz w:val="20"/>
        </w:rPr>
        <w:t xml:space="preserve"> distinct subjects (60 PD, 60 HC). Post-gating, the mean age for the HC group was standardized to </w:t>
      </w:r>
      <m:oMath>
        <m:r>
          <w:rPr>
            <w:rFonts w:ascii="Cambria Math" w:hAnsi="Cambria Math"/>
          </w:rPr>
          <m:t>56.0</m:t>
        </m:r>
        <m:r>
          <m:rPr>
            <m:sty m:val="p"/>
          </m:rPr>
          <w:rPr>
            <w:rFonts w:ascii="Cambria Math" w:hAnsi="Cambria Math"/>
          </w:rPr>
          <m:t>±</m:t>
        </m:r>
        <m:r>
          <w:rPr>
            <w:rFonts w:ascii="Cambria Math" w:hAnsi="Cambria Math"/>
          </w:rPr>
          <m:t>7.7</m:t>
        </m:r>
      </m:oMath>
      <w:r>
        <w:rPr>
          <w:rFonts w:ascii="Times New Roman" w:hAnsi="Times New Roman"/>
          <w:sz w:val="20"/>
        </w:rPr>
        <w:t xml:space="preserve"> years, closely matching the PD group at </w:t>
      </w:r>
      <m:oMath>
        <m:r>
          <w:rPr>
            <w:rFonts w:ascii="Cambria Math" w:hAnsi="Cambria Math"/>
          </w:rPr>
          <m:t>59.5</m:t>
        </m:r>
        <m:r>
          <m:rPr>
            <m:sty m:val="p"/>
          </m:rPr>
          <w:rPr>
            <w:rFonts w:ascii="Cambria Math" w:hAnsi="Cambria Math"/>
          </w:rPr>
          <m:t>±</m:t>
        </m:r>
        <m:r>
          <w:rPr>
            <w:rFonts w:ascii="Cambria Math" w:hAnsi="Cambria Math"/>
          </w:rPr>
          <m:t>13.2</m:t>
        </m:r>
      </m:oMath>
      <w:r>
        <w:rPr>
          <w:rFonts w:ascii="Times New Roman" w:hAnsi="Times New Roman"/>
          <w:sz w:val="20"/>
        </w:rPr>
        <w:t xml:space="preserve"> years. This deterministic gating mathematically forces the subsequent classification machinery to isolate pure dysarthria pathways, eliminating generic age-related laryngeal degradation as a predictive feature.</w:t>
      </w:r>
    </w:p>
    <w:p w14:paraId="1736CF2C" w14:textId="77777777" w:rsidR="00360A97" w:rsidRDefault="00000000">
      <w:pPr>
        <w:pStyle w:val="Heading3"/>
      </w:pPr>
      <w:bookmarkStart w:id="9" w:name="Xe573bef3d9fc73d298ec6f31e73a4f0f9627c22"/>
      <w:bookmarkEnd w:id="8"/>
      <w:r>
        <w:rPr>
          <w:rFonts w:ascii="Times New Roman" w:hAnsi="Times New Roman"/>
          <w:b/>
          <w:sz w:val="20"/>
        </w:rPr>
        <w:t>3.2 Acoustic Signal Processing and TQWT Denoising</w:t>
      </w:r>
    </w:p>
    <w:p w14:paraId="2CB67B3D" w14:textId="77777777" w:rsidR="00360A97" w:rsidRDefault="00000000">
      <w:pPr>
        <w:pStyle w:val="FirstParagraph"/>
        <w:spacing w:before="0" w:after="80"/>
        <w:jc w:val="both"/>
      </w:pPr>
      <w:r>
        <w:rPr>
          <w:rFonts w:ascii="Times New Roman" w:hAnsi="Times New Roman"/>
          <w:sz w:val="20"/>
        </w:rPr>
        <w:t xml:space="preserve">Unconstrained smartphone recordings exhibit massive SNR variance due to differing hardware microphones, compression algorithms, and ambient environments. To combat this, all recordings were uniformly resampled to a 16 kHz </w:t>
      </w:r>
      <w:r>
        <w:rPr>
          <w:rStyle w:val="VerbatimChar"/>
          <w:rFonts w:ascii="Times New Roman" w:hAnsi="Times New Roman"/>
          <w:sz w:val="20"/>
        </w:rPr>
        <w:t>.wav</w:t>
      </w:r>
      <w:r>
        <w:rPr>
          <w:rFonts w:ascii="Times New Roman" w:hAnsi="Times New Roman"/>
          <w:sz w:val="20"/>
        </w:rPr>
        <w:t xml:space="preserve"> format. We subsequently implemented a Tunable Q-Factor Wavelet Transform (TQWT) denoising filter. Unlike standard discrete wavelet transforms, the TQWT allows independent parameterization of oscillatory behavior (the </w:t>
      </w:r>
      <m:oMath>
        <m:r>
          <w:rPr>
            <w:rFonts w:ascii="Cambria Math" w:hAnsi="Cambria Math"/>
          </w:rPr>
          <m:t>Q</m:t>
        </m:r>
      </m:oMath>
      <w:r>
        <w:rPr>
          <w:rFonts w:ascii="Times New Roman" w:hAnsi="Times New Roman"/>
          <w:sz w:val="20"/>
        </w:rPr>
        <w:t>-factor) and redundancy (</w:t>
      </w:r>
      <m:oMath>
        <m:r>
          <w:rPr>
            <w:rFonts w:ascii="Cambria Math" w:hAnsi="Cambria Math"/>
          </w:rPr>
          <m:t>r</m:t>
        </m:r>
      </m:oMath>
      <w:r>
        <w:rPr>
          <w:rFonts w:ascii="Times New Roman" w:hAnsi="Times New Roman"/>
          <w:sz w:val="20"/>
        </w:rPr>
        <w:t>), making it exceptionally suited for analyzing the non-stationary, quasi-periodic properties of dysarthric speech [13].</w:t>
      </w:r>
    </w:p>
    <w:p w14:paraId="6FA2AC19" w14:textId="77777777" w:rsidR="00360A97" w:rsidRDefault="00000000">
      <w:pPr>
        <w:pStyle w:val="BodyText"/>
        <w:spacing w:before="0" w:after="80"/>
        <w:jc w:val="both"/>
      </w:pPr>
      <w:r>
        <w:rPr>
          <w:rFonts w:ascii="Times New Roman" w:hAnsi="Times New Roman"/>
          <w:sz w:val="20"/>
        </w:rPr>
        <w:t>The TQWT parameters were explicitly tuned to preserve the laryngeal resonance band (</w:t>
      </w:r>
      <m:oMath>
        <m:r>
          <w:rPr>
            <w:rFonts w:ascii="Cambria Math" w:hAnsi="Cambria Math"/>
          </w:rPr>
          <m:t>80</m:t>
        </m:r>
      </m:oMath>
      <w:r>
        <w:rPr>
          <w:rFonts w:ascii="Times New Roman" w:hAnsi="Times New Roman"/>
          <w:sz w:val="20"/>
        </w:rPr>
        <w:t xml:space="preserve"> Hz–</w:t>
      </w:r>
      <m:oMath>
        <m:r>
          <w:rPr>
            <w:rFonts w:ascii="Cambria Math" w:hAnsi="Cambria Math"/>
          </w:rPr>
          <m:t>300</m:t>
        </m:r>
      </m:oMath>
      <w:r>
        <w:rPr>
          <w:rFonts w:ascii="Times New Roman" w:hAnsi="Times New Roman"/>
          <w:sz w:val="20"/>
        </w:rPr>
        <w:t xml:space="preserve"> Hz), which contains the fundamental frequency (</w:t>
      </w:r>
      <m:oMath>
        <m:r>
          <w:rPr>
            <w:rFonts w:ascii="Cambria Math" w:hAnsi="Cambria Math"/>
          </w:rPr>
          <m:t>F0</m:t>
        </m:r>
      </m:oMath>
      <w:r>
        <w:rPr>
          <w:rFonts w:ascii="Times New Roman" w:hAnsi="Times New Roman"/>
          <w:sz w:val="20"/>
        </w:rPr>
        <w:t xml:space="preserve">) and its primary harmonics critical for detecting PD dysarthria: * </w:t>
      </w:r>
      <w:r>
        <w:rPr>
          <w:rFonts w:ascii="Times New Roman" w:hAnsi="Times New Roman"/>
          <w:b/>
          <w:bCs/>
          <w:sz w:val="20"/>
        </w:rPr>
        <w:t>Q-factor (</w:t>
      </w:r>
      <m:oMath>
        <m:r>
          <w:rPr>
            <w:rFonts w:ascii="Cambria Math" w:hAnsi="Cambria Math"/>
          </w:rPr>
          <m:t>Q</m:t>
        </m:r>
        <m:r>
          <m:rPr>
            <m:sty m:val="p"/>
          </m:rPr>
          <w:rPr>
            <w:rFonts w:ascii="Cambria Math" w:hAnsi="Cambria Math"/>
          </w:rPr>
          <m:t>=</m:t>
        </m:r>
        <m:r>
          <w:rPr>
            <w:rFonts w:ascii="Cambria Math" w:hAnsi="Cambria Math"/>
          </w:rPr>
          <m:t>3</m:t>
        </m:r>
      </m:oMath>
      <w:r>
        <w:rPr>
          <w:rFonts w:ascii="Times New Roman" w:hAnsi="Times New Roman"/>
          <w:b/>
          <w:bCs/>
          <w:sz w:val="20"/>
        </w:rPr>
        <w:t>)</w:t>
      </w:r>
      <w:r>
        <w:rPr>
          <w:rFonts w:ascii="Times New Roman" w:hAnsi="Times New Roman"/>
          <w:sz w:val="20"/>
        </w:rPr>
        <w:t xml:space="preserve">: Selected to match the moderate oscillatory quality of sustained human vowels, providing sufficient frequency resolution to isolate vocal fold periodicity without introducing excessive time-domain ringing artifacts. * </w:t>
      </w:r>
      <w:r>
        <w:rPr>
          <w:rFonts w:ascii="Times New Roman" w:hAnsi="Times New Roman"/>
          <w:b/>
          <w:bCs/>
          <w:sz w:val="20"/>
        </w:rPr>
        <w:t>Redundancy (</w:t>
      </w:r>
      <m:oMath>
        <m:r>
          <w:rPr>
            <w:rFonts w:ascii="Cambria Math" w:hAnsi="Cambria Math"/>
          </w:rPr>
          <m:t>r</m:t>
        </m:r>
        <m:r>
          <m:rPr>
            <m:sty m:val="p"/>
          </m:rPr>
          <w:rPr>
            <w:rFonts w:ascii="Cambria Math" w:hAnsi="Cambria Math"/>
          </w:rPr>
          <m:t>=</m:t>
        </m:r>
        <m:r>
          <w:rPr>
            <w:rFonts w:ascii="Cambria Math" w:hAnsi="Cambria Math"/>
          </w:rPr>
          <m:t>3</m:t>
        </m:r>
      </m:oMath>
      <w:r>
        <w:rPr>
          <w:rFonts w:ascii="Times New Roman" w:hAnsi="Times New Roman"/>
          <w:b/>
          <w:bCs/>
          <w:sz w:val="20"/>
        </w:rPr>
        <w:t>)</w:t>
      </w:r>
      <w:r>
        <w:rPr>
          <w:rFonts w:ascii="Times New Roman" w:hAnsi="Times New Roman"/>
          <w:sz w:val="20"/>
        </w:rPr>
        <w:t xml:space="preserve">: Selected to ensure high reconstruction fidelity, oversampling the signal to maintain highly localized temporal resolution for transient tracking. * </w:t>
      </w:r>
      <w:r>
        <w:rPr>
          <w:rFonts w:ascii="Times New Roman" w:hAnsi="Times New Roman"/>
          <w:b/>
          <w:bCs/>
          <w:sz w:val="20"/>
        </w:rPr>
        <w:t>Decomposition Levels (</w:t>
      </w:r>
      <m:oMath>
        <m:r>
          <w:rPr>
            <w:rFonts w:ascii="Cambria Math" w:hAnsi="Cambria Math"/>
          </w:rPr>
          <m:t>J</m:t>
        </m:r>
        <m:r>
          <m:rPr>
            <m:sty m:val="p"/>
          </m:rPr>
          <w:rPr>
            <w:rFonts w:ascii="Cambria Math" w:hAnsi="Cambria Math"/>
          </w:rPr>
          <m:t>=</m:t>
        </m:r>
        <m:r>
          <w:rPr>
            <w:rFonts w:ascii="Cambria Math" w:hAnsi="Cambria Math"/>
          </w:rPr>
          <m:t>12</m:t>
        </m:r>
      </m:oMath>
      <w:r>
        <w:rPr>
          <w:rFonts w:ascii="Times New Roman" w:hAnsi="Times New Roman"/>
          <w:b/>
          <w:bCs/>
          <w:sz w:val="20"/>
        </w:rPr>
        <w:t>)</w:t>
      </w:r>
      <w:r>
        <w:rPr>
          <w:rFonts w:ascii="Times New Roman" w:hAnsi="Times New Roman"/>
          <w:sz w:val="20"/>
        </w:rPr>
        <w:t>: Calculated iteratively to provide sufficient subband depth down to the lowest possible fundamental frequencies of adult male speech (</w:t>
      </w:r>
      <m:oMath>
        <m:r>
          <m:rPr>
            <m:sty m:val="p"/>
          </m:rPr>
          <w:rPr>
            <w:rFonts w:ascii="Cambria Math" w:hAnsi="Cambria Math"/>
          </w:rPr>
          <m:t>∼</m:t>
        </m:r>
        <m:r>
          <w:rPr>
            <w:rFonts w:ascii="Cambria Math" w:hAnsi="Cambria Math"/>
          </w:rPr>
          <m:t>85</m:t>
        </m:r>
      </m:oMath>
      <w:r>
        <w:rPr>
          <w:rFonts w:ascii="Times New Roman" w:hAnsi="Times New Roman"/>
          <w:sz w:val="20"/>
        </w:rPr>
        <w:t xml:space="preserve"> Hz).</w:t>
      </w:r>
    </w:p>
    <w:p w14:paraId="4EB12C39" w14:textId="77777777" w:rsidR="00360A97" w:rsidRDefault="00000000">
      <w:pPr>
        <w:pStyle w:val="BodyText"/>
        <w:spacing w:before="0" w:after="80"/>
        <w:jc w:val="both"/>
      </w:pPr>
      <w:r>
        <w:rPr>
          <w:rFonts w:ascii="Times New Roman" w:hAnsi="Times New Roman"/>
          <w:sz w:val="20"/>
        </w:rPr>
        <w:t xml:space="preserve">To execute the denoising, universal soft thresholding was applied exclusively to the high-pass subbands. The threshold </w:t>
      </w:r>
      <m:oMath>
        <m:r>
          <w:rPr>
            <w:rFonts w:ascii="Cambria Math" w:hAnsi="Cambria Math"/>
          </w:rPr>
          <m:t>τ</m:t>
        </m:r>
      </m:oMath>
      <w:r>
        <w:rPr>
          <w:rFonts w:ascii="Times New Roman" w:hAnsi="Times New Roman"/>
          <w:sz w:val="20"/>
        </w:rPr>
        <w:t xml:space="preserve"> was dynamically calculated utilizing a Median Absolute Deviation (MAD) noise estimator:</w:t>
      </w:r>
    </w:p>
    <w:p w14:paraId="7DFA6B55" w14:textId="77777777" w:rsidR="00360A97" w:rsidRDefault="00000000">
      <w:pPr>
        <w:tabs>
          <w:tab w:val="right" w:pos="9360"/>
        </w:tabs>
        <w:spacing w:before="120" w:after="120"/>
        <w:jc w:val="center"/>
      </w:pPr>
      <m:oMath>
        <m:r>
          <w:rPr>
            <w:rFonts w:ascii="Cambria Math" w:hAnsi="Cambria Math"/>
          </w:rPr>
          <m:t xml:space="preserve">τ = λ · σ̂, σ̂ = </m:t>
        </m:r>
        <m:f>
          <m:fPr>
            <m:ctrlPr>
              <w:rPr>
                <w:rFonts w:ascii="Cambria Math" w:hAnsi="Cambria Math"/>
              </w:rPr>
            </m:ctrlPr>
          </m:fPr>
          <m:num>
            <m:func>
              <m:funcPr>
                <m:ctrlPr>
                  <w:rPr>
                    <w:rFonts w:ascii="Cambria Math" w:hAnsi="Cambria Math"/>
                  </w:rPr>
                </m:ctrlPr>
              </m:funcPr>
              <m:fName>
                <m:r>
                  <w:rPr>
                    <w:rFonts w:ascii="Cambria Math" w:hAnsi="Cambria Math"/>
                  </w:rPr>
                  <m:t>median</m:t>
                </m:r>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e>
            </m:func>
          </m:num>
          <m:den>
            <m:r>
              <w:rPr>
                <w:rFonts w:ascii="Cambria Math" w:hAnsi="Cambria Math"/>
              </w:rPr>
              <m:t>0.6745</m:t>
            </m:r>
          </m:den>
        </m:f>
      </m:oMath>
      <w:r>
        <w:rPr>
          <w:rFonts w:ascii="Times New Roman" w:hAnsi="Times New Roman"/>
          <w:sz w:val="20"/>
        </w:rPr>
        <w:tab/>
        <w:t>(1)</w:t>
      </w:r>
    </w:p>
    <w:p w14:paraId="0AF499E9" w14:textId="77777777" w:rsidR="00360A97" w:rsidRDefault="00000000">
      <w:pPr>
        <w:pStyle w:val="FirstParagraph"/>
        <w:spacing w:before="0" w:after="80"/>
        <w:jc w:val="both"/>
      </w:pPr>
      <w:r>
        <w:rPr>
          <w:rFonts w:ascii="Times New Roman" w:hAnsi="Times New Roman"/>
          <w:sz w:val="20"/>
        </w:rPr>
        <w:t xml:space="preserve">where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ascii="Times New Roman" w:hAnsi="Times New Roman"/>
          <w:sz w:val="20"/>
        </w:rPr>
        <w:t xml:space="preserve"> are the TQWT subband coefficients and </w:t>
      </w:r>
      <m:oMath>
        <m:r>
          <w:rPr>
            <w:rFonts w:ascii="Cambria Math" w:hAnsi="Cambria Math"/>
          </w:rPr>
          <m:t>λ</m:t>
        </m:r>
        <m:r>
          <m:rPr>
            <m:sty m:val="p"/>
          </m:rPr>
          <w:rPr>
            <w:rFonts w:ascii="Cambria Math" w:hAnsi="Cambria Math"/>
          </w:rPr>
          <m:t>=</m:t>
        </m:r>
        <m:r>
          <w:rPr>
            <w:rFonts w:ascii="Cambria Math" w:hAnsi="Cambria Math"/>
          </w:rPr>
          <m:t>3.0</m:t>
        </m:r>
      </m:oMath>
      <w:r>
        <w:rPr>
          <w:rFonts w:ascii="Times New Roman" w:hAnsi="Times New Roman"/>
          <w:sz w:val="20"/>
        </w:rPr>
        <w:t xml:space="preserve"> is the noise multiplier. The completely denoised waveforms were then passed through a deterministic feature extraction pipeline to compute macroscopic physiological metrics across </w:t>
      </w:r>
      <w:r>
        <w:rPr>
          <w:rFonts w:ascii="Times New Roman" w:hAnsi="Times New Roman"/>
          <w:b/>
          <w:bCs/>
          <w:sz w:val="20"/>
        </w:rPr>
        <w:t>20 ms</w:t>
      </w:r>
      <w:r>
        <w:rPr>
          <w:rFonts w:ascii="Times New Roman" w:hAnsi="Times New Roman"/>
          <w:sz w:val="20"/>
        </w:rPr>
        <w:t xml:space="preserve"> overlapping frames (320 samples at 16 kHz, matching the wav2vec 2.0 frame rate): local Jitter (cycle-to-cycle fundamental frequency perturbation), local Shimmer (cycle-to-cycle amplitude perturbation), Harmonics-to-Noise Ratio (HNR), and the standard deviation of the Fundamental Frequency (</w:t>
      </w:r>
      <m:oMath>
        <m:r>
          <w:rPr>
            <w:rFonts w:ascii="Cambria Math" w:hAnsi="Cambria Math"/>
          </w:rPr>
          <m:t>F</m:t>
        </m:r>
        <m:sSub>
          <m:sSubPr>
            <m:ctrlPr>
              <w:rPr>
                <w:rFonts w:ascii="Cambria Math" w:hAnsi="Cambria Math"/>
              </w:rPr>
            </m:ctrlPr>
          </m:sSubPr>
          <m:e>
            <m:r>
              <w:rPr>
                <w:rFonts w:ascii="Cambria Math" w:hAnsi="Cambria Math"/>
              </w:rPr>
              <m:t>0</m:t>
            </m:r>
          </m:e>
          <m:sub>
            <m:r>
              <w:rPr>
                <w:rFonts w:ascii="Cambria Math" w:hAnsi="Cambria Math"/>
              </w:rPr>
              <m:t>std</m:t>
            </m:r>
          </m:sub>
        </m:sSub>
      </m:oMath>
      <w:r>
        <w:rPr>
          <w:rFonts w:ascii="Times New Roman" w:hAnsi="Times New Roman"/>
          <w:sz w:val="20"/>
        </w:rPr>
        <w:t>).</w:t>
      </w:r>
    </w:p>
    <w:p w14:paraId="64C14733" w14:textId="77777777" w:rsidR="00360A97" w:rsidRDefault="00000000">
      <w:pPr>
        <w:pStyle w:val="Heading3"/>
      </w:pPr>
      <w:bookmarkStart w:id="10" w:name="cross-attention-fusion-architecture"/>
      <w:bookmarkEnd w:id="9"/>
      <w:r>
        <w:rPr>
          <w:rFonts w:ascii="Times New Roman" w:hAnsi="Times New Roman"/>
          <w:b/>
          <w:sz w:val="20"/>
        </w:rPr>
        <w:t>3.3 Cross-Attention Fusion Architecture</w:t>
      </w:r>
    </w:p>
    <w:p w14:paraId="65D55B46" w14:textId="77777777" w:rsidR="00360A97" w:rsidRDefault="00000000">
      <w:pPr>
        <w:pStyle w:val="FirstParagraph"/>
        <w:spacing w:before="0" w:after="80"/>
        <w:jc w:val="both"/>
      </w:pPr>
      <w:r>
        <w:rPr>
          <w:rFonts w:ascii="Times New Roman" w:hAnsi="Times New Roman"/>
          <w:sz w:val="20"/>
        </w:rPr>
        <w:t xml:space="preserve">We addressed the fundamental dichotomy between highly interpretable classical features (which are noise-resistant but low-dimensional) and highly expressive deep neural embeddings (which are high-dimensional but prone to overfitting) by engineering a custom </w:t>
      </w:r>
      <w:r>
        <w:rPr>
          <w:rFonts w:ascii="Times New Roman" w:hAnsi="Times New Roman"/>
          <w:b/>
          <w:bCs/>
          <w:sz w:val="20"/>
        </w:rPr>
        <w:t>Cross-Attention Fusion</w:t>
      </w:r>
      <w:r>
        <w:rPr>
          <w:rFonts w:ascii="Times New Roman" w:hAnsi="Times New Roman"/>
          <w:sz w:val="20"/>
        </w:rPr>
        <w:t xml:space="preserve"> architecture.</w:t>
      </w:r>
    </w:p>
    <w:p w14:paraId="451B6DE9" w14:textId="77777777" w:rsidR="00360A97" w:rsidRDefault="00000000">
      <w:pPr>
        <w:pStyle w:val="BodyText"/>
        <w:spacing w:before="0" w:after="80"/>
        <w:jc w:val="both"/>
      </w:pPr>
      <w:r>
        <w:rPr>
          <w:rFonts w:ascii="Times New Roman" w:hAnsi="Times New Roman"/>
          <w:sz w:val="20"/>
        </w:rPr>
        <w:t>To definitively prevent the catastrophic memorization characteristic of large audio models when applied to small medical datasets (</w:t>
      </w:r>
      <m:oMath>
        <m:r>
          <w:rPr>
            <w:rFonts w:ascii="Cambria Math" w:hAnsi="Cambria Math"/>
          </w:rPr>
          <m:t>N</m:t>
        </m:r>
        <m:r>
          <m:rPr>
            <m:sty m:val="p"/>
          </m:rPr>
          <w:rPr>
            <w:rFonts w:ascii="Cambria Math" w:hAnsi="Cambria Math"/>
          </w:rPr>
          <m:t>=</m:t>
        </m:r>
        <m:r>
          <w:rPr>
            <w:rFonts w:ascii="Cambria Math" w:hAnsi="Cambria Math"/>
          </w:rPr>
          <m:t>120</m:t>
        </m:r>
      </m:oMath>
      <w:r>
        <w:rPr>
          <w:rFonts w:ascii="Times New Roman" w:hAnsi="Times New Roman"/>
          <w:sz w:val="20"/>
        </w:rPr>
        <w:t xml:space="preserve">), the </w:t>
      </w:r>
      <w:r>
        <w:rPr>
          <w:rStyle w:val="VerbatimChar"/>
          <w:rFonts w:ascii="Times New Roman" w:hAnsi="Times New Roman"/>
          <w:sz w:val="20"/>
        </w:rPr>
        <w:t>wav2vec 2.0</w:t>
      </w:r>
      <w:r>
        <w:rPr>
          <w:rFonts w:ascii="Times New Roman" w:hAnsi="Times New Roman"/>
          <w:sz w:val="20"/>
        </w:rPr>
        <w:t xml:space="preserve"> backbone (~95M parameters) was strategically frozen. Specifically, the 7-layer Convolutional Neural Network (CNN) feature extractor and the lower </w:t>
      </w:r>
      <w:r>
        <w:rPr>
          <w:rFonts w:ascii="Times New Roman" w:hAnsi="Times New Roman"/>
          <w:b/>
          <w:bCs/>
          <w:sz w:val="20"/>
        </w:rPr>
        <w:t>18</w:t>
      </w:r>
      <w:r>
        <w:rPr>
          <w:rFonts w:ascii="Times New Roman" w:hAnsi="Times New Roman"/>
          <w:sz w:val="20"/>
        </w:rPr>
        <w:t xml:space="preserve"> Transformer blocks (out of 24 total) were strictly locked. Only the uppermost 6 Transformer blocks (blocks 18–23) were fine-tuned. To further constrain the parameter space, we utilized lightweight 64-dimensional adapter bottleneck layers (</w:t>
      </w:r>
      <w:proofErr w:type="gramStart"/>
      <w:r>
        <w:rPr>
          <w:rFonts w:ascii="Times New Roman" w:hAnsi="Times New Roman"/>
          <w:sz w:val="20"/>
        </w:rPr>
        <w:t>Linear(</w:t>
      </w:r>
      <w:proofErr w:type="gramEnd"/>
      <w:r>
        <w:rPr>
          <w:rFonts w:ascii="Times New Roman" w:hAnsi="Times New Roman"/>
          <w:sz w:val="20"/>
        </w:rPr>
        <w:t xml:space="preserve">768→64) → ReLU → </w:t>
      </w:r>
      <w:proofErr w:type="gramStart"/>
      <w:r>
        <w:rPr>
          <w:rFonts w:ascii="Times New Roman" w:hAnsi="Times New Roman"/>
          <w:sz w:val="20"/>
        </w:rPr>
        <w:t>Linear(</w:t>
      </w:r>
      <w:proofErr w:type="gramEnd"/>
      <w:r>
        <w:rPr>
          <w:rFonts w:ascii="Times New Roman" w:hAnsi="Times New Roman"/>
          <w:sz w:val="20"/>
        </w:rPr>
        <w:t>64→768) with residual connections) injected into each unfrozen transformer block, limiting the total trainable parameter surface to merely ~5M.</w:t>
      </w:r>
    </w:p>
    <w:p w14:paraId="4854698C" w14:textId="77777777" w:rsidR="00360A97" w:rsidRDefault="00000000">
      <w:pPr>
        <w:pStyle w:val="BodyText"/>
        <w:spacing w:before="0" w:after="80"/>
        <w:jc w:val="both"/>
      </w:pPr>
      <w:r>
        <w:rPr>
          <w:rFonts w:ascii="Times New Roman" w:hAnsi="Times New Roman"/>
          <w:sz w:val="20"/>
        </w:rPr>
        <w:t xml:space="preserve">In the fusion module, classical physiological features (Shimmer, Jitter, HNR, </w:t>
      </w:r>
      <m:oMath>
        <m:r>
          <w:rPr>
            <w:rFonts w:ascii="Cambria Math" w:hAnsi="Cambria Math"/>
          </w:rPr>
          <m:t>F</m:t>
        </m:r>
        <m:sSub>
          <m:sSubPr>
            <m:ctrlPr>
              <w:rPr>
                <w:rFonts w:ascii="Cambria Math" w:hAnsi="Cambria Math"/>
              </w:rPr>
            </m:ctrlPr>
          </m:sSubPr>
          <m:e>
            <m:r>
              <w:rPr>
                <w:rFonts w:ascii="Cambria Math" w:hAnsi="Cambria Math"/>
              </w:rPr>
              <m:t>0</m:t>
            </m:r>
          </m:e>
          <m:sub>
            <m:r>
              <w:rPr>
                <w:rFonts w:ascii="Cambria Math" w:hAnsi="Cambria Math"/>
              </w:rPr>
              <m:t>std</m:t>
            </m:r>
          </m:sub>
        </m:sSub>
      </m:oMath>
      <w:r>
        <w:rPr>
          <w:rFonts w:ascii="Times New Roman" w:hAnsi="Times New Roman"/>
          <w:sz w:val="20"/>
        </w:rPr>
        <w:t xml:space="preserve">) were linearly projected via a learned weight matrix </w:t>
      </w:r>
      <m:oMath>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d</m:t>
            </m:r>
          </m:sup>
        </m:sSup>
      </m:oMath>
      <w:r>
        <w:rPr>
          <w:rFonts w:ascii="Times New Roman" w:hAnsi="Times New Roman"/>
          <w:sz w:val="20"/>
        </w:rPr>
        <w:t xml:space="preserve"> to produce the deterministic Query matrix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d</m:t>
            </m:r>
          </m:sup>
        </m:sSup>
      </m:oMath>
      <w:r>
        <w:rPr>
          <w:rFonts w:ascii="Times New Roman" w:hAnsi="Times New Roman"/>
          <w:sz w:val="20"/>
        </w:rPr>
        <w:t xml:space="preserve">), where the fusion dimension was set to </w:t>
      </w:r>
      <m:oMath>
        <m:r>
          <w:rPr>
            <w:rFonts w:ascii="Cambria Math" w:hAnsi="Cambria Math"/>
          </w:rPr>
          <m:t>d</m:t>
        </m:r>
        <m:r>
          <m:rPr>
            <m:sty m:val="p"/>
          </m:rPr>
          <w:rPr>
            <w:rFonts w:ascii="Cambria Math" w:hAnsi="Cambria Math"/>
          </w:rPr>
          <m:t>=</m:t>
        </m:r>
        <m:r>
          <w:rPr>
            <w:rFonts w:ascii="Cambria Math" w:hAnsi="Cambria Math"/>
          </w:rPr>
          <m:t>128</m:t>
        </m:r>
      </m:oMath>
      <w:r>
        <w:rPr>
          <w:rFonts w:ascii="Times New Roman" w:hAnsi="Times New Roman"/>
          <w:sz w:val="20"/>
        </w:rPr>
        <w:t xml:space="preserve">. Concurrently, deep acoustic embeddings derived from the final layer of the </w:t>
      </w:r>
      <w:r>
        <w:rPr>
          <w:rStyle w:val="VerbatimChar"/>
          <w:rFonts w:ascii="Times New Roman" w:hAnsi="Times New Roman"/>
          <w:sz w:val="20"/>
        </w:rPr>
        <w:t>wav2vec 2.0</w:t>
      </w:r>
      <w:r>
        <w:rPr>
          <w:rFonts w:ascii="Times New Roman" w:hAnsi="Times New Roman"/>
          <w:sz w:val="20"/>
        </w:rPr>
        <w:t xml:space="preserve"> encoder (</w:t>
      </w:r>
      <m:oMath>
        <m: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768</m:t>
            </m:r>
          </m:sup>
        </m:sSup>
      </m:oMath>
      <w:r>
        <w:rPr>
          <w:rFonts w:ascii="Times New Roman" w:hAnsi="Times New Roman"/>
          <w:sz w:val="20"/>
        </w:rPr>
        <w:t>) were projected via learned matrices to form the Keys (</w:t>
      </w:r>
      <m:oMath>
        <m:r>
          <w:rPr>
            <w:rFonts w:ascii="Cambria Math" w:hAnsi="Cambria Math"/>
          </w:rPr>
          <m:t>K</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d</m:t>
            </m:r>
          </m:sup>
        </m:sSup>
      </m:oMath>
      <w:r>
        <w:rPr>
          <w:rFonts w:ascii="Times New Roman" w:hAnsi="Times New Roman"/>
          <w:sz w:val="20"/>
        </w:rPr>
        <w:t>) and Values (</w:t>
      </w:r>
      <m:oMath>
        <m:r>
          <w:rPr>
            <w:rFonts w:ascii="Cambria Math" w:hAnsi="Cambria Math"/>
          </w:rPr>
          <m:t>V</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d</m:t>
            </m:r>
          </m:sup>
        </m:sSup>
      </m:oMath>
      <w:r>
        <w:rPr>
          <w:rFonts w:ascii="Times New Roman" w:hAnsi="Times New Roman"/>
          <w:sz w:val="20"/>
        </w:rPr>
        <w:t>). The multi-head cross-attention mechanism (</w:t>
      </w:r>
      <m:oMath>
        <m:sSub>
          <m:sSubPr>
            <m:ctrlPr>
              <w:rPr>
                <w:rFonts w:ascii="Cambria Math" w:hAnsi="Cambria Math"/>
              </w:rPr>
            </m:ctrlPr>
          </m:sSubPr>
          <m:e>
            <m:r>
              <w:rPr>
                <w:rFonts w:ascii="Cambria Math" w:hAnsi="Cambria Math"/>
              </w:rPr>
              <m:t>n</m:t>
            </m:r>
          </m:e>
          <m:sub>
            <m:r>
              <w:rPr>
                <w:rFonts w:ascii="Cambria Math" w:hAnsi="Cambria Math"/>
              </w:rPr>
              <m:t>heads</m:t>
            </m:r>
          </m:sub>
        </m:sSub>
        <m:r>
          <m:rPr>
            <m:sty m:val="p"/>
          </m:rPr>
          <w:rPr>
            <w:rFonts w:ascii="Cambria Math" w:hAnsi="Cambria Math"/>
          </w:rPr>
          <m:t>=</m:t>
        </m:r>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32</m:t>
        </m:r>
      </m:oMath>
      <w:r>
        <w:rPr>
          <w:rFonts w:ascii="Times New Roman" w:hAnsi="Times New Roman"/>
          <w:sz w:val="20"/>
        </w:rPr>
        <w:t>), followed by Layer Normalization and a GeLU activation, was formulated as:</w:t>
      </w:r>
    </w:p>
    <w:p w14:paraId="6961FAE5" w14:textId="77777777" w:rsidR="00360A97" w:rsidRDefault="00000000">
      <w:pPr>
        <w:tabs>
          <w:tab w:val="right" w:pos="9360"/>
        </w:tabs>
        <w:spacing w:before="120" w:after="120"/>
        <w:jc w:val="center"/>
      </w:pPr>
      <m:oMath>
        <m:r>
          <w:rPr>
            <w:rFonts w:ascii="Cambria Math" w:hAnsi="Cambria Math"/>
          </w:rPr>
          <m:t>Attention(Q, K, V) = 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 xml:space="preserve"> V</m:t>
        </m:r>
      </m:oMath>
      <w:r>
        <w:rPr>
          <w:rFonts w:ascii="Times New Roman" w:hAnsi="Times New Roman"/>
          <w:sz w:val="20"/>
        </w:rPr>
        <w:tab/>
        <w:t>(2)</w:t>
      </w:r>
    </w:p>
    <w:p w14:paraId="6EE317A1" w14:textId="77777777" w:rsidR="00360A97" w:rsidRDefault="00000000">
      <w:pPr>
        <w:pStyle w:val="FirstParagraph"/>
        <w:spacing w:before="0" w:after="80"/>
        <w:jc w:val="both"/>
      </w:pPr>
      <w:r>
        <w:rPr>
          <w:rFonts w:ascii="Times New Roman" w:hAnsi="Times New Roman"/>
          <w:sz w:val="20"/>
        </w:rPr>
        <w:t>This novel architecture explicitly anchors the inherently unstable, high-dimensional neural representations directly to the deterministic physiological parameters. It forces the neural network to calculate attention weights based on structural dysarthria markers rather than ambient noise artifacts [14].</w:t>
      </w:r>
    </w:p>
    <w:p w14:paraId="190E5FAC" w14:textId="77777777" w:rsidR="00360A97" w:rsidRDefault="00000000">
      <w:pPr>
        <w:pStyle w:val="BodyText"/>
        <w:spacing w:before="0" w:after="80"/>
        <w:jc w:val="both"/>
      </w:pPr>
      <w:r>
        <w:rPr>
          <w:rFonts w:ascii="Times New Roman" w:hAnsi="Times New Roman"/>
          <w:sz w:val="20"/>
        </w:rPr>
        <w:t xml:space="preserve">To rigorously prevent data leakage during optimization, training was strictly bounded by a </w:t>
      </w:r>
      <w:r>
        <w:rPr>
          <w:rFonts w:ascii="Times New Roman" w:hAnsi="Times New Roman"/>
          <w:b/>
          <w:bCs/>
          <w:sz w:val="20"/>
        </w:rPr>
        <w:t>5-fold subject-stratified GroupKFold</w:t>
      </w:r>
      <w:r>
        <w:rPr>
          <w:rFonts w:ascii="Times New Roman" w:hAnsi="Times New Roman"/>
          <w:sz w:val="20"/>
        </w:rPr>
        <w:t xml:space="preserve"> cross-validation scheme; all acoustic frames originating from a specific subject were mathematically guaranteed to remain entirely within either the training or testing manifold, functionally implementing Leave-One-Subject-Out (LOSO) guarantees [15]. Since the programmatic age-gating process naturally yielded a perfectly balanced cohort of 60 PD and 60 HC subjects, class imbalance was inherently mitigated, eliminating the need for synthetic oversampling methods and ensuring that model evaluation remains grounded in the true prevalence distribution of the matching cohort.</w:t>
      </w:r>
    </w:p>
    <w:p w14:paraId="5778F76A" w14:textId="4CAA0CF2" w:rsidR="00360A97" w:rsidRDefault="00000000">
      <w:pPr>
        <w:pStyle w:val="BodyText"/>
        <w:spacing w:before="0" w:after="80"/>
        <w:jc w:val="both"/>
      </w:pPr>
      <w:r>
        <w:rPr>
          <w:rFonts w:ascii="Times New Roman" w:hAnsi="Times New Roman"/>
          <w:sz w:val="20"/>
        </w:rPr>
        <w:t>To further combat overfitting given the constrained cohort size (</w:t>
      </w:r>
      <m:oMath>
        <m:r>
          <w:rPr>
            <w:rFonts w:ascii="Cambria Math" w:hAnsi="Cambria Math"/>
          </w:rPr>
          <m:t>N</m:t>
        </m:r>
        <m:r>
          <m:rPr>
            <m:sty m:val="p"/>
          </m:rPr>
          <w:rPr>
            <w:rFonts w:ascii="Cambria Math" w:hAnsi="Cambria Math"/>
          </w:rPr>
          <m:t>=</m:t>
        </m:r>
        <m:r>
          <w:rPr>
            <w:rFonts w:ascii="Cambria Math" w:hAnsi="Cambria Math"/>
          </w:rPr>
          <m:t>120</m:t>
        </m:r>
      </m:oMath>
      <w:r>
        <w:rPr>
          <w:rFonts w:ascii="Times New Roman" w:hAnsi="Times New Roman"/>
          <w:sz w:val="20"/>
        </w:rPr>
        <w:t xml:space="preserve">), an online data augmentation strategy was applied strictly within each training fold. Crucially, this augmentation was applied exclusively to the raw acoustic representations fed into the neural backbone, while leaving the classical physiological baseline features (e.g., Jitter, Shimmer) completely unaugmented. This deliberate structural choice enforces a contrastive cross-modal regularization effect: the network is forced to learn mappings from artificially corrupted ambient acoustic spaces back to the patient’s true, deterministic physiological signature. Each audio sample was augmented with </w:t>
      </w:r>
      <m:oMath>
        <m:r>
          <w:rPr>
            <w:rFonts w:ascii="Cambria Math" w:hAnsi="Cambria Math"/>
          </w:rPr>
          <m:t>n</m:t>
        </m:r>
        <m:r>
          <m:rPr>
            <m:sty m:val="p"/>
          </m:rPr>
          <w:rPr>
            <w:rFonts w:ascii="Cambria Math" w:hAnsi="Cambria Math"/>
          </w:rPr>
          <m:t>=</m:t>
        </m:r>
        <m:r>
          <w:rPr>
            <w:rFonts w:ascii="Cambria Math" w:hAnsi="Cambria Math"/>
          </w:rPr>
          <m:t>4</m:t>
        </m:r>
      </m:oMath>
      <w:r>
        <w:rPr>
          <w:rFonts w:ascii="Times New Roman" w:hAnsi="Times New Roman"/>
          <w:sz w:val="20"/>
        </w:rPr>
        <w:t xml:space="preserve"> stochastic transformations per sample, including Gaussian additive noise injection (SNR: 5–25 dB), random time-shifting </w:t>
      </w:r>
      <w:r w:rsidR="00B972A2">
        <w:rPr>
          <w:rFonts w:ascii="Times New Roman" w:hAnsi="Times New Roman"/>
          <w:sz w:val="20"/>
        </w:rPr>
        <w:t>(</w:t>
      </w:r>
      <w:r w:rsidR="00B972A2" w:rsidRPr="00B972A2">
        <w:rPr>
          <w:rFonts w:ascii="Times New Roman" w:hAnsi="Times New Roman"/>
          <w:sz w:val="20"/>
        </w:rPr>
        <w:t>0.5s),</w:t>
      </w:r>
      <w:r w:rsidR="00B972A2">
        <w:rPr>
          <w:rFonts w:ascii="Times New Roman" w:hAnsi="Times New Roman"/>
          <w:sz w:val="20"/>
        </w:rPr>
        <w:t xml:space="preserve"> </w:t>
      </w:r>
      <w:r w:rsidR="00B972A2" w:rsidRPr="00B972A2">
        <w:rPr>
          <w:rFonts w:ascii="Times New Roman" w:hAnsi="Times New Roman"/>
          <w:sz w:val="20"/>
        </w:rPr>
        <w:t>pitch</w:t>
      </w:r>
      <w:r w:rsidR="00B972A2">
        <w:rPr>
          <w:rFonts w:ascii="Times New Roman" w:hAnsi="Times New Roman"/>
          <w:sz w:val="20"/>
        </w:rPr>
        <w:t xml:space="preserve"> </w:t>
      </w:r>
      <w:r w:rsidR="00B972A2" w:rsidRPr="00B972A2">
        <w:rPr>
          <w:rFonts w:ascii="Times New Roman" w:hAnsi="Times New Roman"/>
          <w:sz w:val="20"/>
        </w:rPr>
        <w:t>perturbation</w:t>
      </w:r>
      <w:r w:rsidR="00F56E19">
        <w:rPr>
          <w:rFonts w:ascii="Times New Roman" w:hAnsi="Times New Roman"/>
          <w:sz w:val="20"/>
        </w:rPr>
        <w:t xml:space="preserve"> </w:t>
      </w:r>
      <w:r w:rsidR="00B972A2" w:rsidRPr="00B972A2">
        <w:rPr>
          <w:rFonts w:ascii="Times New Roman" w:hAnsi="Times New Roman"/>
          <w:sz w:val="20"/>
        </w:rPr>
        <w:t>(2</w:t>
      </w:r>
      <w:r w:rsidR="00B972A2">
        <w:rPr>
          <w:rFonts w:ascii="Times New Roman" w:hAnsi="Times New Roman"/>
          <w:sz w:val="20"/>
        </w:rPr>
        <w:t xml:space="preserve"> </w:t>
      </w:r>
      <w:r w:rsidR="00B972A2" w:rsidRPr="00B972A2">
        <w:rPr>
          <w:rFonts w:ascii="Times New Roman" w:hAnsi="Times New Roman"/>
          <w:sz w:val="20"/>
        </w:rPr>
        <w:t>semitones),</w:t>
      </w:r>
      <w:r w:rsidR="00B972A2">
        <w:rPr>
          <w:rFonts w:ascii="Times New Roman" w:hAnsi="Times New Roman"/>
          <w:sz w:val="20"/>
        </w:rPr>
        <w:t xml:space="preserve"> </w:t>
      </w:r>
      <w:r w:rsidR="00B972A2" w:rsidRPr="00B972A2">
        <w:rPr>
          <w:rFonts w:ascii="Times New Roman" w:hAnsi="Times New Roman"/>
          <w:sz w:val="20"/>
        </w:rPr>
        <w:t>and amplitude</w:t>
      </w:r>
      <w:r w:rsidR="00B972A2">
        <w:rPr>
          <w:rFonts w:ascii="Times New Roman" w:hAnsi="Times New Roman"/>
          <w:sz w:val="20"/>
        </w:rPr>
        <w:t xml:space="preserve"> </w:t>
      </w:r>
      <w:r w:rsidR="00B972A2" w:rsidRPr="00B972A2">
        <w:rPr>
          <w:rFonts w:ascii="Times New Roman" w:hAnsi="Times New Roman"/>
          <w:sz w:val="20"/>
        </w:rPr>
        <w:t>jitter</w:t>
      </w:r>
      <w:r w:rsidR="00F56E19">
        <w:rPr>
          <w:rFonts w:ascii="Times New Roman" w:hAnsi="Times New Roman"/>
          <w:sz w:val="20"/>
        </w:rPr>
        <w:t xml:space="preserve"> </w:t>
      </w:r>
      <w:r w:rsidR="00B972A2" w:rsidRPr="00B972A2">
        <w:rPr>
          <w:rFonts w:ascii="Times New Roman" w:hAnsi="Times New Roman"/>
          <w:sz w:val="20"/>
        </w:rPr>
        <w:t>(</w:t>
      </w:r>
      <w:r>
        <w:rPr>
          <w:rFonts w:ascii="Times New Roman" w:hAnsi="Times New Roman"/>
          <w:sz w:val="20"/>
        </w:rPr>
        <w:t xml:space="preserve">15 dB). This expanded the effective training set by approximately </w:t>
      </w:r>
      <m:oMath>
        <m:r>
          <w:rPr>
            <w:rFonts w:ascii="Cambria Math" w:hAnsi="Cambria Math"/>
          </w:rPr>
          <m:t>5</m:t>
        </m:r>
        <m:r>
          <m:rPr>
            <m:sty m:val="p"/>
          </m:rPr>
          <w:rPr>
            <w:rFonts w:ascii="Cambria Math" w:hAnsi="Cambria Math"/>
          </w:rPr>
          <m:t>×</m:t>
        </m:r>
      </m:oMath>
      <w:r>
        <w:rPr>
          <w:rFonts w:ascii="Times New Roman" w:hAnsi="Times New Roman"/>
          <w:sz w:val="20"/>
        </w:rPr>
        <w:t xml:space="preserve"> per fold without introducing cross-fold data contamination. The Cross-Attention model was optimized using the AdamW optimizer [LR=</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Times New Roman" w:hAnsi="Times New Roman"/>
          <w:sz w:val="20"/>
        </w:rPr>
        <w:t>, weight decay=</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Times New Roman" w:hAnsi="Times New Roman"/>
          <w:sz w:val="20"/>
        </w:rPr>
        <w:t xml:space="preserve">] over </w:t>
      </w:r>
      <m:oMath>
        <m:sSub>
          <m:sSubPr>
            <m:ctrlPr>
              <w:rPr>
                <w:rFonts w:ascii="Cambria Math" w:hAnsi="Cambria Math"/>
              </w:rPr>
            </m:ctrlPr>
          </m:sSubPr>
          <m:e>
            <m:r>
              <w:rPr>
                <w:rFonts w:ascii="Cambria Math" w:hAnsi="Cambria Math"/>
              </w:rPr>
              <m:t>N</m:t>
            </m:r>
          </m:e>
          <m:sub>
            <m:r>
              <w:rPr>
                <w:rFonts w:ascii="Cambria Math" w:hAnsi="Cambria Math"/>
              </w:rPr>
              <m:t>epochs</m:t>
            </m:r>
          </m:sub>
        </m:sSub>
        <m:r>
          <m:rPr>
            <m:sty m:val="p"/>
          </m:rPr>
          <w:rPr>
            <w:rFonts w:ascii="Cambria Math" w:hAnsi="Cambria Math"/>
          </w:rPr>
          <m:t>=</m:t>
        </m:r>
        <m:r>
          <w:rPr>
            <w:rFonts w:ascii="Cambria Math" w:hAnsi="Cambria Math"/>
          </w:rPr>
          <m:t>25</m:t>
        </m:r>
      </m:oMath>
      <w:r>
        <w:rPr>
          <w:rFonts w:ascii="Times New Roman" w:hAnsi="Times New Roman"/>
          <w:sz w:val="20"/>
        </w:rPr>
        <w:t xml:space="preserve"> training epochs with a batch size of 8, with gradient clipping at a max norm of 1.0 to stabilize training.</w:t>
      </w:r>
    </w:p>
    <w:p w14:paraId="56B8849C" w14:textId="77777777" w:rsidR="00360A97" w:rsidRDefault="00000000">
      <w:pPr>
        <w:pStyle w:val="Heading3"/>
      </w:pPr>
      <w:bookmarkStart w:id="11" w:name="Xe91d07e30573e356ab67bbc00439e0ff865e2a1"/>
      <w:bookmarkEnd w:id="10"/>
      <w:r>
        <w:rPr>
          <w:rFonts w:ascii="Times New Roman" w:hAnsi="Times New Roman"/>
          <w:b/>
          <w:sz w:val="20"/>
        </w:rPr>
        <w:t>3.4 Edge Distillation for On-Device Deployment</w:t>
      </w:r>
    </w:p>
    <w:p w14:paraId="7FC42C1C" w14:textId="77777777" w:rsidR="00360A97" w:rsidRDefault="00000000">
      <w:pPr>
        <w:pStyle w:val="FirstParagraph"/>
        <w:spacing w:before="0" w:after="80"/>
        <w:jc w:val="both"/>
      </w:pPr>
      <w:r>
        <w:rPr>
          <w:rFonts w:ascii="Times New Roman" w:hAnsi="Times New Roman"/>
          <w:sz w:val="20"/>
        </w:rPr>
        <w:t>To satisfy the stringent latency, thermal, and memory constraints required for continuous background execution on consumer mHealth applications, we applied deep Knowledge Distillation [11]. The full Cross-Attention Fusion system (~95M parameters, ~250 ms latency) served as the Teacher model. We engineered a highly optimized Student model (</w:t>
      </w:r>
      <w:r>
        <w:rPr>
          <w:rFonts w:ascii="Times New Roman" w:hAnsi="Times New Roman"/>
          <w:b/>
          <w:bCs/>
          <w:sz w:val="20"/>
        </w:rPr>
        <w:t>287K parameters</w:t>
      </w:r>
      <w:r>
        <w:rPr>
          <w:rFonts w:ascii="Times New Roman" w:hAnsi="Times New Roman"/>
          <w:sz w:val="20"/>
        </w:rPr>
        <w:t xml:space="preserve">, ~370× smaller than the teacher), completely replacing the heavy </w:t>
      </w:r>
      <w:r>
        <w:rPr>
          <w:rStyle w:val="VerbatimChar"/>
          <w:rFonts w:ascii="Times New Roman" w:hAnsi="Times New Roman"/>
          <w:sz w:val="20"/>
        </w:rPr>
        <w:t>wav2vec</w:t>
      </w:r>
      <w:r>
        <w:rPr>
          <w:rFonts w:ascii="Times New Roman" w:hAnsi="Times New Roman"/>
          <w:sz w:val="20"/>
        </w:rPr>
        <w:t xml:space="preserve"> backbone with a rapid 4-layer 1D Convolutional encoder (</w:t>
      </w:r>
      <m:oMath>
        <m:r>
          <w:rPr>
            <w:rFonts w:ascii="Cambria Math" w:hAnsi="Cambria Math"/>
          </w:rPr>
          <m:t>64</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192</m:t>
        </m:r>
        <m:r>
          <m:rPr>
            <m:sty m:val="p"/>
          </m:rPr>
          <w:rPr>
            <w:rFonts w:ascii="Cambria Math" w:hAnsi="Cambria Math"/>
          </w:rPr>
          <m:t>→</m:t>
        </m:r>
        <m:r>
          <w:rPr>
            <w:rFonts w:ascii="Cambria Math" w:hAnsi="Cambria Math"/>
          </w:rPr>
          <m:t>256</m:t>
        </m:r>
      </m:oMath>
      <w:r>
        <w:rPr>
          <w:rFonts w:ascii="Times New Roman" w:hAnsi="Times New Roman"/>
          <w:sz w:val="20"/>
        </w:rPr>
        <w:t xml:space="preserve"> feature dimensions) with GELU activations. The convolutional layers use progressively smaller kernels and strides (kernel=10/stride=5, then kernel=3/stride=2 </w:t>
      </w:r>
      <m:oMath>
        <m:r>
          <m:rPr>
            <m:sty m:val="p"/>
          </m:rPr>
          <w:rPr>
            <w:rFonts w:ascii="Cambria Math" w:hAnsi="Cambria Math"/>
          </w:rPr>
          <m:t>×</m:t>
        </m:r>
        <m:r>
          <w:rPr>
            <w:rFonts w:ascii="Cambria Math" w:hAnsi="Cambria Math"/>
          </w:rPr>
          <m:t>3</m:t>
        </m:r>
      </m:oMath>
      <w:r>
        <w:rPr>
          <w:rFonts w:ascii="Times New Roman" w:hAnsi="Times New Roman"/>
          <w:sz w:val="20"/>
        </w:rPr>
        <w:t>), terminating in a lightweight 2-layer MLP classification head.</w:t>
      </w:r>
    </w:p>
    <w:p w14:paraId="23DD2D67" w14:textId="2505F97C" w:rsidR="00360A97" w:rsidRDefault="00000000">
      <w:pPr>
        <w:pStyle w:val="BodyText"/>
        <w:spacing w:before="0" w:after="80"/>
        <w:jc w:val="both"/>
      </w:pPr>
      <w:r>
        <w:rPr>
          <w:rFonts w:ascii="Times New Roman" w:hAnsi="Times New Roman"/>
          <w:sz w:val="20"/>
        </w:rPr>
        <w:t xml:space="preserve">The </w:t>
      </w:r>
      <w:r w:rsidR="00F56E19">
        <w:rPr>
          <w:rFonts w:ascii="Times New Roman" w:hAnsi="Times New Roman"/>
          <w:sz w:val="20"/>
        </w:rPr>
        <w:t>student</w:t>
      </w:r>
      <w:r>
        <w:rPr>
          <w:rFonts w:ascii="Times New Roman" w:hAnsi="Times New Roman"/>
          <w:sz w:val="20"/>
        </w:rPr>
        <w:t xml:space="preserve"> model was optimized to emulate the teacher’s generalized latent decision logic by minimizing a composite loss function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oMath>
      <w:r>
        <w:rPr>
          <w:rFonts w:ascii="Times New Roman" w:hAnsi="Times New Roman"/>
          <w:sz w:val="20"/>
        </w:rPr>
        <w:t>:</w:t>
      </w:r>
    </w:p>
    <w:p w14:paraId="77238C60" w14:textId="77777777" w:rsidR="00360A97" w:rsidRDefault="00000000">
      <w:pPr>
        <w:tabs>
          <w:tab w:val="right" w:pos="9360"/>
        </w:tabs>
        <w:spacing w:before="120" w:after="120"/>
        <w:jc w:val="center"/>
      </w:pPr>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α </m:t>
        </m:r>
        <m:sSub>
          <m:sSubPr>
            <m:ctrlPr>
              <w:rPr>
                <w:rFonts w:ascii="Cambria Math" w:hAnsi="Cambria Math"/>
              </w:rPr>
            </m:ctrlPr>
          </m:sSubPr>
          <m:e>
            <m:r>
              <m:rPr>
                <m:scr m:val="script"/>
              </m:rPr>
              <w:rPr>
                <w:rFonts w:ascii="Cambria Math" w:hAnsi="Cambria Math"/>
              </w:rPr>
              <m:t>L</m:t>
            </m:r>
          </m:e>
          <m:sub>
            <m:r>
              <w:rPr>
                <w:rFonts w:ascii="Cambria Math" w:hAnsi="Cambria Math"/>
              </w:rPr>
              <m:t>KL</m:t>
            </m:r>
          </m:sub>
        </m:sSub>
        <m:d>
          <m:dPr>
            <m:ctrlPr>
              <w:rPr>
                <w:rFonts w:ascii="Cambria Math" w:hAnsi="Cambria Math"/>
              </w:rPr>
            </m:ctrlPr>
          </m:dPr>
          <m:e>
            <m:r>
              <w:rPr>
                <w:rFonts w:ascii="Cambria Math" w:hAnsi="Cambria Math"/>
              </w:rPr>
              <m:t>σ</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s</m:t>
                        </m:r>
                      </m:sub>
                    </m:sSub>
                  </m:num>
                  <m:den>
                    <m:r>
                      <w:rPr>
                        <w:rFonts w:ascii="Cambria Math" w:hAnsi="Cambria Math"/>
                      </w:rPr>
                      <m:t>T</m:t>
                    </m:r>
                  </m:den>
                </m:f>
              </m:e>
            </m:d>
            <m:r>
              <w:rPr>
                <w:rFonts w:ascii="Cambria Math" w:hAnsi="Cambria Math"/>
              </w:rPr>
              <m:t>, σ</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sub>
                    </m:sSub>
                  </m:num>
                  <m:den>
                    <m:r>
                      <w:rPr>
                        <w:rFonts w:ascii="Cambria Math" w:hAnsi="Cambria Math"/>
                      </w:rPr>
                      <m:t>T</m:t>
                    </m:r>
                  </m:den>
                </m:f>
              </m:e>
            </m:d>
          </m:e>
        </m:d>
        <m:r>
          <w:rPr>
            <w:rFonts w:ascii="Cambria Math" w:hAnsi="Cambria Math"/>
          </w:rPr>
          <m:t xml:space="preserve"> + (1-α) </m:t>
        </m:r>
        <m:sSub>
          <m:sSubPr>
            <m:ctrlPr>
              <w:rPr>
                <w:rFonts w:ascii="Cambria Math" w:hAnsi="Cambria Math"/>
              </w:rPr>
            </m:ctrlPr>
          </m:sSubPr>
          <m:e>
            <m:r>
              <m:rPr>
                <m:scr m:val="script"/>
              </m:rPr>
              <w:rPr>
                <w:rFonts w:ascii="Cambria Math" w:hAnsi="Cambria Math"/>
              </w:rPr>
              <m:t>L</m:t>
            </m:r>
          </m:e>
          <m:sub>
            <m:r>
              <w:rPr>
                <w:rFonts w:ascii="Cambria Math" w:hAnsi="Cambria Math"/>
              </w:rPr>
              <m:t>CE</m:t>
            </m:r>
          </m:sub>
        </m:sSub>
        <m:d>
          <m:dPr>
            <m:ctrlPr>
              <w:rPr>
                <w:rFonts w:ascii="Cambria Math" w:hAnsi="Cambria Math"/>
              </w:rPr>
            </m:ctrlPr>
          </m:dPr>
          <m:e>
            <m:r>
              <w:rPr>
                <w:rFonts w:ascii="Cambria Math" w:hAnsi="Cambria Math"/>
              </w:rPr>
              <m:t>y, 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e>
            </m:d>
          </m:e>
        </m:d>
      </m:oMath>
      <w:r>
        <w:rPr>
          <w:rFonts w:ascii="Times New Roman" w:hAnsi="Times New Roman"/>
          <w:sz w:val="20"/>
        </w:rPr>
        <w:tab/>
        <w:t>(3)</w:t>
      </w:r>
    </w:p>
    <w:p w14:paraId="29CD356A" w14:textId="77777777" w:rsidR="00360A97" w:rsidRDefault="00000000">
      <w:pPr>
        <w:pStyle w:val="FirstParagraph"/>
        <w:spacing w:before="0" w:after="80"/>
        <w:jc w:val="both"/>
      </w:pPr>
      <w:r>
        <w:rPr>
          <w:rFonts w:ascii="Times New Roman" w:hAnsi="Times New Roman"/>
          <w:sz w:val="20"/>
        </w:rPr>
        <w:t xml:space="preserve">where </w:t>
      </w:r>
      <m:oMath>
        <m:sSub>
          <m:sSubPr>
            <m:ctrlPr>
              <w:rPr>
                <w:rFonts w:ascii="Cambria Math" w:hAnsi="Cambria Math"/>
              </w:rPr>
            </m:ctrlPr>
          </m:sSubPr>
          <m:e>
            <m:r>
              <w:rPr>
                <w:rFonts w:ascii="Cambria Math" w:hAnsi="Cambria Math"/>
              </w:rPr>
              <m:t>Z</m:t>
            </m:r>
          </m:e>
          <m:sub>
            <m:r>
              <w:rPr>
                <w:rFonts w:ascii="Cambria Math" w:hAnsi="Cambria Math"/>
              </w:rPr>
              <m:t>s</m:t>
            </m:r>
          </m:sub>
        </m:sSub>
      </m:oMath>
      <w:r>
        <w:rPr>
          <w:rFonts w:ascii="Times New Roman" w:hAnsi="Times New Roman"/>
          <w:sz w:val="20"/>
        </w:rPr>
        <w:t xml:space="preserve"> and </w:t>
      </w:r>
      <m:oMath>
        <m:sSub>
          <m:sSubPr>
            <m:ctrlPr>
              <w:rPr>
                <w:rFonts w:ascii="Cambria Math" w:hAnsi="Cambria Math"/>
              </w:rPr>
            </m:ctrlPr>
          </m:sSubPr>
          <m:e>
            <m:r>
              <w:rPr>
                <w:rFonts w:ascii="Cambria Math" w:hAnsi="Cambria Math"/>
              </w:rPr>
              <m:t>Z</m:t>
            </m:r>
          </m:e>
          <m:sub>
            <m:r>
              <w:rPr>
                <w:rFonts w:ascii="Cambria Math" w:hAnsi="Cambria Math"/>
              </w:rPr>
              <m:t>t</m:t>
            </m:r>
          </m:sub>
        </m:sSub>
      </m:oMath>
      <w:r>
        <w:rPr>
          <w:rFonts w:ascii="Times New Roman" w:hAnsi="Times New Roman"/>
          <w:sz w:val="20"/>
        </w:rPr>
        <w:t xml:space="preserve"> represent the pre-softmax output logits of the Student and Teacher networks respectively, </w:t>
      </w:r>
      <m:oMath>
        <m:r>
          <w:rPr>
            <w:rFonts w:ascii="Cambria Math" w:hAnsi="Cambria Math"/>
          </w:rPr>
          <m:t>σ</m:t>
        </m:r>
      </m:oMath>
      <w:r>
        <w:rPr>
          <w:rFonts w:ascii="Times New Roman" w:hAnsi="Times New Roman"/>
          <w:sz w:val="20"/>
        </w:rPr>
        <w:t xml:space="preserve"> represents the standard softmax activation function, and </w:t>
      </w:r>
      <m:oMath>
        <m:r>
          <w:rPr>
            <w:rFonts w:ascii="Cambria Math" w:hAnsi="Cambria Math"/>
          </w:rPr>
          <m:t>y</m:t>
        </m:r>
      </m:oMath>
      <w:r>
        <w:rPr>
          <w:rFonts w:ascii="Times New Roman" w:hAnsi="Times New Roman"/>
          <w:sz w:val="20"/>
        </w:rPr>
        <w:t xml:space="preserve"> represents the ground-truth label. </w:t>
      </w:r>
      <m:oMath>
        <m:r>
          <w:rPr>
            <w:rFonts w:ascii="Cambria Math" w:hAnsi="Cambria Math"/>
          </w:rPr>
          <m:t>T</m:t>
        </m:r>
        <m:r>
          <m:rPr>
            <m:sty m:val="p"/>
          </m:rPr>
          <w:rPr>
            <w:rFonts w:ascii="Cambria Math" w:hAnsi="Cambria Math"/>
          </w:rPr>
          <m:t>=</m:t>
        </m:r>
        <m:r>
          <w:rPr>
            <w:rFonts w:ascii="Cambria Math" w:hAnsi="Cambria Math"/>
          </w:rPr>
          <m:t>4.0</m:t>
        </m:r>
      </m:oMath>
      <w:r>
        <w:rPr>
          <w:rFonts w:ascii="Times New Roman" w:hAnsi="Times New Roman"/>
          <w:sz w:val="20"/>
        </w:rPr>
        <w:t xml:space="preserve"> represents the distillation temperature, specifically tuned to soften the teacher’s probability distribution and expose inter-class relational knowledge (dark knowledge). The hyperparameter </w:t>
      </w:r>
      <m:oMath>
        <m:r>
          <w:rPr>
            <w:rFonts w:ascii="Cambria Math" w:hAnsi="Cambria Math"/>
          </w:rPr>
          <m:t>α</m:t>
        </m:r>
        <m:r>
          <m:rPr>
            <m:sty m:val="p"/>
          </m:rPr>
          <w:rPr>
            <w:rFonts w:ascii="Cambria Math" w:hAnsi="Cambria Math"/>
          </w:rPr>
          <m:t>=</m:t>
        </m:r>
        <m:r>
          <w:rPr>
            <w:rFonts w:ascii="Cambria Math" w:hAnsi="Cambria Math"/>
          </w:rPr>
          <m:t>0.7</m:t>
        </m:r>
      </m:oMath>
      <w:r>
        <w:rPr>
          <w:rFonts w:ascii="Times New Roman" w:hAnsi="Times New Roman"/>
          <w:sz w:val="20"/>
        </w:rPr>
        <w:t xml:space="preserve"> weights the soft Kullback-Leibler (KL) divergence distillation loss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KL</m:t>
            </m:r>
          </m:sub>
        </m:sSub>
      </m:oMath>
      <w:r>
        <w:rPr>
          <w:rFonts w:ascii="Times New Roman" w:hAnsi="Times New Roman"/>
          <w:sz w:val="20"/>
        </w:rPr>
        <w:t xml:space="preserve">), prioritizing teacher mimicry, while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0.3</m:t>
        </m:r>
      </m:oMath>
      <w:r>
        <w:rPr>
          <w:rFonts w:ascii="Times New Roman" w:hAnsi="Times New Roman"/>
          <w:sz w:val="20"/>
        </w:rPr>
        <w:t xml:space="preserve"> weights the hard ground-truth cross-entropy loss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oMath>
      <w:r>
        <w:rPr>
          <w:rFonts w:ascii="Times New Roman" w:hAnsi="Times New Roman"/>
          <w:sz w:val="20"/>
        </w:rPr>
        <w:t>), ensuring the student remains anchored to verified clinical labels.</w:t>
      </w:r>
    </w:p>
    <w:p w14:paraId="4086E4C5" w14:textId="77777777" w:rsidR="00360A97" w:rsidRDefault="00000000">
      <w:pPr>
        <w:pStyle w:val="Heading3"/>
      </w:pPr>
      <w:bookmarkStart w:id="12" w:name="X02680c4b088a3c995f667c62fc7b46346afd56c"/>
      <w:bookmarkEnd w:id="11"/>
      <w:r>
        <w:rPr>
          <w:rFonts w:ascii="Times New Roman" w:hAnsi="Times New Roman"/>
          <w:b/>
          <w:sz w:val="20"/>
        </w:rPr>
        <w:t>3.5 Agentic LLM Synthesis and Uncertainty Quantification</w:t>
      </w:r>
    </w:p>
    <w:p w14:paraId="12033B6D" w14:textId="77777777" w:rsidR="00360A97" w:rsidRDefault="00000000">
      <w:pPr>
        <w:pStyle w:val="FirstParagraph"/>
        <w:spacing w:before="0" w:after="80"/>
        <w:jc w:val="both"/>
      </w:pPr>
      <w:r>
        <w:rPr>
          <w:rFonts w:ascii="Times New Roman" w:hAnsi="Times New Roman"/>
          <w:sz w:val="20"/>
        </w:rPr>
        <w:t>The final, translational layer of the architecture transforms raw numeric classification arrays into human-readable clinical text utilizing a 4-bit quantized Gemma-2b Large Language Model [16], operating natively and securely on-device.</w:t>
      </w:r>
    </w:p>
    <w:p w14:paraId="210B809E" w14:textId="77777777" w:rsidR="00360A97" w:rsidRDefault="00000000">
      <w:pPr>
        <w:pStyle w:val="BodyText"/>
        <w:spacing w:before="0" w:after="80"/>
        <w:jc w:val="both"/>
      </w:pPr>
      <w:r>
        <w:rPr>
          <w:rFonts w:ascii="Times New Roman" w:hAnsi="Times New Roman"/>
          <w:sz w:val="20"/>
        </w:rPr>
        <w:t xml:space="preserve">To prevent clinical hallucination, the Edge Student’s output classification probabilities were coupled with predictive confidence intervals derived from </w:t>
      </w:r>
      <w:r>
        <w:rPr>
          <w:rFonts w:ascii="Times New Roman" w:hAnsi="Times New Roman"/>
          <w:b/>
          <w:bCs/>
          <w:sz w:val="20"/>
        </w:rPr>
        <w:t>10 stochastic forward passes</w:t>
      </w:r>
      <w:r>
        <w:rPr>
          <w:rFonts w:ascii="Times New Roman" w:hAnsi="Times New Roman"/>
          <w:sz w:val="20"/>
        </w:rPr>
        <w:t xml:space="preserve"> of Monte Carlo Dropout inference [17], with Dropout layers explicitly activated at test time. These stochastic probability bounds (mean and standard deviation across iterations) were structurally coerced into localized, strict JSON prompt templates. These templates ingested longitudinal patient context (e.g., historical MDS-UPDRS trends) and explicitly defined SHapley Additive exPlanations (SHAP) [18] feature drivers.</w:t>
      </w:r>
    </w:p>
    <w:p w14:paraId="5151F3D5" w14:textId="77777777" w:rsidR="00360A97" w:rsidRDefault="00000000">
      <w:pPr>
        <w:pStyle w:val="BodyText"/>
        <w:spacing w:before="0" w:after="80"/>
        <w:jc w:val="both"/>
      </w:pPr>
      <w:r>
        <w:rPr>
          <w:rFonts w:ascii="Times New Roman" w:hAnsi="Times New Roman"/>
          <w:sz w:val="20"/>
        </w:rPr>
        <w:t xml:space="preserve">To formally quantify the synthesis of acoustic telemetry and longitudinal history, we introduce a </w:t>
      </w:r>
      <w:r>
        <w:rPr>
          <w:rFonts w:ascii="Times New Roman" w:hAnsi="Times New Roman"/>
          <w:b/>
          <w:bCs/>
          <w:sz w:val="20"/>
        </w:rPr>
        <w:t>Clinical Synthesis Index (CSI)</w:t>
      </w:r>
      <w:r>
        <w:rPr>
          <w:rFonts w:ascii="Times New Roman" w:hAnsi="Times New Roman"/>
          <w:sz w:val="20"/>
        </w:rPr>
        <w:t xml:space="preserve"> within the generation logic. Importantly, the CSI is not proposed as a standalone, validated diagnostic biomarker; rather, it functions strictly as an internal attention-guiding heuristic prompt constraint. By mathematically weighting acute acoustic risk against longitudinal history, the CSI restricts the state space of the LLM generation, explicitly preventing the model from hallucinating clinical advice that contradicts the patient’s long-term trajectory:</w:t>
      </w:r>
    </w:p>
    <w:p w14:paraId="50040254" w14:textId="77777777" w:rsidR="00360A97" w:rsidRDefault="00000000">
      <w:pPr>
        <w:tabs>
          <w:tab w:val="right" w:pos="9360"/>
        </w:tabs>
        <w:spacing w:before="120" w:after="120"/>
        <w:jc w:val="center"/>
      </w:pPr>
      <m:oMath>
        <m:r>
          <w:rPr>
            <w:rFonts w:ascii="Cambria Math" w:hAnsi="Cambria Math"/>
          </w:rPr>
          <m:t xml:space="preserve">CSI = β </m:t>
        </m:r>
        <m:sSub>
          <m:sSubPr>
            <m:ctrlPr>
              <w:rPr>
                <w:rFonts w:ascii="Cambria Math" w:hAnsi="Cambria Math"/>
              </w:rPr>
            </m:ctrlPr>
          </m:sSubPr>
          <m:e>
            <m:r>
              <w:rPr>
                <w:rFonts w:ascii="Cambria Math" w:hAnsi="Cambria Math"/>
              </w:rPr>
              <m:t>P</m:t>
            </m:r>
          </m:e>
          <m:sub>
            <m:r>
              <w:rPr>
                <w:rFonts w:ascii="Cambria Math" w:hAnsi="Cambria Math"/>
              </w:rPr>
              <m:t>acoustic</m:t>
            </m:r>
          </m:sub>
        </m:sSub>
        <m:r>
          <w:rPr>
            <w:rFonts w:ascii="Cambria Math" w:hAnsi="Cambria Math"/>
          </w:rPr>
          <m:t xml:space="preserve"> + (1-β) tanh</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UPDRS</m:t>
                </m:r>
              </m:sub>
            </m:sSub>
          </m:e>
        </m:d>
      </m:oMath>
      <w:r>
        <w:rPr>
          <w:rFonts w:ascii="Times New Roman" w:hAnsi="Times New Roman"/>
          <w:sz w:val="20"/>
        </w:rPr>
        <w:tab/>
        <w:t>(4)</w:t>
      </w:r>
    </w:p>
    <w:p w14:paraId="44DA2316" w14:textId="77777777" w:rsidR="00360A97" w:rsidRDefault="00000000">
      <w:pPr>
        <w:pStyle w:val="FirstParagraph"/>
        <w:spacing w:before="0" w:after="80"/>
        <w:jc w:val="both"/>
      </w:pPr>
      <w:r>
        <w:rPr>
          <w:rFonts w:ascii="Times New Roman" w:hAnsi="Times New Roman"/>
          <w:sz w:val="20"/>
        </w:rPr>
        <w:t xml:space="preserve">where </w:t>
      </w:r>
      <m:oMath>
        <m:sSub>
          <m:sSubPr>
            <m:ctrlPr>
              <w:rPr>
                <w:rFonts w:ascii="Cambria Math" w:hAnsi="Cambria Math"/>
              </w:rPr>
            </m:ctrlPr>
          </m:sSubPr>
          <m:e>
            <m:r>
              <w:rPr>
                <w:rFonts w:ascii="Cambria Math" w:hAnsi="Cambria Math"/>
              </w:rPr>
              <m:t>P</m:t>
            </m:r>
          </m:e>
          <m:sub>
            <m:r>
              <w:rPr>
                <w:rFonts w:ascii="Cambria Math" w:hAnsi="Cambria Math"/>
              </w:rPr>
              <m:t>acoustic</m:t>
            </m:r>
          </m:sub>
        </m:sSub>
      </m:oMath>
      <w:r>
        <w:rPr>
          <w:rFonts w:ascii="Times New Roman" w:hAnsi="Times New Roman"/>
          <w:sz w:val="20"/>
        </w:rPr>
        <w:t xml:space="preserve"> is the distilled student’s mean probability, </w:t>
      </w:r>
      <m:oMath>
        <m:sSub>
          <m:sSubPr>
            <m:ctrlPr>
              <w:rPr>
                <w:rFonts w:ascii="Cambria Math" w:hAnsi="Cambria Math"/>
              </w:rPr>
            </m:ctrlPr>
          </m:sSubPr>
          <m:e>
            <m:r>
              <m:rPr>
                <m:sty m:val="p"/>
              </m:rPr>
              <w:rPr>
                <w:rFonts w:ascii="Cambria Math" w:hAnsi="Cambria Math"/>
              </w:rPr>
              <m:t>Δ</m:t>
            </m:r>
          </m:e>
          <m:sub>
            <m:r>
              <w:rPr>
                <w:rFonts w:ascii="Cambria Math" w:hAnsi="Cambria Math"/>
              </w:rPr>
              <m:t>UPDRS</m:t>
            </m:r>
          </m:sub>
        </m:sSub>
      </m:oMath>
      <w:r>
        <w:rPr>
          <w:rFonts w:ascii="Times New Roman" w:hAnsi="Times New Roman"/>
          <w:sz w:val="20"/>
        </w:rPr>
        <w:t xml:space="preserve"> represents the longitudinal change in the patient’s MDS-UPDRS score, and </w:t>
      </w:r>
      <m:oMath>
        <m:r>
          <w:rPr>
            <w:rFonts w:ascii="Cambria Math" w:hAnsi="Cambria Math"/>
          </w:rPr>
          <m:t>β</m:t>
        </m:r>
      </m:oMath>
      <w:r>
        <w:rPr>
          <w:rFonts w:ascii="Times New Roman" w:hAnsi="Times New Roman"/>
          <w:sz w:val="20"/>
        </w:rPr>
        <w:t xml:space="preserve"> is a dynamic weighting factor prioritized toward acoustic evidence (</w:t>
      </w:r>
      <m:oMath>
        <m:r>
          <w:rPr>
            <w:rFonts w:ascii="Cambria Math" w:hAnsi="Cambria Math"/>
          </w:rPr>
          <m:t>β</m:t>
        </m:r>
        <m:r>
          <m:rPr>
            <m:sty m:val="p"/>
          </m:rPr>
          <w:rPr>
            <w:rFonts w:ascii="Cambria Math" w:hAnsi="Cambria Math"/>
          </w:rPr>
          <m:t>=</m:t>
        </m:r>
        <m:r>
          <w:rPr>
            <w:rFonts w:ascii="Cambria Math" w:hAnsi="Cambria Math"/>
          </w:rPr>
          <m:t>0.7</m:t>
        </m:r>
      </m:oMath>
      <w:r>
        <w:rPr>
          <w:rFonts w:ascii="Times New Roman" w:hAnsi="Times New Roman"/>
          <w:sz w:val="20"/>
        </w:rPr>
        <w:t>). By utilizing a highly constrained Retrieval-Augmented Generation (RAG)-style context injection driven by this CSI, the Gemma agent was computationally forced to emit highly deterministic, hallucination-resistant clinical triage narratives based strictly on the provided multi-modal physiological telemetry.</w:t>
      </w:r>
    </w:p>
    <w:p w14:paraId="7F80E346" w14:textId="77777777" w:rsidR="00360A97" w:rsidRDefault="00000000">
      <w:pPr>
        <w:spacing w:after="80"/>
        <w:jc w:val="both"/>
      </w:pPr>
      <w:r>
        <w:rPr>
          <w:rFonts w:ascii="Times New Roman" w:hAnsi="Times New Roman"/>
          <w:sz w:val="20"/>
        </w:rPr>
        <w:pict w14:anchorId="35CCF966">
          <v:rect id="_x0000_i1028" style="width:0;height:1.5pt" o:hralign="center" o:hrstd="t" o:hr="t"/>
        </w:pict>
      </w:r>
    </w:p>
    <w:p w14:paraId="0E9BDDEF" w14:textId="77777777" w:rsidR="00360A97" w:rsidRDefault="00000000">
      <w:pPr>
        <w:pStyle w:val="Heading2"/>
      </w:pPr>
      <w:bookmarkStart w:id="13" w:name="results"/>
      <w:bookmarkEnd w:id="7"/>
      <w:bookmarkEnd w:id="12"/>
      <w:r>
        <w:rPr>
          <w:rFonts w:ascii="Times New Roman" w:hAnsi="Times New Roman"/>
          <w:b/>
          <w:sz w:val="22"/>
        </w:rPr>
        <w:t>4. Results</w:t>
      </w:r>
    </w:p>
    <w:p w14:paraId="0C9DC3B6" w14:textId="77777777" w:rsidR="00360A97" w:rsidRDefault="00000000">
      <w:pPr>
        <w:pStyle w:val="Heading3"/>
      </w:pPr>
      <w:bookmarkStart w:id="14" w:name="system-classification-performance"/>
      <w:r>
        <w:rPr>
          <w:rFonts w:ascii="Times New Roman" w:hAnsi="Times New Roman"/>
          <w:b/>
          <w:sz w:val="20"/>
        </w:rPr>
        <w:t>4.1 System Classification Performance</w:t>
      </w:r>
    </w:p>
    <w:p w14:paraId="1B69E533" w14:textId="77777777" w:rsidR="00360A97" w:rsidRDefault="00000000">
      <w:pPr>
        <w:pStyle w:val="FirstParagraph"/>
        <w:spacing w:before="0" w:after="80"/>
        <w:jc w:val="both"/>
      </w:pPr>
      <w:r>
        <w:rPr>
          <w:rFonts w:ascii="Times New Roman" w:hAnsi="Times New Roman"/>
          <w:sz w:val="20"/>
        </w:rPr>
        <w:t xml:space="preserve">The classification performance of the MedGemma-PD architecture was rigorously evaluated utilizing the aggregated, out-of-fold predictions derived directly from the strict Leave-One-Subject-Out (LOSO) cross-validation envelope. This methodology guarantees that no subject’s acoustic frames leaked across the training-testing boundary, providing an unbiased estimate of true generalizability to unseen patients. The optimized Random Forest classifier, operating exclusively on the TQWT-denoised physiological feature set, achieved a peak Area Under the Receiver Operating Characteristic Curve (AUC-ROC) of </w:t>
      </w:r>
      <w:r>
        <w:rPr>
          <w:rFonts w:ascii="Times New Roman" w:hAnsi="Times New Roman"/>
          <w:b/>
          <w:bCs/>
          <w:sz w:val="20"/>
        </w:rPr>
        <w:t>0.700 [95% CI: 0.606–0.793]</w:t>
      </w:r>
      <w:r>
        <w:rPr>
          <w:rFonts w:ascii="Times New Roman" w:hAnsi="Times New Roman"/>
          <w:sz w:val="20"/>
        </w:rPr>
        <w:t>.</w:t>
      </w:r>
    </w:p>
    <w:p w14:paraId="488AA553" w14:textId="77777777" w:rsidR="00360A97" w:rsidRDefault="00000000">
      <w:pPr>
        <w:spacing w:before="80" w:after="40"/>
      </w:pPr>
      <w:r>
        <w:rPr>
          <w:rFonts w:ascii="Times New Roman" w:hAnsi="Times New Roman"/>
          <w:b/>
          <w:sz w:val="20"/>
        </w:rPr>
        <w:t>Table 1. 5-Fold Subject-Stratified GroupKFold Performance (Age-Matched Cohort, N=120)</w:t>
      </w:r>
    </w:p>
    <w:tbl>
      <w:tblPr>
        <w:tblStyle w:val="Table"/>
        <w:tblW w:w="0" w:type="auto"/>
        <w:tblLook w:val="04A0" w:firstRow="1" w:lastRow="0" w:firstColumn="1" w:lastColumn="0" w:noHBand="0" w:noVBand="1"/>
      </w:tblPr>
      <w:tblGrid>
        <w:gridCol w:w="1560"/>
        <w:gridCol w:w="1560"/>
        <w:gridCol w:w="1560"/>
        <w:gridCol w:w="1560"/>
        <w:gridCol w:w="1560"/>
        <w:gridCol w:w="1560"/>
      </w:tblGrid>
      <w:tr w:rsidR="00360A97" w14:paraId="0C3A0E6D" w14:textId="77777777" w:rsidTr="00360A97">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2E4057"/>
          </w:tcPr>
          <w:p w14:paraId="09F54C27" w14:textId="77777777" w:rsidR="00360A97" w:rsidRDefault="00000000">
            <w:pPr>
              <w:jc w:val="center"/>
            </w:pPr>
            <w:r>
              <w:rPr>
                <w:rFonts w:ascii="Times New Roman" w:hAnsi="Times New Roman"/>
                <w:b/>
                <w:color w:val="FFFFFF"/>
                <w:sz w:val="20"/>
              </w:rPr>
              <w:t>Model Architecture</w:t>
            </w:r>
          </w:p>
        </w:tc>
        <w:tc>
          <w:tcPr>
            <w:tcW w:w="1560" w:type="dxa"/>
            <w:shd w:val="clear" w:color="auto" w:fill="2E4057"/>
          </w:tcPr>
          <w:p w14:paraId="22773655" w14:textId="77777777" w:rsidR="00360A97" w:rsidRDefault="00000000">
            <w:pPr>
              <w:jc w:val="center"/>
            </w:pPr>
            <w:r>
              <w:rPr>
                <w:rFonts w:ascii="Times New Roman" w:hAnsi="Times New Roman"/>
                <w:b/>
                <w:color w:val="FFFFFF"/>
                <w:sz w:val="20"/>
              </w:rPr>
              <w:t>AUC-ROC [95% CI]</w:t>
            </w:r>
          </w:p>
        </w:tc>
        <w:tc>
          <w:tcPr>
            <w:tcW w:w="1560" w:type="dxa"/>
            <w:shd w:val="clear" w:color="auto" w:fill="2E4057"/>
          </w:tcPr>
          <w:p w14:paraId="526C1D44" w14:textId="77777777" w:rsidR="00360A97" w:rsidRDefault="00000000">
            <w:pPr>
              <w:jc w:val="center"/>
            </w:pPr>
            <w:r>
              <w:rPr>
                <w:rFonts w:ascii="Times New Roman" w:hAnsi="Times New Roman"/>
                <w:b/>
                <w:color w:val="FFFFFF"/>
                <w:sz w:val="20"/>
              </w:rPr>
              <w:t>Accuracy [95% CI]</w:t>
            </w:r>
          </w:p>
        </w:tc>
        <w:tc>
          <w:tcPr>
            <w:tcW w:w="1560" w:type="dxa"/>
            <w:shd w:val="clear" w:color="auto" w:fill="2E4057"/>
          </w:tcPr>
          <w:p w14:paraId="18AB90FF" w14:textId="77777777" w:rsidR="00360A97" w:rsidRDefault="00000000">
            <w:pPr>
              <w:jc w:val="center"/>
            </w:pPr>
            <w:r>
              <w:rPr>
                <w:rFonts w:ascii="Times New Roman" w:hAnsi="Times New Roman"/>
                <w:b/>
                <w:color w:val="FFFFFF"/>
                <w:sz w:val="20"/>
              </w:rPr>
              <w:t>Sensitivity</w:t>
            </w:r>
          </w:p>
        </w:tc>
        <w:tc>
          <w:tcPr>
            <w:tcW w:w="1560" w:type="dxa"/>
            <w:shd w:val="clear" w:color="auto" w:fill="2E4057"/>
          </w:tcPr>
          <w:p w14:paraId="08E65192" w14:textId="77777777" w:rsidR="00360A97" w:rsidRDefault="00000000">
            <w:pPr>
              <w:jc w:val="center"/>
            </w:pPr>
            <w:r>
              <w:rPr>
                <w:rFonts w:ascii="Times New Roman" w:hAnsi="Times New Roman"/>
                <w:b/>
                <w:color w:val="FFFFFF"/>
                <w:sz w:val="20"/>
              </w:rPr>
              <w:t>Specificity</w:t>
            </w:r>
          </w:p>
        </w:tc>
        <w:tc>
          <w:tcPr>
            <w:tcW w:w="1560" w:type="dxa"/>
            <w:shd w:val="clear" w:color="auto" w:fill="2E4057"/>
          </w:tcPr>
          <w:p w14:paraId="06D3F3BB" w14:textId="77777777" w:rsidR="00360A97" w:rsidRDefault="00000000">
            <w:pPr>
              <w:jc w:val="center"/>
            </w:pPr>
            <w:r>
              <w:rPr>
                <w:rFonts w:ascii="Times New Roman" w:hAnsi="Times New Roman"/>
                <w:b/>
                <w:color w:val="FFFFFF"/>
                <w:sz w:val="20"/>
              </w:rPr>
              <w:t>F1-Score</w:t>
            </w:r>
          </w:p>
        </w:tc>
      </w:tr>
      <w:tr w:rsidR="00360A97" w14:paraId="1AC5EDA4" w14:textId="77777777" w:rsidTr="00360A97">
        <w:tc>
          <w:tcPr>
            <w:tcW w:w="1560" w:type="dxa"/>
            <w:shd w:val="clear" w:color="auto" w:fill="EAF0F6"/>
          </w:tcPr>
          <w:p w14:paraId="2A4815A2" w14:textId="77777777" w:rsidR="00360A97" w:rsidRDefault="00000000">
            <w:r>
              <w:rPr>
                <w:rFonts w:ascii="Times New Roman" w:hAnsi="Times New Roman"/>
                <w:sz w:val="20"/>
              </w:rPr>
              <w:t>SVM – RBF (Baseline)</w:t>
            </w:r>
          </w:p>
        </w:tc>
        <w:tc>
          <w:tcPr>
            <w:tcW w:w="1560" w:type="dxa"/>
            <w:shd w:val="clear" w:color="auto" w:fill="EAF0F6"/>
          </w:tcPr>
          <w:p w14:paraId="2A72BDDF" w14:textId="77777777" w:rsidR="00360A97" w:rsidRDefault="00000000">
            <w:pPr>
              <w:jc w:val="center"/>
            </w:pPr>
            <w:r>
              <w:rPr>
                <w:rFonts w:ascii="Times New Roman" w:hAnsi="Times New Roman"/>
                <w:sz w:val="20"/>
              </w:rPr>
              <w:t>0.574 [0.476–0.670]</w:t>
            </w:r>
          </w:p>
        </w:tc>
        <w:tc>
          <w:tcPr>
            <w:tcW w:w="1560" w:type="dxa"/>
            <w:shd w:val="clear" w:color="auto" w:fill="EAF0F6"/>
          </w:tcPr>
          <w:p w14:paraId="0EEADB92" w14:textId="77777777" w:rsidR="00360A97" w:rsidRDefault="00000000">
            <w:pPr>
              <w:jc w:val="center"/>
            </w:pPr>
            <w:r>
              <w:rPr>
                <w:rFonts w:ascii="Times New Roman" w:hAnsi="Times New Roman"/>
                <w:sz w:val="20"/>
              </w:rPr>
              <w:t>0.574 [0.492–0.658]</w:t>
            </w:r>
          </w:p>
        </w:tc>
        <w:tc>
          <w:tcPr>
            <w:tcW w:w="1560" w:type="dxa"/>
            <w:shd w:val="clear" w:color="auto" w:fill="EAF0F6"/>
          </w:tcPr>
          <w:p w14:paraId="62F6356C" w14:textId="77777777" w:rsidR="00360A97" w:rsidRDefault="00000000">
            <w:pPr>
              <w:jc w:val="center"/>
            </w:pPr>
            <w:r>
              <w:rPr>
                <w:rFonts w:ascii="Times New Roman" w:hAnsi="Times New Roman"/>
                <w:sz w:val="20"/>
              </w:rPr>
              <w:t>0.633</w:t>
            </w:r>
          </w:p>
        </w:tc>
        <w:tc>
          <w:tcPr>
            <w:tcW w:w="1560" w:type="dxa"/>
            <w:shd w:val="clear" w:color="auto" w:fill="EAF0F6"/>
          </w:tcPr>
          <w:p w14:paraId="1A6C51B8" w14:textId="77777777" w:rsidR="00360A97" w:rsidRDefault="00000000">
            <w:pPr>
              <w:jc w:val="center"/>
            </w:pPr>
            <w:r>
              <w:rPr>
                <w:rFonts w:ascii="Times New Roman" w:hAnsi="Times New Roman"/>
                <w:sz w:val="20"/>
              </w:rPr>
              <w:t>0.500</w:t>
            </w:r>
          </w:p>
        </w:tc>
        <w:tc>
          <w:tcPr>
            <w:tcW w:w="1560" w:type="dxa"/>
            <w:shd w:val="clear" w:color="auto" w:fill="EAF0F6"/>
          </w:tcPr>
          <w:p w14:paraId="4887BF62" w14:textId="77777777" w:rsidR="00360A97" w:rsidRDefault="00000000">
            <w:pPr>
              <w:jc w:val="center"/>
            </w:pPr>
            <w:r>
              <w:rPr>
                <w:rFonts w:ascii="Times New Roman" w:hAnsi="Times New Roman"/>
                <w:sz w:val="20"/>
              </w:rPr>
              <w:t>0.558</w:t>
            </w:r>
          </w:p>
        </w:tc>
      </w:tr>
      <w:tr w:rsidR="00360A97" w14:paraId="229E4086" w14:textId="77777777" w:rsidTr="00360A97">
        <w:tc>
          <w:tcPr>
            <w:tcW w:w="1560" w:type="dxa"/>
            <w:shd w:val="clear" w:color="auto" w:fill="FFFFFF"/>
          </w:tcPr>
          <w:p w14:paraId="363A7AA8" w14:textId="77777777" w:rsidR="00360A97" w:rsidRDefault="00000000">
            <w:r>
              <w:rPr>
                <w:rFonts w:ascii="Times New Roman" w:hAnsi="Times New Roman"/>
                <w:sz w:val="20"/>
              </w:rPr>
              <w:t>Logistic Regression</w:t>
            </w:r>
          </w:p>
        </w:tc>
        <w:tc>
          <w:tcPr>
            <w:tcW w:w="1560" w:type="dxa"/>
            <w:shd w:val="clear" w:color="auto" w:fill="FFFFFF"/>
          </w:tcPr>
          <w:p w14:paraId="7C803CD8" w14:textId="77777777" w:rsidR="00360A97" w:rsidRDefault="00000000">
            <w:pPr>
              <w:jc w:val="center"/>
            </w:pPr>
            <w:r>
              <w:rPr>
                <w:rFonts w:ascii="Times New Roman" w:hAnsi="Times New Roman"/>
                <w:sz w:val="20"/>
              </w:rPr>
              <w:t>0.643 [0.541–0.740]</w:t>
            </w:r>
          </w:p>
        </w:tc>
        <w:tc>
          <w:tcPr>
            <w:tcW w:w="1560" w:type="dxa"/>
            <w:shd w:val="clear" w:color="auto" w:fill="FFFFFF"/>
          </w:tcPr>
          <w:p w14:paraId="5EAB250D" w14:textId="77777777" w:rsidR="00360A97" w:rsidRDefault="00000000">
            <w:pPr>
              <w:jc w:val="center"/>
            </w:pPr>
            <w:r>
              <w:rPr>
                <w:rFonts w:ascii="Times New Roman" w:hAnsi="Times New Roman"/>
                <w:sz w:val="20"/>
              </w:rPr>
              <w:t>0.616 [0.525–0.700]</w:t>
            </w:r>
          </w:p>
        </w:tc>
        <w:tc>
          <w:tcPr>
            <w:tcW w:w="1560" w:type="dxa"/>
            <w:shd w:val="clear" w:color="auto" w:fill="FFFFFF"/>
          </w:tcPr>
          <w:p w14:paraId="66B943DB" w14:textId="77777777" w:rsidR="00360A97" w:rsidRDefault="00000000">
            <w:pPr>
              <w:jc w:val="center"/>
            </w:pPr>
            <w:r>
              <w:rPr>
                <w:rFonts w:ascii="Times New Roman" w:hAnsi="Times New Roman"/>
                <w:sz w:val="20"/>
              </w:rPr>
              <w:t>0.717</w:t>
            </w:r>
          </w:p>
        </w:tc>
        <w:tc>
          <w:tcPr>
            <w:tcW w:w="1560" w:type="dxa"/>
            <w:shd w:val="clear" w:color="auto" w:fill="FFFFFF"/>
          </w:tcPr>
          <w:p w14:paraId="6C6D041E" w14:textId="77777777" w:rsidR="00360A97" w:rsidRDefault="00000000">
            <w:pPr>
              <w:jc w:val="center"/>
            </w:pPr>
            <w:r>
              <w:rPr>
                <w:rFonts w:ascii="Times New Roman" w:hAnsi="Times New Roman"/>
                <w:sz w:val="20"/>
              </w:rPr>
              <w:t>0.517</w:t>
            </w:r>
          </w:p>
        </w:tc>
        <w:tc>
          <w:tcPr>
            <w:tcW w:w="1560" w:type="dxa"/>
            <w:shd w:val="clear" w:color="auto" w:fill="FFFFFF"/>
          </w:tcPr>
          <w:p w14:paraId="2D43F1C1" w14:textId="77777777" w:rsidR="00360A97" w:rsidRDefault="00000000">
            <w:pPr>
              <w:jc w:val="center"/>
            </w:pPr>
            <w:r>
              <w:rPr>
                <w:rFonts w:ascii="Times New Roman" w:hAnsi="Times New Roman"/>
                <w:sz w:val="20"/>
              </w:rPr>
              <w:t>0.651</w:t>
            </w:r>
          </w:p>
        </w:tc>
      </w:tr>
      <w:tr w:rsidR="00360A97" w14:paraId="79761C69" w14:textId="77777777" w:rsidTr="00360A97">
        <w:tc>
          <w:tcPr>
            <w:tcW w:w="1560" w:type="dxa"/>
            <w:shd w:val="clear" w:color="auto" w:fill="EAF0F6"/>
          </w:tcPr>
          <w:p w14:paraId="2C1E0C21" w14:textId="77777777" w:rsidR="00360A97" w:rsidRDefault="00000000">
            <w:r>
              <w:rPr>
                <w:rFonts w:ascii="Times New Roman" w:hAnsi="Times New Roman"/>
                <w:sz w:val="20"/>
              </w:rPr>
              <w:t>XGBoost (Tuned)</w:t>
            </w:r>
          </w:p>
        </w:tc>
        <w:tc>
          <w:tcPr>
            <w:tcW w:w="1560" w:type="dxa"/>
            <w:shd w:val="clear" w:color="auto" w:fill="EAF0F6"/>
          </w:tcPr>
          <w:p w14:paraId="17C4115A" w14:textId="77777777" w:rsidR="00360A97" w:rsidRDefault="00000000">
            <w:pPr>
              <w:jc w:val="center"/>
            </w:pPr>
            <w:r>
              <w:rPr>
                <w:rFonts w:ascii="Times New Roman" w:hAnsi="Times New Roman"/>
                <w:sz w:val="20"/>
              </w:rPr>
              <w:t>0.648 [0.552–0.743]</w:t>
            </w:r>
          </w:p>
        </w:tc>
        <w:tc>
          <w:tcPr>
            <w:tcW w:w="1560" w:type="dxa"/>
            <w:shd w:val="clear" w:color="auto" w:fill="EAF0F6"/>
          </w:tcPr>
          <w:p w14:paraId="57DA687C" w14:textId="77777777" w:rsidR="00360A97" w:rsidRDefault="00000000">
            <w:pPr>
              <w:jc w:val="center"/>
            </w:pPr>
            <w:r>
              <w:rPr>
                <w:rFonts w:ascii="Times New Roman" w:hAnsi="Times New Roman"/>
                <w:sz w:val="20"/>
              </w:rPr>
              <w:t>0.641 [0.558–0.725]</w:t>
            </w:r>
          </w:p>
        </w:tc>
        <w:tc>
          <w:tcPr>
            <w:tcW w:w="1560" w:type="dxa"/>
            <w:shd w:val="clear" w:color="auto" w:fill="EAF0F6"/>
          </w:tcPr>
          <w:p w14:paraId="70E73F20" w14:textId="77777777" w:rsidR="00360A97" w:rsidRDefault="00000000">
            <w:pPr>
              <w:jc w:val="center"/>
            </w:pPr>
            <w:r>
              <w:rPr>
                <w:rFonts w:ascii="Times New Roman" w:hAnsi="Times New Roman"/>
                <w:sz w:val="20"/>
              </w:rPr>
              <w:t>0.667</w:t>
            </w:r>
          </w:p>
        </w:tc>
        <w:tc>
          <w:tcPr>
            <w:tcW w:w="1560" w:type="dxa"/>
            <w:shd w:val="clear" w:color="auto" w:fill="EAF0F6"/>
          </w:tcPr>
          <w:p w14:paraId="726DA5E8" w14:textId="77777777" w:rsidR="00360A97" w:rsidRDefault="00000000">
            <w:pPr>
              <w:jc w:val="center"/>
            </w:pPr>
            <w:r>
              <w:rPr>
                <w:rFonts w:ascii="Times New Roman" w:hAnsi="Times New Roman"/>
                <w:sz w:val="20"/>
              </w:rPr>
              <w:t>0.617</w:t>
            </w:r>
          </w:p>
        </w:tc>
        <w:tc>
          <w:tcPr>
            <w:tcW w:w="1560" w:type="dxa"/>
            <w:shd w:val="clear" w:color="auto" w:fill="EAF0F6"/>
          </w:tcPr>
          <w:p w14:paraId="7382BC13" w14:textId="77777777" w:rsidR="00360A97" w:rsidRDefault="00000000">
            <w:pPr>
              <w:jc w:val="center"/>
            </w:pPr>
            <w:r>
              <w:rPr>
                <w:rFonts w:ascii="Times New Roman" w:hAnsi="Times New Roman"/>
                <w:sz w:val="20"/>
              </w:rPr>
              <w:t>0.650</w:t>
            </w:r>
          </w:p>
        </w:tc>
      </w:tr>
      <w:tr w:rsidR="00360A97" w14:paraId="66F53599" w14:textId="77777777" w:rsidTr="00360A97">
        <w:tc>
          <w:tcPr>
            <w:tcW w:w="1560" w:type="dxa"/>
            <w:shd w:val="clear" w:color="auto" w:fill="D6E4F0"/>
          </w:tcPr>
          <w:p w14:paraId="432CDD8F" w14:textId="77777777" w:rsidR="00360A97" w:rsidRDefault="00000000">
            <w:r>
              <w:rPr>
                <w:rFonts w:ascii="Times New Roman" w:hAnsi="Times New Roman"/>
                <w:b/>
                <w:sz w:val="20"/>
              </w:rPr>
              <w:t>Random Forest (Tuned) ★</w:t>
            </w:r>
          </w:p>
        </w:tc>
        <w:tc>
          <w:tcPr>
            <w:tcW w:w="1560" w:type="dxa"/>
            <w:shd w:val="clear" w:color="auto" w:fill="D6E4F0"/>
          </w:tcPr>
          <w:p w14:paraId="2B3C82B4" w14:textId="77777777" w:rsidR="00360A97" w:rsidRDefault="00000000">
            <w:pPr>
              <w:jc w:val="center"/>
            </w:pPr>
            <w:r>
              <w:rPr>
                <w:rFonts w:ascii="Times New Roman" w:hAnsi="Times New Roman"/>
                <w:b/>
                <w:sz w:val="20"/>
              </w:rPr>
              <w:t>0.700 [0.606–0.793]</w:t>
            </w:r>
          </w:p>
        </w:tc>
        <w:tc>
          <w:tcPr>
            <w:tcW w:w="1560" w:type="dxa"/>
            <w:shd w:val="clear" w:color="auto" w:fill="D6E4F0"/>
          </w:tcPr>
          <w:p w14:paraId="4B6EFF5E" w14:textId="77777777" w:rsidR="00360A97" w:rsidRDefault="00000000">
            <w:pPr>
              <w:jc w:val="center"/>
            </w:pPr>
            <w:r>
              <w:rPr>
                <w:rFonts w:ascii="Times New Roman" w:hAnsi="Times New Roman"/>
                <w:b/>
                <w:sz w:val="20"/>
              </w:rPr>
              <w:t>0.650 [0.550–0.733]</w:t>
            </w:r>
          </w:p>
        </w:tc>
        <w:tc>
          <w:tcPr>
            <w:tcW w:w="1560" w:type="dxa"/>
            <w:shd w:val="clear" w:color="auto" w:fill="D6E4F0"/>
          </w:tcPr>
          <w:p w14:paraId="7C479A07" w14:textId="77777777" w:rsidR="00360A97" w:rsidRDefault="00000000">
            <w:pPr>
              <w:jc w:val="center"/>
            </w:pPr>
            <w:r>
              <w:rPr>
                <w:rFonts w:ascii="Times New Roman" w:hAnsi="Times New Roman"/>
                <w:b/>
                <w:sz w:val="20"/>
              </w:rPr>
              <w:t>0.683</w:t>
            </w:r>
          </w:p>
        </w:tc>
        <w:tc>
          <w:tcPr>
            <w:tcW w:w="1560" w:type="dxa"/>
            <w:shd w:val="clear" w:color="auto" w:fill="D6E4F0"/>
          </w:tcPr>
          <w:p w14:paraId="61ECF96C" w14:textId="77777777" w:rsidR="00360A97" w:rsidRDefault="00000000">
            <w:pPr>
              <w:jc w:val="center"/>
            </w:pPr>
            <w:r>
              <w:rPr>
                <w:rFonts w:ascii="Times New Roman" w:hAnsi="Times New Roman"/>
                <w:b/>
                <w:sz w:val="20"/>
              </w:rPr>
              <w:t>0.583</w:t>
            </w:r>
          </w:p>
        </w:tc>
        <w:tc>
          <w:tcPr>
            <w:tcW w:w="1560" w:type="dxa"/>
            <w:shd w:val="clear" w:color="auto" w:fill="D6E4F0"/>
          </w:tcPr>
          <w:p w14:paraId="5B29A03D" w14:textId="77777777" w:rsidR="00360A97" w:rsidRDefault="00000000">
            <w:pPr>
              <w:jc w:val="center"/>
            </w:pPr>
            <w:r>
              <w:rPr>
                <w:rFonts w:ascii="Times New Roman" w:hAnsi="Times New Roman"/>
                <w:b/>
                <w:sz w:val="20"/>
              </w:rPr>
              <w:t>0.661</w:t>
            </w:r>
          </w:p>
        </w:tc>
      </w:tr>
    </w:tbl>
    <w:p w14:paraId="68162EEF" w14:textId="77777777" w:rsidR="00360A97" w:rsidRDefault="00000000">
      <w:pPr>
        <w:spacing w:before="80" w:after="40"/>
      </w:pPr>
      <w:r>
        <w:rPr>
          <w:rFonts w:ascii="Times New Roman" w:hAnsi="Times New Roman"/>
          <w:i/>
          <w:sz w:val="18"/>
        </w:rPr>
        <w:t>Note: 95% CIs derived via 1,000-iteration nonparametric bootstrap over out-of-fold probabilities. DeLong's Test confirmed statistically significant superiority (p &lt; 0.05) of the tuned Random Forest over the SVM baseline. The hyperparameter-tuned result (AUC = 0.700) is optimised for maximum clinical yield; the ablation study uses a standardised untuned baseline (AUC = 0.691).</w:t>
      </w:r>
    </w:p>
    <w:p w14:paraId="3613666F" w14:textId="77777777" w:rsidR="00360A97" w:rsidRDefault="00000000">
      <w:pPr>
        <w:pStyle w:val="BodyText"/>
        <w:spacing w:before="0" w:after="80"/>
        <w:jc w:val="both"/>
      </w:pPr>
      <w:r>
        <w:rPr>
          <w:rFonts w:ascii="Times New Roman" w:hAnsi="Times New Roman"/>
          <w:i/>
          <w:iCs/>
          <w:sz w:val="20"/>
        </w:rPr>
        <w:t>Note: The 95% Confidence Intervals were derived via a rigorous 1,000-iteration nonparametric bootstrap procedure over the out-of-fold probabilities. DeLong’s Test [20] confirmed statistically significant superiority (p &lt; 0.05) of the tuned Random Forest over the SVM baseline, confirming ensemble robustness in handling the non-linear feature interactions of dysarthric speech. To prevent performance over-reporting, it is critical to distinguish between the hyperparameter-tuned results presented here (Table 1, AUC=0.700), optimized for maximum clinical yield, and the strictly standardized, untuned baseline configurations utilized in the subsequent ablation study (Table 2, AUC=0.691). Crucially, while a 0.700 AUC may appear lower than &gt;0.90 values reported on lab-grade datasets, this performance reflects the “Highest Robustness in Chaos” rather than “Highest Accuracy in Lab.” It is an unconfounded, true in-the-wild baseline established strictly on an age-matched cohort.</w:t>
      </w:r>
    </w:p>
    <w:p w14:paraId="214D8179" w14:textId="77777777" w:rsidR="00360A97" w:rsidRDefault="00000000">
      <w:pPr>
        <w:pStyle w:val="Caption"/>
        <w:jc w:val="center"/>
      </w:pPr>
      <w:r>
        <w:rPr>
          <w:rFonts w:ascii="Times New Roman" w:hAnsi="Times New Roman"/>
          <w:sz w:val="18"/>
        </w:rPr>
        <w:t>Fig. 1. Receiver Operating Characteristic (ROC) curves for all evaluated classifier architectures on the age-matched mPower cohort (N = 120). The tuned Random Forest operating on TQWT-denoised physiological features achieves the highest AUC-ROC of 0.700 [95% CI: 0.606–0.793] among classical ensembles. DeLong's test confirms statistically significant superiority over the SVM baseline (p &lt; 0.05).</w:t>
      </w:r>
    </w:p>
    <w:p w14:paraId="356CCDEF" w14:textId="77777777" w:rsidR="00360A97" w:rsidRDefault="00000000">
      <w:pPr>
        <w:pStyle w:val="Heading3"/>
      </w:pPr>
      <w:bookmarkStart w:id="15" w:name="X6f80e11aa9797a45310d9a53fccac71d2c5ba37"/>
      <w:bookmarkEnd w:id="14"/>
      <w:r>
        <w:rPr>
          <w:rFonts w:ascii="Times New Roman" w:hAnsi="Times New Roman"/>
          <w:b/>
          <w:sz w:val="20"/>
        </w:rPr>
        <w:t>4.2 Architecture Ablation Study and Failure Mode Analysis</w:t>
      </w:r>
    </w:p>
    <w:p w14:paraId="2A250E89" w14:textId="77777777" w:rsidR="00360A97" w:rsidRDefault="00000000">
      <w:pPr>
        <w:pStyle w:val="FirstParagraph"/>
        <w:spacing w:before="0" w:after="80"/>
        <w:jc w:val="both"/>
      </w:pPr>
      <w:r>
        <w:rPr>
          <w:rFonts w:ascii="Times New Roman" w:hAnsi="Times New Roman"/>
          <w:sz w:val="20"/>
        </w:rPr>
        <w:t xml:space="preserve">To rigorously evaluate the engineering trade-offs between classical signal processing and deep representation learning in high-noise regimes, a comprehensive </w:t>
      </w:r>
      <w:r>
        <w:rPr>
          <w:rFonts w:ascii="Times New Roman" w:hAnsi="Times New Roman"/>
          <w:b/>
          <w:bCs/>
          <w:sz w:val="20"/>
        </w:rPr>
        <w:t>6-row ablation study</w:t>
      </w:r>
      <w:r>
        <w:rPr>
          <w:rFonts w:ascii="Times New Roman" w:hAnsi="Times New Roman"/>
          <w:sz w:val="20"/>
        </w:rPr>
        <w:t xml:space="preserve"> was conducted. This study systematically stripped or replaced core pipeline components to quantify their isolated contributions. An additional baseline comparison (Row A7) tests standard cepstral features against the TQWT-denoised pipeline.</w:t>
      </w:r>
    </w:p>
    <w:p w14:paraId="6AAB66E6" w14:textId="77777777" w:rsidR="00360A97" w:rsidRDefault="00000000">
      <w:pPr>
        <w:spacing w:before="80" w:after="40"/>
      </w:pPr>
      <w:r>
        <w:rPr>
          <w:rFonts w:ascii="Times New Roman" w:hAnsi="Times New Roman"/>
          <w:b/>
          <w:sz w:val="20"/>
        </w:rPr>
        <w:t>Table 2. Pipeline Ablation Results (5-Fold Subject-Stratified GroupKFold, N=120)</w:t>
      </w:r>
    </w:p>
    <w:tbl>
      <w:tblPr>
        <w:tblStyle w:val="Table"/>
        <w:tblW w:w="0" w:type="auto"/>
        <w:tblLook w:val="04A0" w:firstRow="1" w:lastRow="0" w:firstColumn="1" w:lastColumn="0" w:noHBand="0" w:noVBand="1"/>
      </w:tblPr>
      <w:tblGrid>
        <w:gridCol w:w="3120"/>
        <w:gridCol w:w="3120"/>
        <w:gridCol w:w="3120"/>
      </w:tblGrid>
      <w:tr w:rsidR="00360A97" w14:paraId="4ED51DC5" w14:textId="77777777" w:rsidTr="00360A97">
        <w:trPr>
          <w:cnfStyle w:val="100000000000" w:firstRow="1" w:lastRow="0" w:firstColumn="0" w:lastColumn="0" w:oddVBand="0" w:evenVBand="0" w:oddHBand="0" w:evenHBand="0" w:firstRowFirstColumn="0" w:firstRowLastColumn="0" w:lastRowFirstColumn="0" w:lastRowLastColumn="0"/>
        </w:trPr>
        <w:tc>
          <w:tcPr>
            <w:tcW w:w="3120" w:type="dxa"/>
            <w:shd w:val="clear" w:color="auto" w:fill="2E4057"/>
          </w:tcPr>
          <w:p w14:paraId="4C976A2F" w14:textId="77777777" w:rsidR="00360A97" w:rsidRDefault="00000000">
            <w:pPr>
              <w:jc w:val="center"/>
            </w:pPr>
            <w:r>
              <w:rPr>
                <w:rFonts w:ascii="Times New Roman" w:hAnsi="Times New Roman"/>
                <w:b/>
                <w:color w:val="FFFFFF"/>
                <w:sz w:val="20"/>
              </w:rPr>
              <w:t>Row</w:t>
            </w:r>
          </w:p>
        </w:tc>
        <w:tc>
          <w:tcPr>
            <w:tcW w:w="3120" w:type="dxa"/>
            <w:shd w:val="clear" w:color="auto" w:fill="2E4057"/>
          </w:tcPr>
          <w:p w14:paraId="67D164BD" w14:textId="77777777" w:rsidR="00360A97" w:rsidRDefault="00000000">
            <w:pPr>
              <w:jc w:val="center"/>
            </w:pPr>
            <w:r>
              <w:rPr>
                <w:rFonts w:ascii="Times New Roman" w:hAnsi="Times New Roman"/>
                <w:b/>
                <w:color w:val="FFFFFF"/>
                <w:sz w:val="20"/>
              </w:rPr>
              <w:t>Pipeline Configuration</w:t>
            </w:r>
          </w:p>
        </w:tc>
        <w:tc>
          <w:tcPr>
            <w:tcW w:w="3120" w:type="dxa"/>
            <w:shd w:val="clear" w:color="auto" w:fill="2E4057"/>
          </w:tcPr>
          <w:p w14:paraId="6712946E" w14:textId="77777777" w:rsidR="00360A97" w:rsidRDefault="00000000">
            <w:pPr>
              <w:jc w:val="center"/>
            </w:pPr>
            <w:r>
              <w:rPr>
                <w:rFonts w:ascii="Times New Roman" w:hAnsi="Times New Roman"/>
                <w:b/>
                <w:color w:val="FFFFFF"/>
                <w:sz w:val="20"/>
              </w:rPr>
              <w:t>AUC-ROC [95% CI]</w:t>
            </w:r>
          </w:p>
        </w:tc>
      </w:tr>
      <w:tr w:rsidR="00360A97" w14:paraId="711C709D" w14:textId="77777777" w:rsidTr="00360A97">
        <w:tc>
          <w:tcPr>
            <w:tcW w:w="3120" w:type="dxa"/>
            <w:shd w:val="clear" w:color="auto" w:fill="EAF0F6"/>
          </w:tcPr>
          <w:p w14:paraId="60E3F84A" w14:textId="77777777" w:rsidR="00360A97" w:rsidRDefault="00000000">
            <w:r>
              <w:rPr>
                <w:rFonts w:ascii="Times New Roman" w:hAnsi="Times New Roman"/>
                <w:sz w:val="20"/>
              </w:rPr>
              <w:t>A1</w:t>
            </w:r>
          </w:p>
        </w:tc>
        <w:tc>
          <w:tcPr>
            <w:tcW w:w="3120" w:type="dxa"/>
            <w:shd w:val="clear" w:color="auto" w:fill="EAF0F6"/>
          </w:tcPr>
          <w:p w14:paraId="24B9140A" w14:textId="77777777" w:rsidR="00360A97" w:rsidRDefault="00000000">
            <w:pPr>
              <w:jc w:val="center"/>
            </w:pPr>
            <w:r>
              <w:rPr>
                <w:rFonts w:ascii="Times New Roman" w:hAnsi="Times New Roman"/>
                <w:sz w:val="20"/>
              </w:rPr>
              <w:t>Classical features + RF</w:t>
            </w:r>
          </w:p>
        </w:tc>
        <w:tc>
          <w:tcPr>
            <w:tcW w:w="3120" w:type="dxa"/>
            <w:shd w:val="clear" w:color="auto" w:fill="EAF0F6"/>
          </w:tcPr>
          <w:p w14:paraId="6B427F59" w14:textId="77777777" w:rsidR="00360A97" w:rsidRDefault="00000000">
            <w:pPr>
              <w:jc w:val="center"/>
            </w:pPr>
            <w:r>
              <w:rPr>
                <w:rFonts w:ascii="Times New Roman" w:hAnsi="Times New Roman"/>
                <w:sz w:val="20"/>
              </w:rPr>
              <w:t>0.688 [0.590–0.783]</w:t>
            </w:r>
          </w:p>
        </w:tc>
      </w:tr>
      <w:tr w:rsidR="00360A97" w14:paraId="149ED366" w14:textId="77777777" w:rsidTr="00360A97">
        <w:tc>
          <w:tcPr>
            <w:tcW w:w="3120" w:type="dxa"/>
            <w:shd w:val="clear" w:color="auto" w:fill="D6E4F0"/>
          </w:tcPr>
          <w:p w14:paraId="6B193DD4" w14:textId="77777777" w:rsidR="00360A97" w:rsidRDefault="00000000">
            <w:r>
              <w:rPr>
                <w:rFonts w:ascii="Times New Roman" w:hAnsi="Times New Roman"/>
                <w:b/>
                <w:sz w:val="20"/>
              </w:rPr>
              <w:t>A2</w:t>
            </w:r>
          </w:p>
        </w:tc>
        <w:tc>
          <w:tcPr>
            <w:tcW w:w="3120" w:type="dxa"/>
            <w:shd w:val="clear" w:color="auto" w:fill="D6E4F0"/>
          </w:tcPr>
          <w:p w14:paraId="4265E587" w14:textId="77777777" w:rsidR="00360A97" w:rsidRDefault="00000000">
            <w:pPr>
              <w:jc w:val="center"/>
            </w:pPr>
            <w:r>
              <w:rPr>
                <w:rFonts w:ascii="Times New Roman" w:hAnsi="Times New Roman"/>
                <w:b/>
                <w:sz w:val="20"/>
              </w:rPr>
              <w:t xml:space="preserve">TQWT Denoised + Classical + </w:t>
            </w:r>
            <w:proofErr w:type="gramStart"/>
            <w:r>
              <w:rPr>
                <w:rFonts w:ascii="Times New Roman" w:hAnsi="Times New Roman"/>
                <w:b/>
                <w:sz w:val="20"/>
              </w:rPr>
              <w:t>RF  ★</w:t>
            </w:r>
            <w:proofErr w:type="gramEnd"/>
            <w:r>
              <w:rPr>
                <w:rFonts w:ascii="Times New Roman" w:hAnsi="Times New Roman"/>
                <w:b/>
                <w:sz w:val="20"/>
              </w:rPr>
              <w:t xml:space="preserve">  (Best)</w:t>
            </w:r>
          </w:p>
        </w:tc>
        <w:tc>
          <w:tcPr>
            <w:tcW w:w="3120" w:type="dxa"/>
            <w:shd w:val="clear" w:color="auto" w:fill="D6E4F0"/>
          </w:tcPr>
          <w:p w14:paraId="5A233B17" w14:textId="77777777" w:rsidR="00360A97" w:rsidRDefault="00000000">
            <w:pPr>
              <w:jc w:val="center"/>
            </w:pPr>
            <w:r>
              <w:rPr>
                <w:rFonts w:ascii="Times New Roman" w:hAnsi="Times New Roman"/>
                <w:b/>
                <w:sz w:val="20"/>
              </w:rPr>
              <w:t>0.691 [0.589–0.786]</w:t>
            </w:r>
          </w:p>
        </w:tc>
      </w:tr>
      <w:tr w:rsidR="00360A97" w14:paraId="5F6BFCC7" w14:textId="77777777" w:rsidTr="00360A97">
        <w:tc>
          <w:tcPr>
            <w:tcW w:w="3120" w:type="dxa"/>
            <w:shd w:val="clear" w:color="auto" w:fill="EAF0F6"/>
          </w:tcPr>
          <w:p w14:paraId="2C20B511" w14:textId="77777777" w:rsidR="00360A97" w:rsidRDefault="00000000">
            <w:r>
              <w:rPr>
                <w:rFonts w:ascii="Times New Roman" w:hAnsi="Times New Roman"/>
                <w:sz w:val="20"/>
              </w:rPr>
              <w:t>A3</w:t>
            </w:r>
          </w:p>
        </w:tc>
        <w:tc>
          <w:tcPr>
            <w:tcW w:w="3120" w:type="dxa"/>
            <w:shd w:val="clear" w:color="auto" w:fill="EAF0F6"/>
          </w:tcPr>
          <w:p w14:paraId="7DCF0BD0" w14:textId="77777777" w:rsidR="00360A97" w:rsidRDefault="00000000">
            <w:pPr>
              <w:jc w:val="center"/>
            </w:pPr>
            <w:r>
              <w:rPr>
                <w:rFonts w:ascii="Times New Roman" w:hAnsi="Times New Roman"/>
                <w:sz w:val="20"/>
              </w:rPr>
              <w:t>wav2vec 2.0 full fine-tune (no freeze)</w:t>
            </w:r>
          </w:p>
        </w:tc>
        <w:tc>
          <w:tcPr>
            <w:tcW w:w="3120" w:type="dxa"/>
            <w:shd w:val="clear" w:color="auto" w:fill="EAF0F6"/>
          </w:tcPr>
          <w:p w14:paraId="0B052513" w14:textId="77777777" w:rsidR="00360A97" w:rsidRDefault="00000000">
            <w:pPr>
              <w:jc w:val="center"/>
            </w:pPr>
            <w:r>
              <w:rPr>
                <w:rFonts w:ascii="Times New Roman" w:hAnsi="Times New Roman"/>
                <w:sz w:val="20"/>
              </w:rPr>
              <w:t>0.502 [0.396–0.604]</w:t>
            </w:r>
          </w:p>
        </w:tc>
      </w:tr>
      <w:tr w:rsidR="00360A97" w14:paraId="3A0976F0" w14:textId="77777777" w:rsidTr="00360A97">
        <w:tc>
          <w:tcPr>
            <w:tcW w:w="3120" w:type="dxa"/>
            <w:shd w:val="clear" w:color="auto" w:fill="FFFFFF"/>
          </w:tcPr>
          <w:p w14:paraId="4CCD44F2" w14:textId="77777777" w:rsidR="00360A97" w:rsidRDefault="00000000">
            <w:r>
              <w:rPr>
                <w:rFonts w:ascii="Times New Roman" w:hAnsi="Times New Roman"/>
                <w:sz w:val="20"/>
              </w:rPr>
              <w:t>A4</w:t>
            </w:r>
          </w:p>
        </w:tc>
        <w:tc>
          <w:tcPr>
            <w:tcW w:w="3120" w:type="dxa"/>
            <w:shd w:val="clear" w:color="auto" w:fill="FFFFFF"/>
          </w:tcPr>
          <w:p w14:paraId="79DACBE8" w14:textId="77777777" w:rsidR="00360A97" w:rsidRDefault="00000000">
            <w:pPr>
              <w:jc w:val="center"/>
            </w:pPr>
            <w:r>
              <w:rPr>
                <w:rFonts w:ascii="Times New Roman" w:hAnsi="Times New Roman"/>
                <w:sz w:val="20"/>
              </w:rPr>
              <w:t>wav2vec 2.0 frozen encoder + adapters only</w:t>
            </w:r>
          </w:p>
        </w:tc>
        <w:tc>
          <w:tcPr>
            <w:tcW w:w="3120" w:type="dxa"/>
            <w:shd w:val="clear" w:color="auto" w:fill="FFFFFF"/>
          </w:tcPr>
          <w:p w14:paraId="59CD74DF" w14:textId="77777777" w:rsidR="00360A97" w:rsidRDefault="00000000">
            <w:pPr>
              <w:jc w:val="center"/>
            </w:pPr>
            <w:r>
              <w:rPr>
                <w:rFonts w:ascii="Times New Roman" w:hAnsi="Times New Roman"/>
                <w:sz w:val="20"/>
              </w:rPr>
              <w:t>0.605 [0.498–0.705]</w:t>
            </w:r>
          </w:p>
        </w:tc>
      </w:tr>
      <w:tr w:rsidR="00360A97" w14:paraId="2190C80C" w14:textId="77777777" w:rsidTr="00360A97">
        <w:tc>
          <w:tcPr>
            <w:tcW w:w="3120" w:type="dxa"/>
            <w:shd w:val="clear" w:color="auto" w:fill="EAF0F6"/>
          </w:tcPr>
          <w:p w14:paraId="1824AC8F" w14:textId="77777777" w:rsidR="00360A97" w:rsidRDefault="00000000">
            <w:r>
              <w:rPr>
                <w:rFonts w:ascii="Times New Roman" w:hAnsi="Times New Roman"/>
                <w:sz w:val="20"/>
              </w:rPr>
              <w:t>A5</w:t>
            </w:r>
          </w:p>
        </w:tc>
        <w:tc>
          <w:tcPr>
            <w:tcW w:w="3120" w:type="dxa"/>
            <w:shd w:val="clear" w:color="auto" w:fill="EAF0F6"/>
          </w:tcPr>
          <w:p w14:paraId="51FC957B" w14:textId="77777777" w:rsidR="00360A97" w:rsidRDefault="00000000">
            <w:pPr>
              <w:jc w:val="center"/>
            </w:pPr>
            <w:r>
              <w:rPr>
                <w:rFonts w:ascii="Times New Roman" w:hAnsi="Times New Roman"/>
                <w:sz w:val="20"/>
              </w:rPr>
              <w:t>Full Cross-Attention Fusion System</w:t>
            </w:r>
          </w:p>
        </w:tc>
        <w:tc>
          <w:tcPr>
            <w:tcW w:w="3120" w:type="dxa"/>
            <w:shd w:val="clear" w:color="auto" w:fill="EAF0F6"/>
          </w:tcPr>
          <w:p w14:paraId="61FF7DFA" w14:textId="77777777" w:rsidR="00360A97" w:rsidRDefault="00000000">
            <w:pPr>
              <w:jc w:val="center"/>
            </w:pPr>
            <w:r>
              <w:rPr>
                <w:rFonts w:ascii="Times New Roman" w:hAnsi="Times New Roman"/>
                <w:sz w:val="20"/>
              </w:rPr>
              <w:t>0.625 [0.528–0.730]</w:t>
            </w:r>
          </w:p>
        </w:tc>
      </w:tr>
      <w:tr w:rsidR="00360A97" w14:paraId="1C706785" w14:textId="77777777" w:rsidTr="00360A97">
        <w:tc>
          <w:tcPr>
            <w:tcW w:w="3120" w:type="dxa"/>
            <w:shd w:val="clear" w:color="auto" w:fill="FFFFFF"/>
          </w:tcPr>
          <w:p w14:paraId="4A57413C" w14:textId="77777777" w:rsidR="00360A97" w:rsidRDefault="00000000">
            <w:r>
              <w:rPr>
                <w:rFonts w:ascii="Times New Roman" w:hAnsi="Times New Roman"/>
                <w:sz w:val="20"/>
              </w:rPr>
              <w:t>A6</w:t>
            </w:r>
          </w:p>
        </w:tc>
        <w:tc>
          <w:tcPr>
            <w:tcW w:w="3120" w:type="dxa"/>
            <w:shd w:val="clear" w:color="auto" w:fill="FFFFFF"/>
          </w:tcPr>
          <w:p w14:paraId="106E8293" w14:textId="77777777" w:rsidR="00360A97" w:rsidRDefault="00000000">
            <w:pPr>
              <w:jc w:val="center"/>
            </w:pPr>
            <w:r>
              <w:rPr>
                <w:rFonts w:ascii="Times New Roman" w:hAnsi="Times New Roman"/>
                <w:sz w:val="20"/>
              </w:rPr>
              <w:t>Knowledge-Distilled Student (Edge)</w:t>
            </w:r>
          </w:p>
        </w:tc>
        <w:tc>
          <w:tcPr>
            <w:tcW w:w="3120" w:type="dxa"/>
            <w:shd w:val="clear" w:color="auto" w:fill="FFFFFF"/>
          </w:tcPr>
          <w:p w14:paraId="7A940AD4" w14:textId="77777777" w:rsidR="00360A97" w:rsidRDefault="00000000">
            <w:pPr>
              <w:jc w:val="center"/>
            </w:pPr>
            <w:r>
              <w:rPr>
                <w:rFonts w:ascii="Times New Roman" w:hAnsi="Times New Roman"/>
                <w:sz w:val="20"/>
              </w:rPr>
              <w:t>0.595 [0.498–0.700]</w:t>
            </w:r>
          </w:p>
        </w:tc>
      </w:tr>
      <w:tr w:rsidR="00360A97" w14:paraId="726FC92B" w14:textId="77777777" w:rsidTr="00360A97">
        <w:tc>
          <w:tcPr>
            <w:tcW w:w="3120" w:type="dxa"/>
            <w:shd w:val="clear" w:color="auto" w:fill="EAF0F6"/>
          </w:tcPr>
          <w:p w14:paraId="1F402093" w14:textId="77777777" w:rsidR="00360A97" w:rsidRDefault="00000000">
            <w:r>
              <w:rPr>
                <w:rFonts w:ascii="Times New Roman" w:hAnsi="Times New Roman"/>
                <w:sz w:val="20"/>
              </w:rPr>
              <w:t>A7</w:t>
            </w:r>
          </w:p>
        </w:tc>
        <w:tc>
          <w:tcPr>
            <w:tcW w:w="3120" w:type="dxa"/>
            <w:shd w:val="clear" w:color="auto" w:fill="EAF0F6"/>
          </w:tcPr>
          <w:p w14:paraId="7A2E7746" w14:textId="77777777" w:rsidR="00360A97" w:rsidRDefault="00000000">
            <w:pPr>
              <w:jc w:val="center"/>
            </w:pPr>
            <w:r>
              <w:rPr>
                <w:rFonts w:ascii="Times New Roman" w:hAnsi="Times New Roman"/>
                <w:sz w:val="20"/>
              </w:rPr>
              <w:t>TQWT Denoised + MFCCs (13 coeff.) + RF</w:t>
            </w:r>
          </w:p>
        </w:tc>
        <w:tc>
          <w:tcPr>
            <w:tcW w:w="3120" w:type="dxa"/>
            <w:shd w:val="clear" w:color="auto" w:fill="EAF0F6"/>
          </w:tcPr>
          <w:p w14:paraId="63A2AA65" w14:textId="77777777" w:rsidR="00360A97" w:rsidRDefault="00000000">
            <w:pPr>
              <w:jc w:val="center"/>
            </w:pPr>
            <w:r>
              <w:rPr>
                <w:rFonts w:ascii="Times New Roman" w:hAnsi="Times New Roman"/>
                <w:sz w:val="20"/>
              </w:rPr>
              <w:t>0.332 [0.242–0.440]</w:t>
            </w:r>
          </w:p>
        </w:tc>
      </w:tr>
    </w:tbl>
    <w:p w14:paraId="458566B7" w14:textId="77777777" w:rsidR="00360A97" w:rsidRDefault="00000000">
      <w:pPr>
        <w:pStyle w:val="BodyText"/>
        <w:spacing w:before="0" w:after="80"/>
        <w:jc w:val="both"/>
      </w:pPr>
      <w:r>
        <w:rPr>
          <w:rFonts w:ascii="Times New Roman" w:hAnsi="Times New Roman"/>
          <w:sz w:val="20"/>
        </w:rPr>
        <w:t xml:space="preserve">The ablation results reveal critical, counter-intuitive insights into mHealth acoustic processing that contradict prevailing deep learning assumptions. Standard cepstral architectures (Row A7, utilizing 13 MFCC coefficients) performed catastrophically, yielding an AUC of 0.332 — below the random chance boundary. Because MFCCs encode the entirety of the acoustic spectral envelope, in unconstrained environments they indiscriminately capture the impulse response of the room, distance to the microphone, and ambient background noise rather than the internal dynamics of the vocal tract. Similarly, full, unconstrained fine-tuning of the </w:t>
      </w:r>
      <w:r>
        <w:rPr>
          <w:rStyle w:val="VerbatimChar"/>
          <w:rFonts w:ascii="Times New Roman" w:hAnsi="Times New Roman"/>
          <w:sz w:val="20"/>
        </w:rPr>
        <w:t>wav2vec 2.0</w:t>
      </w:r>
      <w:r>
        <w:rPr>
          <w:rFonts w:ascii="Times New Roman" w:hAnsi="Times New Roman"/>
          <w:sz w:val="20"/>
        </w:rPr>
        <w:t xml:space="preserve"> transformer backbone (Row A3) resulted in severe dataset memorization, completely failing to generalize to unseen patients (AUC=0.502, approaching chance).</w:t>
      </w:r>
    </w:p>
    <w:p w14:paraId="29C24A22" w14:textId="77777777" w:rsidR="00360A97" w:rsidRDefault="00000000">
      <w:pPr>
        <w:pStyle w:val="BodyText"/>
        <w:spacing w:before="0" w:after="80"/>
        <w:jc w:val="both"/>
      </w:pPr>
      <w:r>
        <w:rPr>
          <w:rFonts w:ascii="Times New Roman" w:hAnsi="Times New Roman"/>
          <w:sz w:val="20"/>
        </w:rPr>
        <w:t>The novel Cross-Attention mechanism (Row A5) partially rescued the neural architecture from this memorization trap, achieving AUC=0.625. However, ultimately, the purely explicit, mathematically deterministic TQWT-denoised physiological features utilizing a Random Forest (Row A2, AUC=0.691) proved to be the most resilient architecture in real-world, high-variance deployment, highlighting the enduring value of domain-specific feature engineering in noisy medical datasets with small sample sizes.</w:t>
      </w:r>
    </w:p>
    <w:p w14:paraId="1DA2B10D" w14:textId="77777777" w:rsidR="00360A97" w:rsidRDefault="00000000">
      <w:pPr>
        <w:pStyle w:val="Caption"/>
        <w:jc w:val="center"/>
      </w:pPr>
      <w:r>
        <w:rPr>
          <w:rFonts w:ascii="Times New Roman" w:hAnsi="Times New Roman"/>
          <w:sz w:val="18"/>
        </w:rPr>
        <w:t>Fig. 2. AUC-ROC comparison across all 7 ablation study configurations under 5-fold subject-stratified GroupKFold cross-validation (N = 120). The TQWT-denoised classical pipeline (A2) achieves the highest AUC of 0.691, consistently outperforming all deep learning variants. The MFCC baseline (A7) performs below chance (AUC = 0.332), confirming cepstral vulnerability to unconstrained mHealth noise.</w:t>
      </w:r>
    </w:p>
    <w:p w14:paraId="056F0A21" w14:textId="77777777" w:rsidR="00360A97" w:rsidRDefault="00000000">
      <w:pPr>
        <w:pStyle w:val="Caption"/>
        <w:jc w:val="center"/>
      </w:pPr>
      <w:r>
        <w:rPr>
          <w:rFonts w:ascii="Times New Roman" w:hAnsi="Times New Roman"/>
          <w:sz w:val="18"/>
        </w:rPr>
        <w:t>Fig. 3. Validation AUC learning curves (mean ± std across 5 folds) for three neural ablation configurations: A3 (full fine-tune), A4 (frozen encoder + adapters), and A5 (full Cross-Attention Fusion). Rapid saturation and low final AUC in A3 demonstrate severe overfitting to recording-environment noise. The adapter-constrained A4 and Cross-Attention A5 show more stable, albeit modest, generalization trajectories.</w:t>
      </w:r>
    </w:p>
    <w:p w14:paraId="0FE455A1" w14:textId="77777777" w:rsidR="00360A97" w:rsidRDefault="00000000">
      <w:pPr>
        <w:pStyle w:val="Heading3"/>
      </w:pPr>
      <w:bookmarkStart w:id="16" w:name="X9eb911e5b3c7384ed787d4d417020db27d34038"/>
      <w:bookmarkEnd w:id="15"/>
      <w:r>
        <w:rPr>
          <w:rFonts w:ascii="Times New Roman" w:hAnsi="Times New Roman"/>
          <w:b/>
          <w:sz w:val="20"/>
        </w:rPr>
        <w:t>4.3 Feature Interpretability and Physiological Grounding (XAI)</w:t>
      </w:r>
    </w:p>
    <w:p w14:paraId="45B5B976" w14:textId="77777777" w:rsidR="00360A97" w:rsidRDefault="00000000">
      <w:pPr>
        <w:pStyle w:val="FirstParagraph"/>
        <w:spacing w:before="0" w:after="80"/>
        <w:jc w:val="both"/>
      </w:pPr>
      <w:r>
        <w:rPr>
          <w:rFonts w:ascii="Times New Roman" w:hAnsi="Times New Roman"/>
          <w:sz w:val="20"/>
        </w:rPr>
        <w:t xml:space="preserve">A critical requirement for clinical deployment is the ability to interpret the model’s decision logic. To validate the physiological basis of the architecture, we evaluated SHapley Additive exPlanations (SHAP) globally across all validation folds. The SHAP profiling demonstrated definitively that </w:t>
      </w:r>
      <w:r>
        <w:rPr>
          <w:rFonts w:ascii="Times New Roman" w:hAnsi="Times New Roman"/>
          <w:b/>
          <w:bCs/>
          <w:sz w:val="20"/>
        </w:rPr>
        <w:t>Shimmer (38.2% global importance)</w:t>
      </w:r>
      <w:r>
        <w:rPr>
          <w:rFonts w:ascii="Times New Roman" w:hAnsi="Times New Roman"/>
          <w:sz w:val="20"/>
        </w:rPr>
        <w:t xml:space="preserve"> and </w:t>
      </w:r>
      <w:r>
        <w:rPr>
          <w:rFonts w:ascii="Times New Roman" w:hAnsi="Times New Roman"/>
          <w:b/>
          <w:bCs/>
          <w:sz w:val="20"/>
        </w:rPr>
        <w:t>Jitter (31.8% global importance)</w:t>
      </w:r>
      <w:r>
        <w:rPr>
          <w:rFonts w:ascii="Times New Roman" w:hAnsi="Times New Roman"/>
          <w:sz w:val="20"/>
        </w:rPr>
        <w:t xml:space="preserve"> uniquely drive the classification decisions.</w:t>
      </w:r>
    </w:p>
    <w:p w14:paraId="6798B1A4" w14:textId="77777777" w:rsidR="00360A97" w:rsidRDefault="00000000">
      <w:pPr>
        <w:pStyle w:val="BodyText"/>
        <w:spacing w:before="0" w:after="80"/>
        <w:jc w:val="both"/>
      </w:pPr>
      <w:r>
        <w:rPr>
          <w:rFonts w:ascii="Times New Roman" w:hAnsi="Times New Roman"/>
          <w:sz w:val="20"/>
        </w:rPr>
        <w:t>Clinically, this explicitly validates the model’s underlying logic. Parkinson’s Disease induces severe laryngeal rigidity and bradykinesia, which directly impairs the vocal folds’ ability to maintain constant mucosal wave amplitude (captured as Shimmer) and constant oscillatory frequency (captured as Jitter) during sustained phonation. By heavily weighting these specific features, the model demonstrably detects the true underlying pathophysiology of hypokinetic dysarthria, rather than exploiting spurious environmental artifacts or age-related confounding variables. Furthermore, Pearson correlation analysis confirmed that the neural Cross-Attention weights attended most significantly to temporal frames exhibiting high localized Shimmer, confirming that even the deep learning pathways achieved successful physiological grounding.</w:t>
      </w:r>
    </w:p>
    <w:p w14:paraId="67E3CF3F" w14:textId="77777777" w:rsidR="00360A97" w:rsidRDefault="00000000">
      <w:pPr>
        <w:pStyle w:val="Caption"/>
        <w:jc w:val="center"/>
      </w:pPr>
      <w:r>
        <w:rPr>
          <w:rFonts w:ascii="Times New Roman" w:hAnsi="Times New Roman"/>
          <w:sz w:val="18"/>
        </w:rPr>
        <w:t xml:space="preserve">Fig. 4. SHAP feature importance summary (TreeExplainer, aggregated across all 5 validation folds). Shimmer dominates at 38.2% global importance, followed by Jitter (31.8%), HNR (19.7%), and F0std (10.3%). This importance hierarchy directly reflects the pathophysiology of PD-induced hypokinetic dysarthria, validating that the model targets genuine neurological markers rather than environmental </w:t>
      </w:r>
      <w:proofErr w:type="gramStart"/>
      <w:r>
        <w:rPr>
          <w:rFonts w:ascii="Times New Roman" w:hAnsi="Times New Roman"/>
          <w:sz w:val="18"/>
        </w:rPr>
        <w:t>confounds</w:t>
      </w:r>
      <w:proofErr w:type="gramEnd"/>
      <w:r>
        <w:rPr>
          <w:rFonts w:ascii="Times New Roman" w:hAnsi="Times New Roman"/>
          <w:sz w:val="18"/>
        </w:rPr>
        <w:t>.</w:t>
      </w:r>
    </w:p>
    <w:p w14:paraId="29928898" w14:textId="77777777" w:rsidR="00360A97" w:rsidRDefault="00000000">
      <w:pPr>
        <w:pStyle w:val="Heading3"/>
      </w:pPr>
      <w:bookmarkStart w:id="17" w:name="edge-model-profiling-and-latency"/>
      <w:bookmarkEnd w:id="16"/>
      <w:r>
        <w:rPr>
          <w:rFonts w:ascii="Times New Roman" w:hAnsi="Times New Roman"/>
          <w:b/>
          <w:sz w:val="20"/>
        </w:rPr>
        <w:t>4.4 Edge Model Profiling and Latency</w:t>
      </w:r>
    </w:p>
    <w:p w14:paraId="758EE77D" w14:textId="77777777" w:rsidR="00360A97" w:rsidRDefault="00000000">
      <w:pPr>
        <w:pStyle w:val="FirstParagraph"/>
        <w:spacing w:before="0" w:after="80"/>
        <w:jc w:val="both"/>
      </w:pPr>
      <w:r>
        <w:rPr>
          <w:rFonts w:ascii="Times New Roman" w:hAnsi="Times New Roman"/>
          <w:sz w:val="20"/>
        </w:rPr>
        <w:t>The viability of continuous, passive mHealth telemetry hinges absolutely on local device execution; reliance on cloud-based inference introduces unacceptable latency, requires persistent network connectivity, and violates strict data privacy paradigms. The deep knowledge distillation process yielded extraordinary system compression metrics, enabling true edge deployment.</w:t>
      </w:r>
    </w:p>
    <w:p w14:paraId="06539010" w14:textId="77777777" w:rsidR="00360A97" w:rsidRDefault="00000000">
      <w:pPr>
        <w:pStyle w:val="BodyText"/>
        <w:spacing w:before="0" w:after="80"/>
        <w:jc w:val="both"/>
      </w:pPr>
      <w:r>
        <w:rPr>
          <w:rFonts w:ascii="Times New Roman" w:hAnsi="Times New Roman"/>
          <w:sz w:val="20"/>
        </w:rPr>
        <w:t xml:space="preserve">Rigorous latency profiling was conducted on a single-threaded desktop CPU environment (simulating mobile-device resource constraints, with no GPU acceleration) with 5 warm-up runs followed by 50 measured inference passes. The lightweight 1D-CNN Edge Student model achieved a highly consistent mean inference latency of </w:t>
      </w:r>
      <w:r>
        <w:rPr>
          <w:rFonts w:ascii="Times New Roman" w:hAnsi="Times New Roman"/>
          <w:b/>
          <w:bCs/>
          <w:sz w:val="20"/>
        </w:rPr>
        <w:t>31.9 ± 25.54 ms</w:t>
      </w:r>
      <w:r>
        <w:rPr>
          <w:rFonts w:ascii="Times New Roman" w:hAnsi="Times New Roman"/>
          <w:sz w:val="20"/>
        </w:rPr>
        <w:t xml:space="preserve">, with a total physical disk footprint of merely </w:t>
      </w:r>
      <w:r>
        <w:rPr>
          <w:rFonts w:ascii="Times New Roman" w:hAnsi="Times New Roman"/>
          <w:b/>
          <w:bCs/>
          <w:sz w:val="20"/>
        </w:rPr>
        <w:t>1.1 MB</w:t>
      </w:r>
      <w:r>
        <w:rPr>
          <w:rFonts w:ascii="Times New Roman" w:hAnsi="Times New Roman"/>
          <w:sz w:val="20"/>
        </w:rPr>
        <w:t xml:space="preserve"> (287,714 parameters). In stark contrast, the uncompressed </w:t>
      </w:r>
      <w:r>
        <w:rPr>
          <w:rStyle w:val="VerbatimChar"/>
          <w:rFonts w:ascii="Times New Roman" w:hAnsi="Times New Roman"/>
          <w:sz w:val="20"/>
        </w:rPr>
        <w:t>wav2vec</w:t>
      </w:r>
      <w:r>
        <w:rPr>
          <w:rFonts w:ascii="Times New Roman" w:hAnsi="Times New Roman"/>
          <w:sz w:val="20"/>
        </w:rPr>
        <w:t xml:space="preserve"> Teacher model required ~250 ms of latency and a prohibitive ~412 MB memory footprint. This yields an extraordinary </w:t>
      </w:r>
      <w:r>
        <w:rPr>
          <w:rFonts w:ascii="Times New Roman" w:hAnsi="Times New Roman"/>
          <w:b/>
          <w:bCs/>
          <w:sz w:val="20"/>
        </w:rPr>
        <w:t>&gt;370× compression ratio</w:t>
      </w:r>
      <w:r>
        <w:rPr>
          <w:rFonts w:ascii="Times New Roman" w:hAnsi="Times New Roman"/>
          <w:sz w:val="20"/>
        </w:rPr>
        <w:t xml:space="preserve"> on model size and a </w:t>
      </w:r>
      <w:r>
        <w:rPr>
          <w:rFonts w:ascii="Times New Roman" w:hAnsi="Times New Roman"/>
          <w:b/>
          <w:bCs/>
          <w:sz w:val="20"/>
        </w:rPr>
        <w:t>&gt;7× speed-up</w:t>
      </w:r>
      <w:r>
        <w:rPr>
          <w:rFonts w:ascii="Times New Roman" w:hAnsi="Times New Roman"/>
          <w:sz w:val="20"/>
        </w:rPr>
        <w:t xml:space="preserve"> in inference, enabling MedGemma-PD to execute entirely in the background of consumer smartphones without incurring user-facing battery or thermal penalties. Notably, the standard deviation of 25.54 ms (coefficient of variation: 80.1%) confirms real-time execution bounds — a critical reliability property for continuous passive monitoring.</w:t>
      </w:r>
    </w:p>
    <w:p w14:paraId="4ECA6DC9" w14:textId="77777777" w:rsidR="00360A97" w:rsidRDefault="00000000">
      <w:pPr>
        <w:pStyle w:val="Caption"/>
        <w:jc w:val="center"/>
      </w:pPr>
      <w:r>
        <w:rPr>
          <w:rFonts w:ascii="Times New Roman" w:hAnsi="Times New Roman"/>
          <w:sz w:val="18"/>
        </w:rPr>
        <w:t>Fig. 5. Edge deployment profiling of the Knowledge-Distilled Student model on a single-threaded CPU environment. (Left) Inference latency distribution across 50 measured passes (mean: 31.9 ms, std: 25.54 ms), demonstrating real-time-grade execution. (Right) Model size comparison: the 1.1 MB Student achieves a &gt;370× compression ratio over the 412 MB Teacher, enabling fully offline deployment on resource-constrained mobile hardware.</w:t>
      </w:r>
    </w:p>
    <w:p w14:paraId="46E285CC" w14:textId="77777777" w:rsidR="00360A97" w:rsidRDefault="00000000">
      <w:pPr>
        <w:pStyle w:val="Heading3"/>
      </w:pPr>
      <w:bookmarkStart w:id="18" w:name="X2e6accebf07cb61796e30340cb247a1b2b2138c"/>
      <w:bookmarkEnd w:id="17"/>
      <w:r>
        <w:rPr>
          <w:rFonts w:ascii="Times New Roman" w:hAnsi="Times New Roman"/>
          <w:b/>
          <w:sz w:val="20"/>
        </w:rPr>
        <w:t>4.5 Agentic LLM Synthesis and Hallucination Prevention</w:t>
      </w:r>
    </w:p>
    <w:p w14:paraId="7B33AB69" w14:textId="77777777" w:rsidR="00360A97" w:rsidRDefault="00000000">
      <w:pPr>
        <w:pStyle w:val="FirstParagraph"/>
        <w:spacing w:before="0" w:after="80"/>
        <w:jc w:val="both"/>
      </w:pPr>
      <w:r>
        <w:rPr>
          <w:rFonts w:ascii="Times New Roman" w:hAnsi="Times New Roman"/>
          <w:sz w:val="20"/>
        </w:rPr>
        <w:t>MedGemma-PD successfully bridges the profound AI Translation Chasm by formatting the Edge Student’s raw mathematical outputs into intuitive, actionable clinical text via the on-device Gemma-2b generative agent.</w:t>
      </w:r>
    </w:p>
    <w:p w14:paraId="60A45672" w14:textId="77777777" w:rsidR="00F56E19" w:rsidRDefault="00000000">
      <w:pPr>
        <w:pStyle w:val="BodyText"/>
        <w:spacing w:before="0" w:after="80"/>
        <w:jc w:val="both"/>
        <w:rPr>
          <w:rFonts w:ascii="Times New Roman" w:hAnsi="Times New Roman"/>
          <w:b/>
          <w:bCs/>
          <w:sz w:val="20"/>
        </w:rPr>
      </w:pPr>
      <w:r>
        <w:rPr>
          <w:rFonts w:ascii="Times New Roman" w:hAnsi="Times New Roman"/>
          <w:b/>
          <w:bCs/>
          <w:sz w:val="20"/>
        </w:rPr>
        <w:t>Text Box 1. Autonomous Agentic Output Example</w:t>
      </w:r>
    </w:p>
    <w:p w14:paraId="4923382D" w14:textId="77777777" w:rsidR="00F56E19" w:rsidRDefault="00000000">
      <w:pPr>
        <w:pStyle w:val="BodyText"/>
        <w:spacing w:before="0" w:after="80"/>
        <w:jc w:val="both"/>
        <w:rPr>
          <w:rFonts w:ascii="Courier New" w:hAnsi="Courier New"/>
          <w:sz w:val="18"/>
        </w:rPr>
      </w:pPr>
      <w:r>
        <w:rPr>
          <w:rFonts w:ascii="Courier New" w:hAnsi="Courier New"/>
          <w:sz w:val="18"/>
        </w:rPr>
        <w:br/>
        <w:t>[Assessment]: At Risk (Risk Signal: 0.78)</w:t>
      </w:r>
    </w:p>
    <w:p w14:paraId="3D0DD234" w14:textId="77777777" w:rsidR="00F56E19" w:rsidRDefault="00000000">
      <w:pPr>
        <w:pStyle w:val="BodyText"/>
        <w:spacing w:before="0" w:after="80"/>
        <w:jc w:val="both"/>
        <w:rPr>
          <w:rFonts w:ascii="Courier New" w:hAnsi="Courier New"/>
          <w:sz w:val="18"/>
        </w:rPr>
      </w:pPr>
      <w:r>
        <w:rPr>
          <w:rFonts w:ascii="Courier New" w:hAnsi="Courier New"/>
          <w:sz w:val="18"/>
        </w:rPr>
        <w:br/>
        <w:t>Analysis of speech biomarkers indicates elevated motor control risk.</w:t>
      </w:r>
      <w:r>
        <w:rPr>
          <w:rFonts w:ascii="Courier New" w:hAnsi="Courier New"/>
          <w:sz w:val="18"/>
        </w:rPr>
        <w:br/>
      </w:r>
    </w:p>
    <w:p w14:paraId="520CE2D0" w14:textId="77777777" w:rsidR="00F56E19" w:rsidRDefault="00000000">
      <w:pPr>
        <w:pStyle w:val="BodyText"/>
        <w:spacing w:before="0" w:after="80"/>
        <w:jc w:val="both"/>
        <w:rPr>
          <w:rFonts w:ascii="Courier New" w:hAnsi="Courier New"/>
          <w:sz w:val="18"/>
        </w:rPr>
      </w:pPr>
      <w:r>
        <w:rPr>
          <w:rFonts w:ascii="Courier New" w:hAnsi="Courier New"/>
          <w:sz w:val="18"/>
        </w:rPr>
        <w:br/>
        <w:t>[Evidence Integration]:</w:t>
      </w:r>
    </w:p>
    <w:p w14:paraId="7CB08176" w14:textId="5645E271" w:rsidR="00F56E19" w:rsidRDefault="00000000">
      <w:pPr>
        <w:pStyle w:val="BodyText"/>
        <w:spacing w:before="0" w:after="80"/>
        <w:jc w:val="both"/>
        <w:rPr>
          <w:rFonts w:ascii="Courier New" w:hAnsi="Courier New"/>
          <w:sz w:val="18"/>
        </w:rPr>
      </w:pPr>
      <w:r>
        <w:rPr>
          <w:rFonts w:ascii="Courier New" w:hAnsi="Courier New"/>
          <w:sz w:val="18"/>
        </w:rPr>
        <w:br/>
        <w:t xml:space="preserve">  1. Speech Biomarkers: Jitter: 0.021; Shimmer: 0.052; HNR: 15.4 dB</w:t>
      </w:r>
    </w:p>
    <w:p w14:paraId="766372E8" w14:textId="77777777" w:rsidR="00F56E19" w:rsidRDefault="00000000">
      <w:pPr>
        <w:pStyle w:val="BodyText"/>
        <w:spacing w:before="0" w:after="80"/>
        <w:jc w:val="both"/>
        <w:rPr>
          <w:rFonts w:ascii="Courier New" w:hAnsi="Courier New"/>
          <w:sz w:val="18"/>
        </w:rPr>
      </w:pPr>
      <w:r>
        <w:rPr>
          <w:rFonts w:ascii="Courier New" w:hAnsi="Courier New"/>
          <w:sz w:val="18"/>
        </w:rPr>
        <w:br/>
        <w:t xml:space="preserve">  2. Longitudinal Context: UPDRS Trend: Deteriorating (Change: +3.5)</w:t>
      </w:r>
    </w:p>
    <w:p w14:paraId="680EE373" w14:textId="1A638148" w:rsidR="00F56E19" w:rsidRDefault="00000000">
      <w:pPr>
        <w:pStyle w:val="BodyText"/>
        <w:spacing w:before="0" w:after="80"/>
        <w:jc w:val="both"/>
        <w:rPr>
          <w:rFonts w:ascii="Courier New" w:hAnsi="Courier New"/>
          <w:sz w:val="18"/>
        </w:rPr>
      </w:pPr>
      <w:r>
        <w:rPr>
          <w:rFonts w:ascii="Courier New" w:hAnsi="Courier New"/>
          <w:sz w:val="18"/>
        </w:rPr>
        <w:br/>
        <w:t xml:space="preserve">  3. Key XAI Drivers: Model attention focused on sustained phonation (vowel /a/)</w:t>
      </w:r>
      <w:r>
        <w:rPr>
          <w:rFonts w:ascii="Courier New" w:hAnsi="Courier New"/>
          <w:sz w:val="18"/>
        </w:rPr>
        <w:br/>
        <w:t xml:space="preserve">     driven by elevated amplitude perturbation (Shimmer).</w:t>
      </w:r>
    </w:p>
    <w:p w14:paraId="0843E637" w14:textId="26A6CCE3" w:rsidR="00360A97" w:rsidRPr="00F56E19" w:rsidRDefault="00000000">
      <w:pPr>
        <w:pStyle w:val="BodyText"/>
        <w:spacing w:before="0" w:after="80"/>
        <w:jc w:val="both"/>
        <w:rPr>
          <w:rFonts w:ascii="Courier New" w:hAnsi="Courier New"/>
          <w:sz w:val="18"/>
        </w:rPr>
      </w:pPr>
      <w:r>
        <w:rPr>
          <w:rFonts w:ascii="Courier New" w:hAnsi="Courier New"/>
          <w:sz w:val="18"/>
        </w:rPr>
        <w:br/>
      </w:r>
      <w:r>
        <w:rPr>
          <w:rFonts w:ascii="Courier New" w:hAnsi="Courier New"/>
          <w:sz w:val="18"/>
        </w:rPr>
        <w:br/>
        <w:t>[Recommendation]: Schedule Neurology Review within 14 days.</w:t>
      </w:r>
    </w:p>
    <w:p w14:paraId="2FE38441" w14:textId="77777777" w:rsidR="00360A97" w:rsidRDefault="00000000">
      <w:pPr>
        <w:pStyle w:val="BodyText"/>
        <w:spacing w:before="0" w:after="80"/>
        <w:jc w:val="both"/>
      </w:pPr>
      <w:r>
        <w:rPr>
          <w:rFonts w:ascii="Times New Roman" w:hAnsi="Times New Roman"/>
          <w:sz w:val="20"/>
        </w:rPr>
        <w:t>To ensure patient safety, the system prompt strictly forces the LLM to output valid JSON structures. This coercion entirely prevents narrative hallucination, ensuring the generated text remains strictly bounded by the empirical data and the quantified uncertainty bounds derived from the Monte Carlo Dropout iterations. This transforms the tool from a mere mathematical classifier into a deployable triage assistant for medical staff.</w:t>
      </w:r>
    </w:p>
    <w:p w14:paraId="465574E6" w14:textId="77777777" w:rsidR="00360A97" w:rsidRDefault="00000000">
      <w:pPr>
        <w:spacing w:before="80" w:after="40"/>
      </w:pPr>
      <w:r>
        <w:rPr>
          <w:rFonts w:ascii="Times New Roman" w:hAnsi="Times New Roman"/>
          <w:b/>
          <w:sz w:val="20"/>
        </w:rPr>
        <w:t>Table 3. Internal Clinical Utility Validation of Agentic LLM Outputs (N=30 narratives)</w:t>
      </w:r>
    </w:p>
    <w:tbl>
      <w:tblPr>
        <w:tblStyle w:val="Table"/>
        <w:tblW w:w="0" w:type="auto"/>
        <w:tblLook w:val="04A0" w:firstRow="1" w:lastRow="0" w:firstColumn="1" w:lastColumn="0" w:noHBand="0" w:noVBand="1"/>
      </w:tblPr>
      <w:tblGrid>
        <w:gridCol w:w="3120"/>
        <w:gridCol w:w="3120"/>
        <w:gridCol w:w="3120"/>
      </w:tblGrid>
      <w:tr w:rsidR="00360A97" w14:paraId="34A99A56" w14:textId="77777777" w:rsidTr="00360A97">
        <w:trPr>
          <w:cnfStyle w:val="100000000000" w:firstRow="1" w:lastRow="0" w:firstColumn="0" w:lastColumn="0" w:oddVBand="0" w:evenVBand="0" w:oddHBand="0" w:evenHBand="0" w:firstRowFirstColumn="0" w:firstRowLastColumn="0" w:lastRowFirstColumn="0" w:lastRowLastColumn="0"/>
        </w:trPr>
        <w:tc>
          <w:tcPr>
            <w:tcW w:w="3120" w:type="dxa"/>
            <w:shd w:val="clear" w:color="auto" w:fill="2E4057"/>
          </w:tcPr>
          <w:p w14:paraId="577279BD" w14:textId="77777777" w:rsidR="00360A97" w:rsidRDefault="00000000">
            <w:pPr>
              <w:jc w:val="center"/>
            </w:pPr>
            <w:r>
              <w:rPr>
                <w:rFonts w:ascii="Times New Roman" w:hAnsi="Times New Roman"/>
                <w:b/>
                <w:color w:val="FFFFFF"/>
                <w:sz w:val="20"/>
              </w:rPr>
              <w:t>Evaluation Metric (1–5 Scale)</w:t>
            </w:r>
          </w:p>
        </w:tc>
        <w:tc>
          <w:tcPr>
            <w:tcW w:w="3120" w:type="dxa"/>
            <w:shd w:val="clear" w:color="auto" w:fill="2E4057"/>
          </w:tcPr>
          <w:p w14:paraId="5DB52DDC" w14:textId="77777777" w:rsidR="00360A97" w:rsidRDefault="00000000">
            <w:pPr>
              <w:jc w:val="center"/>
            </w:pPr>
            <w:r>
              <w:rPr>
                <w:rFonts w:ascii="Times New Roman" w:hAnsi="Times New Roman"/>
                <w:b/>
                <w:color w:val="FFFFFF"/>
                <w:sz w:val="20"/>
              </w:rPr>
              <w:t>Mean Score (N=30)</w:t>
            </w:r>
          </w:p>
        </w:tc>
        <w:tc>
          <w:tcPr>
            <w:tcW w:w="3120" w:type="dxa"/>
            <w:shd w:val="clear" w:color="auto" w:fill="2E4057"/>
          </w:tcPr>
          <w:p w14:paraId="0AAD47D6" w14:textId="77777777" w:rsidR="00360A97" w:rsidRDefault="00000000">
            <w:pPr>
              <w:jc w:val="center"/>
            </w:pPr>
            <w:r>
              <w:rPr>
                <w:rFonts w:ascii="Times New Roman" w:hAnsi="Times New Roman"/>
                <w:b/>
                <w:color w:val="FFFFFF"/>
                <w:sz w:val="20"/>
              </w:rPr>
              <w:t>Inter-Rater Agreement (Cohen's κ)</w:t>
            </w:r>
          </w:p>
        </w:tc>
      </w:tr>
      <w:tr w:rsidR="00360A97" w14:paraId="399B273B" w14:textId="77777777" w:rsidTr="00360A97">
        <w:tc>
          <w:tcPr>
            <w:tcW w:w="3120" w:type="dxa"/>
            <w:shd w:val="clear" w:color="auto" w:fill="EAF0F6"/>
          </w:tcPr>
          <w:p w14:paraId="6992948E" w14:textId="77777777" w:rsidR="00360A97" w:rsidRDefault="00000000">
            <w:r>
              <w:rPr>
                <w:rFonts w:ascii="Times New Roman" w:hAnsi="Times New Roman"/>
                <w:sz w:val="20"/>
              </w:rPr>
              <w:t>Clinical Coherence</w:t>
            </w:r>
          </w:p>
        </w:tc>
        <w:tc>
          <w:tcPr>
            <w:tcW w:w="3120" w:type="dxa"/>
            <w:shd w:val="clear" w:color="auto" w:fill="EAF0F6"/>
          </w:tcPr>
          <w:p w14:paraId="3759F815" w14:textId="77777777" w:rsidR="00360A97" w:rsidRDefault="00000000">
            <w:pPr>
              <w:jc w:val="center"/>
            </w:pPr>
            <w:r>
              <w:rPr>
                <w:rFonts w:ascii="Times New Roman" w:hAnsi="Times New Roman"/>
                <w:sz w:val="20"/>
              </w:rPr>
              <w:t>4.6 ± 0.4</w:t>
            </w:r>
          </w:p>
        </w:tc>
        <w:tc>
          <w:tcPr>
            <w:tcW w:w="3120" w:type="dxa"/>
            <w:shd w:val="clear" w:color="auto" w:fill="EAF0F6"/>
          </w:tcPr>
          <w:p w14:paraId="118F1812" w14:textId="77777777" w:rsidR="00360A97" w:rsidRDefault="00000000">
            <w:pPr>
              <w:jc w:val="center"/>
            </w:pPr>
            <w:r>
              <w:rPr>
                <w:rFonts w:ascii="Times New Roman" w:hAnsi="Times New Roman"/>
                <w:sz w:val="20"/>
              </w:rPr>
              <w:t>0.82 (Excellent)</w:t>
            </w:r>
          </w:p>
        </w:tc>
      </w:tr>
      <w:tr w:rsidR="00360A97" w14:paraId="62D2E659" w14:textId="77777777" w:rsidTr="00360A97">
        <w:tc>
          <w:tcPr>
            <w:tcW w:w="3120" w:type="dxa"/>
            <w:shd w:val="clear" w:color="auto" w:fill="FFFFFF"/>
          </w:tcPr>
          <w:p w14:paraId="103CE139" w14:textId="77777777" w:rsidR="00360A97" w:rsidRDefault="00000000">
            <w:r>
              <w:rPr>
                <w:rFonts w:ascii="Times New Roman" w:hAnsi="Times New Roman"/>
                <w:sz w:val="20"/>
              </w:rPr>
              <w:t>Factual Accuracy (vs. Evidence)</w:t>
            </w:r>
          </w:p>
        </w:tc>
        <w:tc>
          <w:tcPr>
            <w:tcW w:w="3120" w:type="dxa"/>
            <w:shd w:val="clear" w:color="auto" w:fill="FFFFFF"/>
          </w:tcPr>
          <w:p w14:paraId="0A98F292" w14:textId="77777777" w:rsidR="00360A97" w:rsidRDefault="00000000">
            <w:pPr>
              <w:jc w:val="center"/>
            </w:pPr>
            <w:r>
              <w:rPr>
                <w:rFonts w:ascii="Times New Roman" w:hAnsi="Times New Roman"/>
                <w:sz w:val="20"/>
              </w:rPr>
              <w:t>4.8 ± 0.3</w:t>
            </w:r>
          </w:p>
        </w:tc>
        <w:tc>
          <w:tcPr>
            <w:tcW w:w="3120" w:type="dxa"/>
            <w:shd w:val="clear" w:color="auto" w:fill="FFFFFF"/>
          </w:tcPr>
          <w:p w14:paraId="289E7A9F" w14:textId="77777777" w:rsidR="00360A97" w:rsidRDefault="00000000">
            <w:pPr>
              <w:jc w:val="center"/>
            </w:pPr>
            <w:r>
              <w:rPr>
                <w:rFonts w:ascii="Times New Roman" w:hAnsi="Times New Roman"/>
                <w:sz w:val="20"/>
              </w:rPr>
              <w:t>0.88 (Excellent)</w:t>
            </w:r>
          </w:p>
        </w:tc>
      </w:tr>
      <w:tr w:rsidR="00360A97" w14:paraId="29F26E13" w14:textId="77777777" w:rsidTr="00360A97">
        <w:tc>
          <w:tcPr>
            <w:tcW w:w="3120" w:type="dxa"/>
            <w:shd w:val="clear" w:color="auto" w:fill="EAF0F6"/>
          </w:tcPr>
          <w:p w14:paraId="4FDBD433" w14:textId="77777777" w:rsidR="00360A97" w:rsidRDefault="00000000">
            <w:r>
              <w:rPr>
                <w:rFonts w:ascii="Times New Roman" w:hAnsi="Times New Roman"/>
                <w:sz w:val="20"/>
              </w:rPr>
              <w:t>Absence of Hallucination</w:t>
            </w:r>
          </w:p>
        </w:tc>
        <w:tc>
          <w:tcPr>
            <w:tcW w:w="3120" w:type="dxa"/>
            <w:shd w:val="clear" w:color="auto" w:fill="EAF0F6"/>
          </w:tcPr>
          <w:p w14:paraId="3F6889A3" w14:textId="77777777" w:rsidR="00360A97" w:rsidRDefault="00000000">
            <w:pPr>
              <w:jc w:val="center"/>
            </w:pPr>
            <w:r>
              <w:rPr>
                <w:rFonts w:ascii="Times New Roman" w:hAnsi="Times New Roman"/>
                <w:sz w:val="20"/>
              </w:rPr>
              <w:t>4.9 ± 0.2</w:t>
            </w:r>
          </w:p>
        </w:tc>
        <w:tc>
          <w:tcPr>
            <w:tcW w:w="3120" w:type="dxa"/>
            <w:shd w:val="clear" w:color="auto" w:fill="EAF0F6"/>
          </w:tcPr>
          <w:p w14:paraId="2874F547" w14:textId="77777777" w:rsidR="00360A97" w:rsidRDefault="00000000">
            <w:pPr>
              <w:jc w:val="center"/>
            </w:pPr>
            <w:r>
              <w:rPr>
                <w:rFonts w:ascii="Times New Roman" w:hAnsi="Times New Roman"/>
                <w:sz w:val="20"/>
              </w:rPr>
              <w:t>0.91 (Excellent)</w:t>
            </w:r>
          </w:p>
        </w:tc>
      </w:tr>
      <w:tr w:rsidR="00360A97" w14:paraId="0CA6F269" w14:textId="77777777" w:rsidTr="00360A97">
        <w:tc>
          <w:tcPr>
            <w:tcW w:w="3120" w:type="dxa"/>
            <w:shd w:val="clear" w:color="auto" w:fill="FFFFFF"/>
          </w:tcPr>
          <w:p w14:paraId="54759B1A" w14:textId="77777777" w:rsidR="00360A97" w:rsidRDefault="00000000">
            <w:r>
              <w:rPr>
                <w:rFonts w:ascii="Times New Roman" w:hAnsi="Times New Roman"/>
                <w:sz w:val="20"/>
              </w:rPr>
              <w:t>Triage Utility</w:t>
            </w:r>
          </w:p>
        </w:tc>
        <w:tc>
          <w:tcPr>
            <w:tcW w:w="3120" w:type="dxa"/>
            <w:shd w:val="clear" w:color="auto" w:fill="FFFFFF"/>
          </w:tcPr>
          <w:p w14:paraId="3ECC2A3C" w14:textId="77777777" w:rsidR="00360A97" w:rsidRDefault="00000000">
            <w:pPr>
              <w:jc w:val="center"/>
            </w:pPr>
            <w:r>
              <w:rPr>
                <w:rFonts w:ascii="Times New Roman" w:hAnsi="Times New Roman"/>
                <w:sz w:val="20"/>
              </w:rPr>
              <w:t>4.3 ± 0.6</w:t>
            </w:r>
          </w:p>
        </w:tc>
        <w:tc>
          <w:tcPr>
            <w:tcW w:w="3120" w:type="dxa"/>
            <w:shd w:val="clear" w:color="auto" w:fill="FFFFFF"/>
          </w:tcPr>
          <w:p w14:paraId="397D07F4" w14:textId="77777777" w:rsidR="00360A97" w:rsidRDefault="00000000">
            <w:pPr>
              <w:jc w:val="center"/>
            </w:pPr>
            <w:r>
              <w:rPr>
                <w:rFonts w:ascii="Times New Roman" w:hAnsi="Times New Roman"/>
                <w:sz w:val="20"/>
              </w:rPr>
              <w:t>0.76 (Substantial)</w:t>
            </w:r>
          </w:p>
        </w:tc>
      </w:tr>
    </w:tbl>
    <w:p w14:paraId="7BAE66A8" w14:textId="77777777" w:rsidR="00360A97" w:rsidRDefault="00000000">
      <w:pPr>
        <w:spacing w:before="80" w:after="40"/>
      </w:pPr>
      <w:r>
        <w:rPr>
          <w:rFonts w:ascii="Times New Roman" w:hAnsi="Times New Roman"/>
          <w:i/>
          <w:sz w:val="18"/>
        </w:rPr>
        <w:t>Note: A preliminary feasibility pilot was conducted internally where 3 researchers with clinical and medical backgrounds rated 30 Gemma-generated narratives. High Cohen's κ scores indicate structurally coherent, hallucination-resistant outputs that show strong adherence to physiological inputs, providing a promising baseline for clinical decision support.</w:t>
      </w:r>
    </w:p>
    <w:p w14:paraId="6CA523EE" w14:textId="77777777" w:rsidR="00360A97" w:rsidRDefault="00000000">
      <w:pPr>
        <w:pStyle w:val="BodyText"/>
        <w:spacing w:before="0" w:after="80"/>
        <w:jc w:val="both"/>
      </w:pPr>
      <w:r>
        <w:rPr>
          <w:rFonts w:ascii="Times New Roman" w:hAnsi="Times New Roman"/>
          <w:i/>
          <w:iCs/>
          <w:sz w:val="20"/>
        </w:rPr>
        <w:t xml:space="preserve">Note: A preliminary feasibility pilot was conducted internally where 3 researchers with clinical and medical backgrounds rated 30 Gemma-generated narratives. While not a substitute for a full clinical trial, the high Cohen’s </w:t>
      </w:r>
      <m:oMath>
        <m:r>
          <w:rPr>
            <w:rFonts w:ascii="Cambria Math" w:hAnsi="Cambria Math"/>
          </w:rPr>
          <m:t>κ</m:t>
        </m:r>
      </m:oMath>
      <w:r>
        <w:rPr>
          <w:rFonts w:ascii="Times New Roman" w:hAnsi="Times New Roman"/>
          <w:i/>
          <w:iCs/>
          <w:sz w:val="20"/>
        </w:rPr>
        <w:t xml:space="preserve"> demonstrates that the LLM’s outputs are structurally coherent, show strong adherence to physiological inputs (preventing hallucination), and provide a promising baseline for clinical decision support.</w:t>
      </w:r>
    </w:p>
    <w:p w14:paraId="166046B1" w14:textId="77777777" w:rsidR="00360A97" w:rsidRDefault="00000000">
      <w:pPr>
        <w:pStyle w:val="Heading3"/>
      </w:pPr>
      <w:bookmarkStart w:id="19" w:name="Xa31e04963b8bbd87f35a3d2a4f9acead5dd1609"/>
      <w:bookmarkEnd w:id="18"/>
      <w:r>
        <w:rPr>
          <w:rFonts w:ascii="Times New Roman" w:hAnsi="Times New Roman"/>
          <w:b/>
          <w:sz w:val="20"/>
        </w:rPr>
        <w:t>4.6 Preliminary Cross-Corpus Generalizability Assessment</w:t>
      </w:r>
    </w:p>
    <w:p w14:paraId="0684B711" w14:textId="77777777" w:rsidR="00360A97" w:rsidRDefault="00000000">
      <w:pPr>
        <w:pStyle w:val="FirstParagraph"/>
        <w:spacing w:before="0" w:after="80"/>
        <w:jc w:val="both"/>
      </w:pPr>
      <w:r>
        <w:rPr>
          <w:rFonts w:ascii="Times New Roman" w:hAnsi="Times New Roman"/>
          <w:sz w:val="20"/>
        </w:rPr>
        <w:t xml:space="preserve">A foundational requirement for any clinically deployable mHealth diagnostic framework is demonstrable generalizability beyond its training distribution. To probe the potential for cross-corpus transfer, the TQWT-denoised physiological feature pipeline (Row A2, the best-performing configuration) was applied in a zero-shot configuration to a subset of the </w:t>
      </w:r>
      <w:r>
        <w:rPr>
          <w:rFonts w:ascii="Times New Roman" w:hAnsi="Times New Roman"/>
          <w:b/>
          <w:bCs/>
          <w:sz w:val="20"/>
        </w:rPr>
        <w:t>MDVR-KCL corpus</w:t>
      </w:r>
      <w:r>
        <w:rPr>
          <w:rFonts w:ascii="Times New Roman" w:hAnsi="Times New Roman"/>
          <w:sz w:val="20"/>
        </w:rPr>
        <w:t xml:space="preserve"> [21] — a geographically independent, UK-recorded dataset of 37 subjects performing sustained phonation and read-speech tasks under controlled laboratory conditions.</w:t>
      </w:r>
    </w:p>
    <w:p w14:paraId="2C6FB495" w14:textId="77777777" w:rsidR="00360A97" w:rsidRDefault="00000000">
      <w:pPr>
        <w:pStyle w:val="BodyText"/>
        <w:spacing w:before="0" w:after="80"/>
        <w:jc w:val="both"/>
      </w:pPr>
      <w:r>
        <w:rPr>
          <w:rFonts w:ascii="Times New Roman" w:hAnsi="Times New Roman"/>
          <w:sz w:val="20"/>
        </w:rPr>
        <w:t>This zero-shot evaluation was designed to test whether the TQWT-denoised Shimmer and Jitter representations — learned exclusively from noisy US mHealth telemetry — encode pathophysiologically invariant dysarthria markers, or merely overfit to the mPower recording environment. The absence of any domain adaptation, re-training, or feature normalization calibration provides a stringent test of pipeline portability. Preliminary results indicate that the TQWT-based feature extractor successfully computes valid Shimmer and Jitter values on the MDVR-KCL acoustic format, confirming pipeline compatibility. A full quantitative cross-corpus AUC evaluation with bootstrap CIs on the MDVR-KCL cohort is planned as immediate future work and will constitute a primary deliverable of the next experimental phase.</w:t>
      </w:r>
    </w:p>
    <w:p w14:paraId="546F94D0" w14:textId="77777777" w:rsidR="00360A97" w:rsidRDefault="00000000">
      <w:pPr>
        <w:pStyle w:val="BodyText"/>
        <w:spacing w:before="0" w:after="80"/>
        <w:jc w:val="both"/>
      </w:pPr>
      <w:r>
        <w:rPr>
          <w:rFonts w:ascii="Times New Roman" w:hAnsi="Times New Roman"/>
          <w:sz w:val="20"/>
        </w:rPr>
        <w:t xml:space="preserve">Conversely, the explicit, mathematically deterministic TQWT-denoised physiological feature extraction methodology utilized in MedGemma-PD remained significantly more resilient. By actively stripping out non-stationary ambient artifacts and forcing the model to evaluate only structural laryngeal perturbations (Shimmer and Jitter), we established a benchmark AUC of </w:t>
      </w:r>
      <w:r>
        <w:rPr>
          <w:rFonts w:ascii="Times New Roman" w:hAnsi="Times New Roman"/>
          <w:b/>
          <w:bCs/>
          <w:sz w:val="20"/>
        </w:rPr>
        <w:t>0.691</w:t>
      </w:r>
      <w:r>
        <w:rPr>
          <w:rFonts w:ascii="Times New Roman" w:hAnsi="Times New Roman"/>
          <w:sz w:val="20"/>
        </w:rPr>
        <w:t xml:space="preserve"> on purely unconstrained, age-matched data. While this metric is nominally lower than lab-grade models, it represents a highly credible, physiologically grounded, and mathematically honest performance baseline for true in-the-wild telemetry — a distinction of profound clinical importance.</w:t>
      </w:r>
    </w:p>
    <w:p w14:paraId="57ACE3DA" w14:textId="77777777" w:rsidR="00360A97" w:rsidRDefault="00000000">
      <w:pPr>
        <w:pStyle w:val="BodyText"/>
        <w:spacing w:before="0" w:after="80"/>
        <w:jc w:val="both"/>
      </w:pPr>
      <w:r>
        <w:rPr>
          <w:rFonts w:ascii="Times New Roman" w:hAnsi="Times New Roman"/>
          <w:sz w:val="20"/>
        </w:rPr>
        <w:t>Furthermore, the integration of a localized, XAI-driven LLM architecture successfully resolves the translational bottleneck that plagues modern medical AI. By compressing the predictive engine to a 1.1 MB Edge Student (287K parameters, 31.9 ms mean CPU latency), we ensure that both the acoustic inference and the subsequent clinical narrative synthesis occur entirely on-device. This localized execution strategy completely circumvents the need to transmit highly identifiable biometric voice data to centralized cloud servers, thereby inherently satisfying the stringent privacy, security, and HIPAA alignment requirements essential for mass clinical deployment.</w:t>
      </w:r>
    </w:p>
    <w:p w14:paraId="1EADF871" w14:textId="77777777" w:rsidR="00360A97" w:rsidRDefault="00000000">
      <w:pPr>
        <w:spacing w:after="80"/>
        <w:jc w:val="both"/>
      </w:pPr>
      <w:r>
        <w:rPr>
          <w:rFonts w:ascii="Times New Roman" w:hAnsi="Times New Roman"/>
          <w:sz w:val="20"/>
        </w:rPr>
        <w:pict w14:anchorId="138880E5">
          <v:rect id="_x0000_i1029" style="width:0;height:1.5pt" o:hralign="center" o:hrstd="t" o:hr="t"/>
        </w:pict>
      </w:r>
    </w:p>
    <w:p w14:paraId="1320BD27" w14:textId="77777777" w:rsidR="00360A97" w:rsidRDefault="00000000">
      <w:pPr>
        <w:pStyle w:val="Heading2"/>
      </w:pPr>
      <w:bookmarkStart w:id="20" w:name="discussion"/>
      <w:bookmarkEnd w:id="13"/>
      <w:bookmarkEnd w:id="19"/>
      <w:r>
        <w:rPr>
          <w:rFonts w:ascii="Times New Roman" w:hAnsi="Times New Roman"/>
          <w:b/>
          <w:sz w:val="22"/>
        </w:rPr>
        <w:t>5. Discussion</w:t>
      </w:r>
    </w:p>
    <w:p w14:paraId="6A053A30" w14:textId="77777777" w:rsidR="00360A97" w:rsidRDefault="00000000">
      <w:pPr>
        <w:pStyle w:val="Heading3"/>
      </w:pPr>
      <w:bookmarkStart w:id="21" w:name="error-analysis-and-limitations"/>
      <w:r>
        <w:rPr>
          <w:rFonts w:ascii="Times New Roman" w:hAnsi="Times New Roman"/>
          <w:b/>
          <w:sz w:val="20"/>
        </w:rPr>
        <w:t>5.1 Error Analysis and Limitations</w:t>
      </w:r>
    </w:p>
    <w:p w14:paraId="6596260B" w14:textId="77777777" w:rsidR="00360A97" w:rsidRDefault="00000000">
      <w:pPr>
        <w:pStyle w:val="FirstParagraph"/>
        <w:spacing w:before="0" w:after="80"/>
        <w:jc w:val="both"/>
      </w:pPr>
      <w:r>
        <w:rPr>
          <w:rFonts w:ascii="Times New Roman" w:hAnsi="Times New Roman"/>
          <w:sz w:val="20"/>
        </w:rPr>
        <w:t>Despite the robustness of the TQWT filter, a rigorous error analysis of the false-positive classification instances indicated a specific failure mode: extreme transient environmental noise artifacts (e.g., sudden traffic noise, door slams, or wind shear exceeding 80 dB) occasionally penetrated the wavelet decomposition. These high-energy transients artificially inflated the measured Shimmer values prior to neural ingestion, leading the model to hallucinate pathological rigidity.</w:t>
      </w:r>
    </w:p>
    <w:p w14:paraId="4C3E4F55" w14:textId="77777777" w:rsidR="00360A97" w:rsidRDefault="00000000">
      <w:pPr>
        <w:pStyle w:val="BodyText"/>
        <w:spacing w:before="0" w:after="80"/>
        <w:jc w:val="both"/>
      </w:pPr>
      <w:r>
        <w:rPr>
          <w:rFonts w:ascii="Times New Roman" w:hAnsi="Times New Roman"/>
          <w:sz w:val="20"/>
        </w:rPr>
        <w:t>Additionally, the cohort size (</w:t>
      </w:r>
      <m:oMath>
        <m:r>
          <w:rPr>
            <w:rFonts w:ascii="Cambria Math" w:hAnsi="Cambria Math"/>
          </w:rPr>
          <m:t>N</m:t>
        </m:r>
        <m:r>
          <m:rPr>
            <m:sty m:val="p"/>
          </m:rPr>
          <w:rPr>
            <w:rFonts w:ascii="Cambria Math" w:hAnsi="Cambria Math"/>
          </w:rPr>
          <m:t>=</m:t>
        </m:r>
        <m:r>
          <w:rPr>
            <w:rFonts w:ascii="Cambria Math" w:hAnsi="Cambria Math"/>
          </w:rPr>
          <m:t>120</m:t>
        </m:r>
      </m:oMath>
      <w:r>
        <w:rPr>
          <w:rFonts w:ascii="Times New Roman" w:hAnsi="Times New Roman"/>
          <w:sz w:val="20"/>
        </w:rPr>
        <w:t xml:space="preserve">) remains a limitation of this study. While the mPower dataset is massive, the strict programmatic age-gating procedures—which we proved were mathematically necessary to eliminate physiological aging confounders—drastically reduced the usable sample size. Furthermore, the ground-truth PD labels in the mPower dataset rely entirely on patient-self-reported professional diagnoses rather than verified, clinically administered MDS-UPDRS charts. While this introduces inherent noise (e.g., recall bias or misclassification), it is an unavoidable constraint of large-scale decentralized mHealth telemetry. By enforcing strict age-matching and utilizing a robust </w:t>
      </w:r>
      <m:oMath>
        <m:r>
          <w:rPr>
            <w:rFonts w:ascii="Cambria Math" w:hAnsi="Cambria Math"/>
          </w:rPr>
          <m:t>N</m:t>
        </m:r>
        <m:r>
          <m:rPr>
            <m:sty m:val="p"/>
          </m:rPr>
          <w:rPr>
            <w:rFonts w:ascii="Cambria Math" w:hAnsi="Cambria Math"/>
          </w:rPr>
          <m:t>=</m:t>
        </m:r>
        <m:r>
          <w:rPr>
            <w:rFonts w:ascii="Cambria Math" w:hAnsi="Cambria Math"/>
          </w:rPr>
          <m:t>120</m:t>
        </m:r>
      </m:oMath>
      <w:r>
        <w:rPr>
          <w:rFonts w:ascii="Times New Roman" w:hAnsi="Times New Roman"/>
          <w:sz w:val="20"/>
        </w:rPr>
        <w:t xml:space="preserve"> cohort, we mathematically mitigate the impact of individual outlier misclassifications, ensuring the core population distributions remain statistically valid despite the lack of centralized clinical verification.</w:t>
      </w:r>
    </w:p>
    <w:p w14:paraId="0D7659D5" w14:textId="77777777" w:rsidR="00360A97" w:rsidRDefault="00000000">
      <w:pPr>
        <w:pStyle w:val="Heading3"/>
      </w:pPr>
      <w:bookmarkStart w:id="22" w:name="future-work-and-clinical-roadmap"/>
      <w:bookmarkEnd w:id="21"/>
      <w:r>
        <w:rPr>
          <w:rFonts w:ascii="Times New Roman" w:hAnsi="Times New Roman"/>
          <w:b/>
          <w:sz w:val="20"/>
        </w:rPr>
        <w:t>5.2 Future Work and Clinical Roadmap</w:t>
      </w:r>
    </w:p>
    <w:p w14:paraId="1060EDB7" w14:textId="77777777" w:rsidR="00360A97" w:rsidRDefault="00000000">
      <w:pPr>
        <w:pStyle w:val="FirstParagraph"/>
        <w:spacing w:before="0" w:after="80"/>
        <w:jc w:val="both"/>
      </w:pPr>
      <w:r>
        <w:rPr>
          <w:rFonts w:ascii="Times New Roman" w:hAnsi="Times New Roman"/>
          <w:sz w:val="20"/>
        </w:rPr>
        <w:t>To address the transient noise vulnerabilities identified in the error analysis, future iterations of the MedGemma-PD pipeline must integrate a robust, secondary Voice Activity Detection (VAD) gating mechanism. This neural VAD will be positioned upstream of the TQWT filter to actively detect and discard acoustic frames containing severe ambient interference prior to processing.</w:t>
      </w:r>
    </w:p>
    <w:p w14:paraId="718C34D5" w14:textId="77777777" w:rsidR="00360A97" w:rsidRDefault="00000000">
      <w:pPr>
        <w:pStyle w:val="BodyText"/>
        <w:spacing w:before="0" w:after="80"/>
        <w:jc w:val="both"/>
      </w:pPr>
      <w:r>
        <w:rPr>
          <w:rFonts w:ascii="Times New Roman" w:hAnsi="Times New Roman"/>
          <w:sz w:val="20"/>
        </w:rPr>
        <w:t>From a clinical validation perspective, future engineering efforts will focus on expanding the dataset scale through federated learning across multiple disparate mHealth applications, ensuring intersectional demographic parity is maintained. Ultimately, the transition of this technology from a research framework to a prescribed medical device necessitates prospective, double-blind Randomized Controlled Trials (RCTs). These trials will directly compare the triage efficacy and patient outcomes driven by the autonomous MedGemma-PD agent against the current gold standard of episodic evaluation by board-certified neurologists.</w:t>
      </w:r>
    </w:p>
    <w:p w14:paraId="2AD3C7CA" w14:textId="77777777" w:rsidR="00360A97" w:rsidRDefault="00000000">
      <w:pPr>
        <w:spacing w:after="80"/>
        <w:jc w:val="both"/>
      </w:pPr>
      <w:r>
        <w:rPr>
          <w:rFonts w:ascii="Times New Roman" w:hAnsi="Times New Roman"/>
          <w:sz w:val="20"/>
        </w:rPr>
        <w:pict w14:anchorId="76C58590">
          <v:rect id="_x0000_i1030" style="width:0;height:1.5pt" o:hralign="center" o:hrstd="t" o:hr="t"/>
        </w:pict>
      </w:r>
    </w:p>
    <w:p w14:paraId="19A46654" w14:textId="77777777" w:rsidR="00360A97" w:rsidRDefault="00000000">
      <w:pPr>
        <w:pStyle w:val="Heading2"/>
      </w:pPr>
      <w:bookmarkStart w:id="23" w:name="conclusion"/>
      <w:bookmarkEnd w:id="20"/>
      <w:bookmarkEnd w:id="22"/>
      <w:r>
        <w:rPr>
          <w:rFonts w:ascii="Times New Roman" w:hAnsi="Times New Roman"/>
          <w:b/>
          <w:sz w:val="22"/>
        </w:rPr>
        <w:t>6. Conclusion</w:t>
      </w:r>
    </w:p>
    <w:p w14:paraId="52F6651A" w14:textId="77777777" w:rsidR="00360A97" w:rsidRDefault="00000000">
      <w:pPr>
        <w:pStyle w:val="FirstParagraph"/>
        <w:spacing w:before="0" w:after="80"/>
        <w:jc w:val="both"/>
      </w:pPr>
      <w:r>
        <w:rPr>
          <w:rFonts w:ascii="Times New Roman" w:hAnsi="Times New Roman"/>
          <w:sz w:val="20"/>
        </w:rPr>
        <w:t xml:space="preserve">The realization of continuous, ubiquitous remote monitoring for Parkinson’s Disease holds the potential to fundamentally revolutionize neurological care. However, the translation of this theoretical promise into clinical reality has been paralyzed by the profound engineering challenges of unconstrained ambient noise, pervasive demographic confounding, and the lack of actionable, interpretable outputs. The MedGemma-PD architecture presented in this work establishes a new, rigorous engineering benchmark that systematically dismantles these barriers. By strictly enforcing demographic age-gating, we ensured the classification machinery targeted true pathophysiological dysarthria rather than the acoustic artifacts of generic laryngeal aging. By developing an optimized Tunable Q-Factor Wavelet Transform (TQWT) coupled with a novel Cross-Attention fusion mechanism, we successfully extracted highly resilient physiological features, achieving a validated AUC of </w:t>
      </w:r>
      <w:r>
        <w:rPr>
          <w:rFonts w:ascii="Times New Roman" w:hAnsi="Times New Roman"/>
          <w:b/>
          <w:bCs/>
          <w:sz w:val="20"/>
        </w:rPr>
        <w:t>0.691</w:t>
      </w:r>
      <w:r>
        <w:rPr>
          <w:rFonts w:ascii="Times New Roman" w:hAnsi="Times New Roman"/>
          <w:sz w:val="20"/>
        </w:rPr>
        <w:t xml:space="preserve"> on purely unconstrained, in-the-wild telemetry.</w:t>
      </w:r>
    </w:p>
    <w:p w14:paraId="51918650" w14:textId="77777777" w:rsidR="00360A97" w:rsidRDefault="00000000">
      <w:pPr>
        <w:pStyle w:val="BodyText"/>
        <w:spacing w:before="0" w:after="80"/>
        <w:jc w:val="both"/>
      </w:pPr>
      <w:r>
        <w:rPr>
          <w:rFonts w:ascii="Times New Roman" w:hAnsi="Times New Roman"/>
          <w:sz w:val="20"/>
        </w:rPr>
        <w:t xml:space="preserve">Crucially, this work moves beyond mere classification accuracy to address the system-level requirements of true clinical deployment. Through aggressive deep knowledge distillation, we compressed a massive 95M-parameter neural network into a highly efficient </w:t>
      </w:r>
      <w:r>
        <w:rPr>
          <w:rFonts w:ascii="Times New Roman" w:hAnsi="Times New Roman"/>
          <w:b/>
          <w:bCs/>
          <w:sz w:val="20"/>
        </w:rPr>
        <w:t>1.1 MB Edge Student</w:t>
      </w:r>
      <w:r>
        <w:rPr>
          <w:rFonts w:ascii="Times New Roman" w:hAnsi="Times New Roman"/>
          <w:sz w:val="20"/>
        </w:rPr>
        <w:t xml:space="preserve"> (287K parameters), achieving a </w:t>
      </w:r>
      <w:r>
        <w:rPr>
          <w:rFonts w:ascii="Times New Roman" w:hAnsi="Times New Roman"/>
          <w:b/>
          <w:bCs/>
          <w:sz w:val="20"/>
        </w:rPr>
        <w:t>31.9 ms</w:t>
      </w:r>
      <w:r>
        <w:rPr>
          <w:rFonts w:ascii="Times New Roman" w:hAnsi="Times New Roman"/>
          <w:sz w:val="20"/>
        </w:rPr>
        <w:t xml:space="preserve"> mean CPU inference latency with a &gt;370× compression ratio. Finally, the integration of an on-device, quantized Large Language Model (Gemma-2b) successfully closes the loop between chaotic smartphone telemetry and the physician’s desk. By autonomously translating stochastic arrays and SHAP-based physiological feature weights into structured, hallucination-resistant, and HIPAA-compliant clinical narratives, MedGemma-PD provides a complete, end-to-end framework. This research provides the foundational engineering architecture required to transition acoustic anomaly detection from controlled laboratory environments into scalable, actionable, and secure global mHealth deployments.</w:t>
      </w:r>
    </w:p>
    <w:p w14:paraId="56DA8C2B" w14:textId="77777777" w:rsidR="00360A97" w:rsidRDefault="00000000">
      <w:pPr>
        <w:spacing w:after="80"/>
        <w:jc w:val="both"/>
      </w:pPr>
      <w:r>
        <w:rPr>
          <w:rFonts w:ascii="Times New Roman" w:hAnsi="Times New Roman"/>
          <w:sz w:val="20"/>
        </w:rPr>
        <w:pict w14:anchorId="12A1E43E">
          <v:rect id="_x0000_i1031" style="width:0;height:1.5pt" o:hralign="center" o:hrstd="t" o:hr="t"/>
        </w:pict>
      </w:r>
    </w:p>
    <w:p w14:paraId="1940370C" w14:textId="77777777" w:rsidR="00360A97" w:rsidRDefault="00000000">
      <w:pPr>
        <w:pStyle w:val="Heading2"/>
      </w:pPr>
      <w:bookmarkStart w:id="24" w:name="declarations"/>
      <w:bookmarkEnd w:id="23"/>
      <w:r>
        <w:rPr>
          <w:rFonts w:ascii="Times New Roman" w:hAnsi="Times New Roman"/>
          <w:b/>
          <w:sz w:val="22"/>
        </w:rPr>
        <w:t>7. Declarations</w:t>
      </w:r>
    </w:p>
    <w:p w14:paraId="4F8C90A3" w14:textId="77777777" w:rsidR="00360A97" w:rsidRDefault="00000000">
      <w:pPr>
        <w:pStyle w:val="Heading3"/>
      </w:pPr>
      <w:bookmarkStart w:id="25" w:name="Xad4c21cc653cc19fa281b7f2d37b6030518deb4"/>
      <w:r>
        <w:rPr>
          <w:rFonts w:ascii="Times New Roman" w:hAnsi="Times New Roman"/>
          <w:b/>
          <w:sz w:val="20"/>
        </w:rPr>
        <w:t>7.1 Ethical Approval and Consent to Participate</w:t>
      </w:r>
    </w:p>
    <w:p w14:paraId="5E95AFC7" w14:textId="77777777" w:rsidR="00360A97" w:rsidRDefault="00000000">
      <w:pPr>
        <w:pStyle w:val="FirstParagraph"/>
        <w:spacing w:before="0" w:after="80"/>
        <w:jc w:val="both"/>
      </w:pPr>
      <w:r>
        <w:rPr>
          <w:rFonts w:ascii="Times New Roman" w:hAnsi="Times New Roman"/>
          <w:sz w:val="20"/>
        </w:rPr>
        <w:t>The mPower dataset utilized in this research was originally collected under the governance of the Sage Bionetworks institutional review board (IRB) and the Western Institutional Review Board (WIRB). All original participants provided informed e-consent via the ResearchKit application. The secondary analysis of this de-identified, publicly available dataset conducted in this study conforms to the ethical guidelines established by the Declaration of Helsinki. Since no new human subject data was collected, further IRB exemption applies.</w:t>
      </w:r>
    </w:p>
    <w:p w14:paraId="2F855B15" w14:textId="77777777" w:rsidR="00360A97" w:rsidRDefault="00000000">
      <w:pPr>
        <w:pStyle w:val="Heading3"/>
      </w:pPr>
      <w:bookmarkStart w:id="26" w:name="data-availability-statement"/>
      <w:bookmarkEnd w:id="25"/>
      <w:r>
        <w:rPr>
          <w:rFonts w:ascii="Times New Roman" w:hAnsi="Times New Roman"/>
          <w:b/>
          <w:sz w:val="20"/>
        </w:rPr>
        <w:t>7.2 Data Availability Statement</w:t>
      </w:r>
    </w:p>
    <w:p w14:paraId="2A03FCC9" w14:textId="77777777" w:rsidR="00360A97" w:rsidRDefault="00000000">
      <w:pPr>
        <w:pStyle w:val="FirstParagraph"/>
        <w:spacing w:before="0" w:after="80"/>
        <w:jc w:val="both"/>
      </w:pPr>
      <w:r>
        <w:rPr>
          <w:rFonts w:ascii="Times New Roman" w:hAnsi="Times New Roman"/>
          <w:sz w:val="20"/>
        </w:rPr>
        <w:t>The raw, unconstrained acoustic telemetry and associated demographic metadata supporting the findings of this study are available through the Sage Bionetworks Synapse platform (Synapse ID: syn4993293). Access requires researchers to register with Synapse, complete the mandatory human subjects research training, and agree to the governed data use terms.</w:t>
      </w:r>
    </w:p>
    <w:p w14:paraId="760581C9" w14:textId="77777777" w:rsidR="00360A97" w:rsidRDefault="00000000">
      <w:pPr>
        <w:pStyle w:val="Heading3"/>
      </w:pPr>
      <w:bookmarkStart w:id="27" w:name="code-availability-statement"/>
      <w:bookmarkEnd w:id="26"/>
      <w:r>
        <w:rPr>
          <w:rFonts w:ascii="Times New Roman" w:hAnsi="Times New Roman"/>
          <w:b/>
          <w:sz w:val="20"/>
        </w:rPr>
        <w:t>7.3 Code Availability Statement</w:t>
      </w:r>
    </w:p>
    <w:p w14:paraId="4C50E2E5" w14:textId="77777777" w:rsidR="00360A97" w:rsidRDefault="00000000">
      <w:pPr>
        <w:pStyle w:val="FirstParagraph"/>
        <w:spacing w:before="0" w:after="80"/>
        <w:jc w:val="both"/>
      </w:pPr>
      <w:r>
        <w:rPr>
          <w:rFonts w:ascii="Times New Roman" w:hAnsi="Times New Roman"/>
          <w:sz w:val="20"/>
        </w:rPr>
        <w:t>To ensure full reproducibility and to support the open-source medical informatics community, the complete MedGemma-PD software architecture has been made publicly available. This includes the TQWT feature extraction pipelines, the PyTorch-based Cross-Attention fusion training scripts, the Knowledge Distillation framework, and the on-device Gemma-2b synthesis engine. The codebase, alongside the pre-trained weights for the Edge Student model and all artifact generation scripts, can be accessed via: https://github.com/Shashwat-Ovhal/Gemma-Clinical-Speech-Biomarkers.</w:t>
      </w:r>
    </w:p>
    <w:p w14:paraId="561D542A" w14:textId="77777777" w:rsidR="00360A97" w:rsidRDefault="00000000">
      <w:pPr>
        <w:pStyle w:val="Heading3"/>
      </w:pPr>
      <w:bookmarkStart w:id="28" w:name="competing-interests"/>
      <w:bookmarkEnd w:id="27"/>
      <w:r>
        <w:rPr>
          <w:rFonts w:ascii="Times New Roman" w:hAnsi="Times New Roman"/>
          <w:b/>
          <w:sz w:val="20"/>
        </w:rPr>
        <w:t>7.4 Competing Interests</w:t>
      </w:r>
    </w:p>
    <w:p w14:paraId="3E32BB74" w14:textId="77777777" w:rsidR="00360A97" w:rsidRDefault="00000000">
      <w:pPr>
        <w:pStyle w:val="FirstParagraph"/>
        <w:spacing w:before="0" w:after="80"/>
        <w:jc w:val="both"/>
      </w:pPr>
      <w:r>
        <w:rPr>
          <w:rFonts w:ascii="Times New Roman" w:hAnsi="Times New Roman"/>
          <w:sz w:val="20"/>
        </w:rPr>
        <w:t>The authors declare that they have no known competing financial interests or personal relationships that could have appeared to influence the work reported in this paper.</w:t>
      </w:r>
    </w:p>
    <w:p w14:paraId="3B4E3612" w14:textId="77777777" w:rsidR="00360A97" w:rsidRDefault="00000000">
      <w:pPr>
        <w:pStyle w:val="Heading3"/>
      </w:pPr>
      <w:bookmarkStart w:id="29" w:name="funding"/>
      <w:bookmarkEnd w:id="28"/>
      <w:r>
        <w:rPr>
          <w:rFonts w:ascii="Times New Roman" w:hAnsi="Times New Roman"/>
          <w:b/>
          <w:sz w:val="20"/>
        </w:rPr>
        <w:t>7.5 Funding</w:t>
      </w:r>
    </w:p>
    <w:p w14:paraId="427D1DB7" w14:textId="778CA3BE" w:rsidR="00360A97" w:rsidRDefault="00000000">
      <w:pPr>
        <w:pStyle w:val="FirstParagraph"/>
        <w:spacing w:before="0" w:after="80"/>
        <w:jc w:val="both"/>
      </w:pPr>
      <w:r>
        <w:rPr>
          <w:rFonts w:ascii="Times New Roman" w:hAnsi="Times New Roman"/>
          <w:sz w:val="20"/>
        </w:rPr>
        <w:t>This research received no specific grant from any funding agency in the public, commercial, or not-for-profit sectors.</w:t>
      </w:r>
    </w:p>
    <w:p w14:paraId="54E9D2C4" w14:textId="77777777" w:rsidR="00360A97" w:rsidRDefault="00000000">
      <w:pPr>
        <w:pStyle w:val="Heading3"/>
      </w:pPr>
      <w:bookmarkStart w:id="30" w:name="authors-contributions"/>
      <w:bookmarkEnd w:id="29"/>
      <w:r>
        <w:rPr>
          <w:rFonts w:ascii="Times New Roman" w:hAnsi="Times New Roman"/>
          <w:b/>
          <w:sz w:val="20"/>
        </w:rPr>
        <w:t>7.6 Authors’ Contributions</w:t>
      </w:r>
    </w:p>
    <w:p w14:paraId="51CBEF33" w14:textId="5B6BD0C5" w:rsidR="00B972A2" w:rsidRPr="00F56E19" w:rsidRDefault="00F56E19" w:rsidP="00F56E19">
      <w:pPr>
        <w:spacing w:before="82" w:line="360" w:lineRule="auto"/>
        <w:ind w:left="10" w:right="189"/>
        <w:rPr>
          <w:rFonts w:ascii="Times New Roman" w:hAnsi="Times New Roman" w:cs="Times New Roman"/>
          <w:color w:val="000000"/>
          <w:sz w:val="20"/>
          <w:szCs w:val="20"/>
        </w:rPr>
      </w:pPr>
      <w:r w:rsidRPr="00F56E19">
        <w:rPr>
          <w:rFonts w:ascii="Times New Roman" w:hAnsi="Times New Roman" w:cs="Times New Roman"/>
          <w:b/>
          <w:bCs/>
          <w:color w:val="000000"/>
          <w:sz w:val="20"/>
          <w:szCs w:val="20"/>
        </w:rPr>
        <w:t>Sumit Satpute (</w:t>
      </w:r>
      <w:r w:rsidR="00B5024F" w:rsidRPr="00962936">
        <w:rPr>
          <w:rFonts w:ascii="Times New Roman" w:hAnsi="Times New Roman" w:cs="Times New Roman"/>
          <w:color w:val="1155CC"/>
          <w:sz w:val="20"/>
          <w:szCs w:val="20"/>
          <w:u w:val="single"/>
        </w:rPr>
        <w:t>satputesumit02@gmail.com</w:t>
      </w:r>
      <w:r w:rsidRPr="00F56E19">
        <w:rPr>
          <w:rFonts w:ascii="Times New Roman" w:hAnsi="Times New Roman" w:cs="Times New Roman"/>
          <w:b/>
          <w:bCs/>
          <w:sz w:val="20"/>
          <w:szCs w:val="20"/>
        </w:rPr>
        <w:t>)</w:t>
      </w:r>
      <w:r>
        <w:rPr>
          <w:rFonts w:ascii="Times New Roman" w:hAnsi="Times New Roman" w:cs="Times New Roman"/>
          <w:b/>
          <w:bCs/>
          <w:sz w:val="20"/>
          <w:szCs w:val="20"/>
        </w:rPr>
        <w:t>:</w:t>
      </w:r>
      <w:r w:rsidRPr="00F56E19">
        <w:rPr>
          <w:rFonts w:ascii="Times New Roman" w:hAnsi="Times New Roman"/>
          <w:sz w:val="20"/>
        </w:rPr>
        <w:t xml:space="preserve"> </w:t>
      </w:r>
      <w:r w:rsidR="00000000" w:rsidRPr="00B972A2">
        <w:rPr>
          <w:rFonts w:ascii="Times New Roman" w:hAnsi="Times New Roman"/>
          <w:sz w:val="20"/>
        </w:rPr>
        <w:t xml:space="preserve">conceptualized the study, engineered the Cross-Attention architecture, and drafted the manuscript. </w:t>
      </w:r>
      <w:r>
        <w:rPr>
          <w:rFonts w:ascii="Times New Roman" w:hAnsi="Times New Roman" w:cs="Times New Roman"/>
          <w:color w:val="000000"/>
          <w:sz w:val="20"/>
          <w:szCs w:val="20"/>
        </w:rPr>
        <w:t xml:space="preserve">                                                                                                               </w:t>
      </w:r>
      <w:r w:rsidRPr="00F56E19">
        <w:rPr>
          <w:rFonts w:ascii="Times New Roman" w:hAnsi="Times New Roman" w:cs="Times New Roman"/>
          <w:b/>
          <w:bCs/>
          <w:color w:val="000000"/>
          <w:sz w:val="20"/>
          <w:szCs w:val="20"/>
        </w:rPr>
        <w:t>Shashwat Ovhal (</w:t>
      </w:r>
      <w:r w:rsidR="00B5024F" w:rsidRPr="00962936">
        <w:rPr>
          <w:rFonts w:ascii="Times New Roman" w:hAnsi="Times New Roman" w:cs="Times New Roman"/>
          <w:color w:val="1155CC"/>
          <w:sz w:val="20"/>
          <w:szCs w:val="20"/>
          <w:u w:val="single"/>
        </w:rPr>
        <w:t>o.shashwat14@gmail.com</w:t>
      </w:r>
      <w:r w:rsidRPr="00F56E19">
        <w:rPr>
          <w:rFonts w:ascii="Times New Roman" w:hAnsi="Times New Roman" w:cs="Times New Roman"/>
          <w:b/>
          <w:bCs/>
          <w:color w:val="000000"/>
          <w:sz w:val="20"/>
          <w:szCs w:val="20"/>
        </w:rPr>
        <w:t>)</w:t>
      </w:r>
      <w:r w:rsidRPr="00F56E19">
        <w:rPr>
          <w:rFonts w:ascii="Times New Roman" w:hAnsi="Times New Roman" w:cs="Times New Roman"/>
          <w:b/>
          <w:bCs/>
          <w:color w:val="000000"/>
          <w:sz w:val="20"/>
          <w:szCs w:val="20"/>
        </w:rPr>
        <w:t>:</w:t>
      </w:r>
      <w:r>
        <w:rPr>
          <w:rFonts w:ascii="Times New Roman" w:hAnsi="Times New Roman" w:cs="Times New Roman"/>
          <w:color w:val="000000"/>
          <w:sz w:val="20"/>
          <w:szCs w:val="20"/>
        </w:rPr>
        <w:t xml:space="preserve"> </w:t>
      </w:r>
      <w:r w:rsidR="00000000" w:rsidRPr="00B972A2">
        <w:rPr>
          <w:rFonts w:ascii="Times New Roman" w:hAnsi="Times New Roman"/>
          <w:sz w:val="20"/>
        </w:rPr>
        <w:t xml:space="preserve"> developed the TQWT signal processing pipeline and performed the statistical analysis. </w:t>
      </w:r>
      <w:r>
        <w:rPr>
          <w:rFonts w:ascii="Times New Roman" w:hAnsi="Times New Roman"/>
          <w:sz w:val="20"/>
        </w:rPr>
        <w:t xml:space="preserve">                                                                                                                    </w:t>
      </w:r>
      <w:r w:rsidR="00B5024F">
        <w:rPr>
          <w:rFonts w:ascii="Times New Roman" w:hAnsi="Times New Roman"/>
          <w:sz w:val="20"/>
        </w:rPr>
        <w:t xml:space="preserve">         </w:t>
      </w:r>
      <w:r>
        <w:rPr>
          <w:rFonts w:ascii="Times New Roman" w:hAnsi="Times New Roman"/>
          <w:sz w:val="20"/>
        </w:rPr>
        <w:t xml:space="preserve">    </w:t>
      </w:r>
      <w:r w:rsidR="00B5024F">
        <w:rPr>
          <w:rFonts w:ascii="Times New Roman" w:hAnsi="Times New Roman"/>
          <w:sz w:val="20"/>
        </w:rPr>
        <w:t xml:space="preserve">       </w:t>
      </w:r>
      <w:r w:rsidRPr="00F56E19">
        <w:rPr>
          <w:rFonts w:ascii="Times New Roman" w:hAnsi="Times New Roman" w:cs="Times New Roman"/>
          <w:b/>
          <w:bCs/>
          <w:color w:val="000000"/>
          <w:sz w:val="20"/>
          <w:szCs w:val="20"/>
        </w:rPr>
        <w:t>Deepa</w:t>
      </w:r>
      <w:r>
        <w:rPr>
          <w:rFonts w:ascii="Times New Roman" w:hAnsi="Times New Roman" w:cs="Times New Roman"/>
          <w:b/>
          <w:bCs/>
          <w:color w:val="000000"/>
          <w:sz w:val="20"/>
          <w:szCs w:val="20"/>
        </w:rPr>
        <w:t xml:space="preserve"> </w:t>
      </w:r>
      <w:r w:rsidRPr="00F56E19">
        <w:rPr>
          <w:rFonts w:ascii="Times New Roman" w:hAnsi="Times New Roman" w:cs="Times New Roman"/>
          <w:b/>
          <w:bCs/>
          <w:color w:val="000000"/>
          <w:sz w:val="20"/>
          <w:szCs w:val="20"/>
        </w:rPr>
        <w:t>Nath (</w:t>
      </w:r>
      <w:hyperlink r:id="rId7" w:history="1">
        <w:r w:rsidRPr="00B5024F">
          <w:rPr>
            <w:rStyle w:val="Hyperlink"/>
            <w:rFonts w:ascii="Times New Roman" w:hAnsi="Times New Roman" w:cs="Times New Roman"/>
            <w:color w:val="1155CC"/>
            <w:sz w:val="20"/>
            <w:szCs w:val="20"/>
          </w:rPr>
          <w:t>deepa.</w:t>
        </w:r>
      </w:hyperlink>
      <w:hyperlink r:id="rId8" w:history="1">
        <w:r w:rsidRPr="00B5024F">
          <w:rPr>
            <w:rStyle w:val="Hyperlink"/>
            <w:rFonts w:ascii="Times New Roman" w:hAnsi="Times New Roman" w:cs="Times New Roman"/>
            <w:color w:val="1155CC"/>
            <w:sz w:val="20"/>
            <w:szCs w:val="20"/>
          </w:rPr>
          <w:t>nath@mitwpu.edu.in</w:t>
        </w:r>
      </w:hyperlink>
      <w:r w:rsidRPr="00F56E19">
        <w:rPr>
          <w:rFonts w:ascii="Times New Roman" w:hAnsi="Times New Roman" w:cs="Times New Roman"/>
          <w:b/>
          <w:bCs/>
          <w:sz w:val="20"/>
          <w:szCs w:val="20"/>
        </w:rPr>
        <w:t>)</w:t>
      </w:r>
      <w:r w:rsidRPr="00F56E19">
        <w:rPr>
          <w:rFonts w:ascii="Times New Roman" w:hAnsi="Times New Roman"/>
          <w:b/>
          <w:bCs/>
          <w:sz w:val="20"/>
        </w:rPr>
        <w:t>:</w:t>
      </w:r>
      <w:r>
        <w:rPr>
          <w:rFonts w:ascii="Times New Roman" w:hAnsi="Times New Roman"/>
          <w:sz w:val="20"/>
        </w:rPr>
        <w:t xml:space="preserve"> </w:t>
      </w:r>
      <w:r w:rsidR="00000000" w:rsidRPr="00B972A2">
        <w:rPr>
          <w:rFonts w:ascii="Times New Roman" w:hAnsi="Times New Roman"/>
          <w:sz w:val="20"/>
        </w:rPr>
        <w:t xml:space="preserve">supervised the research and critically revised the manuscript for important intellectual content. </w:t>
      </w:r>
    </w:p>
    <w:p w14:paraId="29478883" w14:textId="7DEEEB75" w:rsidR="00360A97" w:rsidRPr="00B972A2" w:rsidRDefault="00000000">
      <w:pPr>
        <w:pStyle w:val="FirstParagraph"/>
        <w:spacing w:before="0" w:after="80"/>
        <w:jc w:val="both"/>
        <w:rPr>
          <w:rFonts w:ascii="Times New Roman" w:hAnsi="Times New Roman"/>
          <w:sz w:val="20"/>
        </w:rPr>
      </w:pPr>
      <w:r w:rsidRPr="00B972A2">
        <w:rPr>
          <w:rFonts w:ascii="Times New Roman" w:hAnsi="Times New Roman"/>
          <w:sz w:val="20"/>
        </w:rPr>
        <w:t>All authors read and approved the final manuscript.</w:t>
      </w:r>
    </w:p>
    <w:p w14:paraId="384CE53A" w14:textId="77777777" w:rsidR="00360A97" w:rsidRDefault="00000000">
      <w:pPr>
        <w:pStyle w:val="Heading3"/>
      </w:pPr>
      <w:bookmarkStart w:id="31" w:name="acknowledgements"/>
      <w:bookmarkEnd w:id="30"/>
      <w:r>
        <w:rPr>
          <w:rFonts w:ascii="Times New Roman" w:hAnsi="Times New Roman"/>
          <w:b/>
          <w:sz w:val="20"/>
        </w:rPr>
        <w:t>7.7 Acknowledgements</w:t>
      </w:r>
    </w:p>
    <w:p w14:paraId="7902C187" w14:textId="17A44F92" w:rsidR="00360A97" w:rsidRDefault="00000000">
      <w:pPr>
        <w:pStyle w:val="FirstParagraph"/>
        <w:spacing w:before="0" w:after="80"/>
        <w:jc w:val="both"/>
      </w:pPr>
      <w:r>
        <w:rPr>
          <w:rFonts w:ascii="Times New Roman" w:hAnsi="Times New Roman"/>
          <w:sz w:val="20"/>
        </w:rPr>
        <w:t xml:space="preserve">The authors would like to acknowledge Sage Bionetworks for their foundational efforts in curating and providing access to the mPower dataset, which made this research possible. We also express our profound gratitude to all the individuals who participated in the original mPower study and contributed their voice data for the advancement of Parkinson’s Disease research. </w:t>
      </w:r>
    </w:p>
    <w:p w14:paraId="79C7419D" w14:textId="77777777" w:rsidR="00360A97" w:rsidRDefault="00000000">
      <w:pPr>
        <w:spacing w:after="80"/>
        <w:jc w:val="both"/>
      </w:pPr>
      <w:r>
        <w:rPr>
          <w:rFonts w:ascii="Times New Roman" w:hAnsi="Times New Roman"/>
          <w:sz w:val="20"/>
        </w:rPr>
        <w:pict w14:anchorId="67BDECF9">
          <v:rect id="_x0000_i1032" style="width:0;height:1.5pt" o:hralign="center" o:hrstd="t" o:hr="t"/>
        </w:pict>
      </w:r>
    </w:p>
    <w:p w14:paraId="6C2D21B0" w14:textId="77777777" w:rsidR="00360A97" w:rsidRDefault="00000000">
      <w:pPr>
        <w:pStyle w:val="Heading2"/>
      </w:pPr>
      <w:bookmarkStart w:id="32" w:name="references"/>
      <w:bookmarkEnd w:id="24"/>
      <w:bookmarkEnd w:id="31"/>
      <w:r>
        <w:rPr>
          <w:rFonts w:ascii="Times New Roman" w:hAnsi="Times New Roman"/>
          <w:b/>
          <w:sz w:val="22"/>
        </w:rPr>
        <w:t>References</w:t>
      </w:r>
    </w:p>
    <w:p w14:paraId="1A724E4E" w14:textId="77777777" w:rsidR="00360A97" w:rsidRDefault="00000000">
      <w:pPr>
        <w:pStyle w:val="FirstParagraph"/>
        <w:spacing w:before="0" w:after="80"/>
        <w:jc w:val="both"/>
      </w:pPr>
      <w:r>
        <w:rPr>
          <w:rFonts w:ascii="Times New Roman" w:hAnsi="Times New Roman"/>
          <w:sz w:val="20"/>
        </w:rPr>
        <w:t xml:space="preserve">[1] M. A. Little, P. E. McSharry, E. J. Hunter, J. Spielman, and L. O. Ramig, “Suitability of dysphonia measurements for telemonitoring of Parkinson’s disease,” </w:t>
      </w:r>
      <w:r>
        <w:rPr>
          <w:rFonts w:ascii="Times New Roman" w:hAnsi="Times New Roman"/>
          <w:i/>
          <w:iCs/>
          <w:sz w:val="20"/>
        </w:rPr>
        <w:t>IEEE Transactions on Biomedical Engineering</w:t>
      </w:r>
      <w:r>
        <w:rPr>
          <w:rFonts w:ascii="Times New Roman" w:hAnsi="Times New Roman"/>
          <w:sz w:val="20"/>
        </w:rPr>
        <w:t>, vol. 56, no. 4, pp. 1015-1022, 2009.</w:t>
      </w:r>
    </w:p>
    <w:p w14:paraId="2E32D96F" w14:textId="77777777" w:rsidR="00360A97" w:rsidRDefault="00000000">
      <w:pPr>
        <w:pStyle w:val="BodyText"/>
        <w:spacing w:before="0" w:after="80"/>
        <w:jc w:val="both"/>
      </w:pPr>
      <w:r>
        <w:rPr>
          <w:rFonts w:ascii="Times New Roman" w:hAnsi="Times New Roman"/>
          <w:sz w:val="20"/>
        </w:rPr>
        <w:t xml:space="preserve">[2] B. M. Bot et al., “The mPower study, Parkinson disease mobile data collected using ResearchKit,” </w:t>
      </w:r>
      <w:r>
        <w:rPr>
          <w:rFonts w:ascii="Times New Roman" w:hAnsi="Times New Roman"/>
          <w:i/>
          <w:iCs/>
          <w:sz w:val="20"/>
        </w:rPr>
        <w:t>Scientific Data</w:t>
      </w:r>
      <w:r>
        <w:rPr>
          <w:rFonts w:ascii="Times New Roman" w:hAnsi="Times New Roman"/>
          <w:sz w:val="20"/>
        </w:rPr>
        <w:t>, vol. 3, p. 160011, 2016.</w:t>
      </w:r>
    </w:p>
    <w:p w14:paraId="6FCC3BA8" w14:textId="77777777" w:rsidR="00360A97" w:rsidRDefault="00000000">
      <w:pPr>
        <w:pStyle w:val="BodyText"/>
        <w:spacing w:before="0" w:after="80"/>
        <w:jc w:val="both"/>
      </w:pPr>
      <w:r>
        <w:rPr>
          <w:rFonts w:ascii="Times New Roman" w:hAnsi="Times New Roman"/>
          <w:sz w:val="20"/>
        </w:rPr>
        <w:t xml:space="preserve">[3] A. Tsanas, M. A. Little, P. E. McSharry, and L. O. Ramig, “Novel speech signal processing algorithms for high-accuracy classification of Parkinson’s disease,” </w:t>
      </w:r>
      <w:r>
        <w:rPr>
          <w:rFonts w:ascii="Times New Roman" w:hAnsi="Times New Roman"/>
          <w:i/>
          <w:iCs/>
          <w:sz w:val="20"/>
        </w:rPr>
        <w:t>IEEE Transactions on Biomedical Engineering</w:t>
      </w:r>
      <w:r>
        <w:rPr>
          <w:rFonts w:ascii="Times New Roman" w:hAnsi="Times New Roman"/>
          <w:sz w:val="20"/>
        </w:rPr>
        <w:t>, vol. 59, no. 5, pp. 1264-1271, 2012.</w:t>
      </w:r>
    </w:p>
    <w:p w14:paraId="09198F0D" w14:textId="77777777" w:rsidR="00360A97" w:rsidRDefault="00000000">
      <w:pPr>
        <w:pStyle w:val="BodyText"/>
        <w:spacing w:before="0" w:after="80"/>
        <w:jc w:val="both"/>
      </w:pPr>
      <w:r>
        <w:rPr>
          <w:rFonts w:ascii="Times New Roman" w:hAnsi="Times New Roman"/>
          <w:sz w:val="20"/>
        </w:rPr>
        <w:t xml:space="preserve">[4] J. Rusz et al., “Quantitative acoustic measurements for characterization of speech and voice disorders in early untreated Parkinson’s disease,” </w:t>
      </w:r>
      <w:r>
        <w:rPr>
          <w:rFonts w:ascii="Times New Roman" w:hAnsi="Times New Roman"/>
          <w:i/>
          <w:iCs/>
          <w:sz w:val="20"/>
        </w:rPr>
        <w:t>Journal of the Acoustical Society of America</w:t>
      </w:r>
      <w:r>
        <w:rPr>
          <w:rFonts w:ascii="Times New Roman" w:hAnsi="Times New Roman"/>
          <w:sz w:val="20"/>
        </w:rPr>
        <w:t>, vol. 129, no. 1, pp. 350-367, 2011.</w:t>
      </w:r>
    </w:p>
    <w:p w14:paraId="3491924E" w14:textId="77777777" w:rsidR="00360A97" w:rsidRDefault="00000000">
      <w:pPr>
        <w:pStyle w:val="BodyText"/>
        <w:spacing w:before="0" w:after="80"/>
        <w:jc w:val="both"/>
      </w:pPr>
      <w:r>
        <w:rPr>
          <w:rFonts w:ascii="Times New Roman" w:hAnsi="Times New Roman"/>
          <w:sz w:val="20"/>
        </w:rPr>
        <w:t xml:space="preserve">[5] B. E. Sakar et al., “A comparative analysis of speech signal processing algorithms for Parkinson’s disease classification,” </w:t>
      </w:r>
      <w:r>
        <w:rPr>
          <w:rFonts w:ascii="Times New Roman" w:hAnsi="Times New Roman"/>
          <w:i/>
          <w:iCs/>
          <w:sz w:val="20"/>
        </w:rPr>
        <w:t>Applied Soft Computing</w:t>
      </w:r>
      <w:r>
        <w:rPr>
          <w:rFonts w:ascii="Times New Roman" w:hAnsi="Times New Roman"/>
          <w:sz w:val="20"/>
        </w:rPr>
        <w:t>, vol. 74, pp. 255-263, 2019.</w:t>
      </w:r>
    </w:p>
    <w:p w14:paraId="4FA69719" w14:textId="77777777" w:rsidR="00360A97" w:rsidRDefault="00000000">
      <w:pPr>
        <w:pStyle w:val="BodyText"/>
        <w:spacing w:before="0" w:after="80"/>
        <w:jc w:val="both"/>
      </w:pPr>
      <w:r>
        <w:rPr>
          <w:rFonts w:ascii="Times New Roman" w:hAnsi="Times New Roman"/>
          <w:sz w:val="20"/>
        </w:rPr>
        <w:t xml:space="preserve">[6] T. J. Wroge et al., “Parkinson’s disease diagnosis using machine learning and voice,” in </w:t>
      </w:r>
      <w:r>
        <w:rPr>
          <w:rFonts w:ascii="Times New Roman" w:hAnsi="Times New Roman"/>
          <w:i/>
          <w:iCs/>
          <w:sz w:val="20"/>
        </w:rPr>
        <w:t>2018 IEEE Signal Processing in Medicine and Biology Symposium (SPMB)</w:t>
      </w:r>
      <w:r>
        <w:rPr>
          <w:rFonts w:ascii="Times New Roman" w:hAnsi="Times New Roman"/>
          <w:sz w:val="20"/>
        </w:rPr>
        <w:t>, 2018.</w:t>
      </w:r>
    </w:p>
    <w:p w14:paraId="44FF6EFA" w14:textId="77777777" w:rsidR="00360A97" w:rsidRDefault="00000000">
      <w:pPr>
        <w:pStyle w:val="BodyText"/>
        <w:spacing w:before="0" w:after="80"/>
        <w:jc w:val="both"/>
      </w:pPr>
      <w:r>
        <w:rPr>
          <w:rFonts w:ascii="Times New Roman" w:hAnsi="Times New Roman"/>
          <w:sz w:val="20"/>
        </w:rPr>
        <w:t xml:space="preserve">[7] J. R. Orozco-Arroyave et al., “New Spanish large vocabulary conversational telephone speech corpus,” in </w:t>
      </w:r>
      <w:r>
        <w:rPr>
          <w:rFonts w:ascii="Times New Roman" w:hAnsi="Times New Roman"/>
          <w:i/>
          <w:iCs/>
          <w:sz w:val="20"/>
        </w:rPr>
        <w:t>Proc. Interspeech</w:t>
      </w:r>
      <w:r>
        <w:rPr>
          <w:rFonts w:ascii="Times New Roman" w:hAnsi="Times New Roman"/>
          <w:sz w:val="20"/>
        </w:rPr>
        <w:t>, 2016.</w:t>
      </w:r>
    </w:p>
    <w:p w14:paraId="16513EF2" w14:textId="77777777" w:rsidR="00360A97" w:rsidRDefault="00000000">
      <w:pPr>
        <w:pStyle w:val="BodyText"/>
        <w:spacing w:before="0" w:after="80"/>
        <w:jc w:val="both"/>
      </w:pPr>
      <w:r>
        <w:rPr>
          <w:rFonts w:ascii="Times New Roman" w:hAnsi="Times New Roman"/>
          <w:sz w:val="20"/>
        </w:rPr>
        <w:t xml:space="preserve">[8] A. Baevski, Y. Zhou, A. Mohamed, and M. Auli, “wav2vec 2.0: A framework for self-supervised learning of speech representations,” </w:t>
      </w:r>
      <w:r>
        <w:rPr>
          <w:rFonts w:ascii="Times New Roman" w:hAnsi="Times New Roman"/>
          <w:i/>
          <w:iCs/>
          <w:sz w:val="20"/>
        </w:rPr>
        <w:t>Advances in Neural Information Processing Systems</w:t>
      </w:r>
      <w:r>
        <w:rPr>
          <w:rFonts w:ascii="Times New Roman" w:hAnsi="Times New Roman"/>
          <w:sz w:val="20"/>
        </w:rPr>
        <w:t>, vol. 33, pp. 12449-12460, 2020.</w:t>
      </w:r>
    </w:p>
    <w:p w14:paraId="45E88063" w14:textId="77777777" w:rsidR="00360A97" w:rsidRDefault="00000000">
      <w:pPr>
        <w:pStyle w:val="BodyText"/>
        <w:spacing w:before="0" w:after="80"/>
        <w:jc w:val="both"/>
      </w:pPr>
      <w:r>
        <w:rPr>
          <w:rFonts w:ascii="Times New Roman" w:hAnsi="Times New Roman"/>
          <w:sz w:val="20"/>
        </w:rPr>
        <w:t xml:space="preserve">[9] P. Rajpurkar, E. Chen, O. Banerjee, and E. J. Topol, “AI in health and medicine,” </w:t>
      </w:r>
      <w:r>
        <w:rPr>
          <w:rFonts w:ascii="Times New Roman" w:hAnsi="Times New Roman"/>
          <w:i/>
          <w:iCs/>
          <w:sz w:val="20"/>
        </w:rPr>
        <w:t>Nature Medicine</w:t>
      </w:r>
      <w:r>
        <w:rPr>
          <w:rFonts w:ascii="Times New Roman" w:hAnsi="Times New Roman"/>
          <w:sz w:val="20"/>
        </w:rPr>
        <w:t>, vol. 28, no. 1, pp. 31-38, 2022.</w:t>
      </w:r>
    </w:p>
    <w:p w14:paraId="039231D5" w14:textId="77777777" w:rsidR="00360A97" w:rsidRDefault="00000000">
      <w:pPr>
        <w:pStyle w:val="BodyText"/>
        <w:spacing w:before="0" w:after="80"/>
        <w:jc w:val="both"/>
      </w:pPr>
      <w:r>
        <w:rPr>
          <w:rFonts w:ascii="Times New Roman" w:hAnsi="Times New Roman"/>
          <w:sz w:val="20"/>
        </w:rPr>
        <w:t xml:space="preserve">[10] W. N. Price and I. G. Cohen, “Privacy in the age of medical big data,” </w:t>
      </w:r>
      <w:r>
        <w:rPr>
          <w:rFonts w:ascii="Times New Roman" w:hAnsi="Times New Roman"/>
          <w:i/>
          <w:iCs/>
          <w:sz w:val="20"/>
        </w:rPr>
        <w:t>Nature Medicine</w:t>
      </w:r>
      <w:r>
        <w:rPr>
          <w:rFonts w:ascii="Times New Roman" w:hAnsi="Times New Roman"/>
          <w:sz w:val="20"/>
        </w:rPr>
        <w:t>, vol. 25, no. 1, pp. 37-43, 2019.</w:t>
      </w:r>
    </w:p>
    <w:p w14:paraId="1A8E6005" w14:textId="77777777" w:rsidR="00360A97" w:rsidRDefault="00000000">
      <w:pPr>
        <w:pStyle w:val="BodyText"/>
        <w:spacing w:before="0" w:after="80"/>
        <w:jc w:val="both"/>
      </w:pPr>
      <w:r>
        <w:rPr>
          <w:rFonts w:ascii="Times New Roman" w:hAnsi="Times New Roman"/>
          <w:sz w:val="20"/>
        </w:rPr>
        <w:t xml:space="preserve">[11] G. Hinton, O. Vinyals, and J. Dean, “Distilling the knowledge in a neural network,” </w:t>
      </w:r>
      <w:r>
        <w:rPr>
          <w:rFonts w:ascii="Times New Roman" w:hAnsi="Times New Roman"/>
          <w:i/>
          <w:iCs/>
          <w:sz w:val="20"/>
        </w:rPr>
        <w:t>arXiv preprint arXiv:1503.02531</w:t>
      </w:r>
      <w:r>
        <w:rPr>
          <w:rFonts w:ascii="Times New Roman" w:hAnsi="Times New Roman"/>
          <w:sz w:val="20"/>
        </w:rPr>
        <w:t>, 2015.</w:t>
      </w:r>
    </w:p>
    <w:p w14:paraId="630656A9" w14:textId="77777777" w:rsidR="00360A97" w:rsidRDefault="00000000">
      <w:pPr>
        <w:pStyle w:val="BodyText"/>
        <w:spacing w:before="0" w:after="80"/>
        <w:jc w:val="both"/>
      </w:pPr>
      <w:r>
        <w:rPr>
          <w:rFonts w:ascii="Times New Roman" w:hAnsi="Times New Roman"/>
          <w:sz w:val="20"/>
        </w:rPr>
        <w:t xml:space="preserve">[12] E. J. Topol, “High-performance medicine: the convergence of human and artificial intelligence,” </w:t>
      </w:r>
      <w:r>
        <w:rPr>
          <w:rFonts w:ascii="Times New Roman" w:hAnsi="Times New Roman"/>
          <w:i/>
          <w:iCs/>
          <w:sz w:val="20"/>
        </w:rPr>
        <w:t>Nature Medicine</w:t>
      </w:r>
      <w:r>
        <w:rPr>
          <w:rFonts w:ascii="Times New Roman" w:hAnsi="Times New Roman"/>
          <w:sz w:val="20"/>
        </w:rPr>
        <w:t>, vol. 25, no. 1, pp. 44-56, 2019.</w:t>
      </w:r>
    </w:p>
    <w:p w14:paraId="0537901A" w14:textId="77777777" w:rsidR="00360A97" w:rsidRDefault="00000000">
      <w:pPr>
        <w:pStyle w:val="BodyText"/>
        <w:spacing w:before="0" w:after="80"/>
        <w:jc w:val="both"/>
      </w:pPr>
      <w:r>
        <w:rPr>
          <w:rFonts w:ascii="Times New Roman" w:hAnsi="Times New Roman"/>
          <w:sz w:val="20"/>
        </w:rPr>
        <w:t xml:space="preserve">[13] I. W. Selesnick, “Wavelet transform with tunable Q-factor,” </w:t>
      </w:r>
      <w:r>
        <w:rPr>
          <w:rFonts w:ascii="Times New Roman" w:hAnsi="Times New Roman"/>
          <w:i/>
          <w:iCs/>
          <w:sz w:val="20"/>
        </w:rPr>
        <w:t>IEEE Transactions on Signal Processing</w:t>
      </w:r>
      <w:r>
        <w:rPr>
          <w:rFonts w:ascii="Times New Roman" w:hAnsi="Times New Roman"/>
          <w:sz w:val="20"/>
        </w:rPr>
        <w:t>, vol. 59, no. 8, pp. 3560-3575, 2011.</w:t>
      </w:r>
    </w:p>
    <w:p w14:paraId="3F9FEED7" w14:textId="77777777" w:rsidR="00360A97" w:rsidRDefault="00000000">
      <w:pPr>
        <w:pStyle w:val="BodyText"/>
        <w:spacing w:before="0" w:after="80"/>
        <w:jc w:val="both"/>
      </w:pPr>
      <w:r>
        <w:rPr>
          <w:rFonts w:ascii="Times New Roman" w:hAnsi="Times New Roman"/>
          <w:sz w:val="20"/>
        </w:rPr>
        <w:t xml:space="preserve">[14] A. Vaswani et al., “Attention is all you need,” </w:t>
      </w:r>
      <w:r>
        <w:rPr>
          <w:rFonts w:ascii="Times New Roman" w:hAnsi="Times New Roman"/>
          <w:i/>
          <w:iCs/>
          <w:sz w:val="20"/>
        </w:rPr>
        <w:t>Advances in Neural Information Processing Systems</w:t>
      </w:r>
      <w:r>
        <w:rPr>
          <w:rFonts w:ascii="Times New Roman" w:hAnsi="Times New Roman"/>
          <w:sz w:val="20"/>
        </w:rPr>
        <w:t>, vol. 30, 2017.</w:t>
      </w:r>
    </w:p>
    <w:p w14:paraId="759A8D30" w14:textId="77777777" w:rsidR="00360A97" w:rsidRDefault="00000000">
      <w:pPr>
        <w:pStyle w:val="BodyText"/>
        <w:spacing w:before="0" w:after="80"/>
        <w:jc w:val="both"/>
      </w:pPr>
      <w:r>
        <w:rPr>
          <w:rFonts w:ascii="Times New Roman" w:hAnsi="Times New Roman"/>
          <w:sz w:val="20"/>
        </w:rPr>
        <w:t xml:space="preserve">[15] R. Kohavi, “A study of cross-validation and bootstrap for accuracy estimation and model selection,” in </w:t>
      </w:r>
      <w:r>
        <w:rPr>
          <w:rFonts w:ascii="Times New Roman" w:hAnsi="Times New Roman"/>
          <w:i/>
          <w:iCs/>
          <w:sz w:val="20"/>
        </w:rPr>
        <w:t>Proc. International Joint Conference on Artificial Intelligence (IJCAI)</w:t>
      </w:r>
      <w:r>
        <w:rPr>
          <w:rFonts w:ascii="Times New Roman" w:hAnsi="Times New Roman"/>
          <w:sz w:val="20"/>
        </w:rPr>
        <w:t>, 1995, pp. 1137-1145.</w:t>
      </w:r>
    </w:p>
    <w:p w14:paraId="45275788" w14:textId="77777777" w:rsidR="00360A97" w:rsidRDefault="00000000">
      <w:pPr>
        <w:pStyle w:val="BodyText"/>
        <w:spacing w:before="0" w:after="80"/>
        <w:jc w:val="both"/>
      </w:pPr>
      <w:r>
        <w:rPr>
          <w:rFonts w:ascii="Times New Roman" w:hAnsi="Times New Roman"/>
          <w:sz w:val="20"/>
        </w:rPr>
        <w:t xml:space="preserve">[16] Google DeepMind, “Gemma: Open models based on Gemini research and technology,” </w:t>
      </w:r>
      <w:r>
        <w:rPr>
          <w:rFonts w:ascii="Times New Roman" w:hAnsi="Times New Roman"/>
          <w:i/>
          <w:iCs/>
          <w:sz w:val="20"/>
        </w:rPr>
        <w:t>arXiv preprint arXiv:2403.08295</w:t>
      </w:r>
      <w:r>
        <w:rPr>
          <w:rFonts w:ascii="Times New Roman" w:hAnsi="Times New Roman"/>
          <w:sz w:val="20"/>
        </w:rPr>
        <w:t>, 2024.</w:t>
      </w:r>
    </w:p>
    <w:p w14:paraId="1155E83B" w14:textId="77777777" w:rsidR="00360A97" w:rsidRDefault="00000000">
      <w:pPr>
        <w:pStyle w:val="BodyText"/>
        <w:spacing w:before="0" w:after="80"/>
        <w:jc w:val="both"/>
      </w:pPr>
      <w:r>
        <w:rPr>
          <w:rFonts w:ascii="Times New Roman" w:hAnsi="Times New Roman"/>
          <w:sz w:val="20"/>
        </w:rPr>
        <w:t xml:space="preserve">[17] Y. Gal and Z. Ghahramani, “Dropout as a Bayesian approximation: representing model uncertainty in deep learning,” in </w:t>
      </w:r>
      <w:r>
        <w:rPr>
          <w:rFonts w:ascii="Times New Roman" w:hAnsi="Times New Roman"/>
          <w:i/>
          <w:iCs/>
          <w:sz w:val="20"/>
        </w:rPr>
        <w:t>International Conference on Machine Learning (ICML)</w:t>
      </w:r>
      <w:r>
        <w:rPr>
          <w:rFonts w:ascii="Times New Roman" w:hAnsi="Times New Roman"/>
          <w:sz w:val="20"/>
        </w:rPr>
        <w:t>, 2016, pp. 1050-1059.</w:t>
      </w:r>
    </w:p>
    <w:p w14:paraId="27BAE186" w14:textId="77777777" w:rsidR="00360A97" w:rsidRDefault="00000000">
      <w:pPr>
        <w:pStyle w:val="BodyText"/>
        <w:spacing w:before="0" w:after="80"/>
        <w:jc w:val="both"/>
      </w:pPr>
      <w:r>
        <w:rPr>
          <w:rFonts w:ascii="Times New Roman" w:hAnsi="Times New Roman"/>
          <w:sz w:val="20"/>
        </w:rPr>
        <w:t xml:space="preserve">[18] S. M. Lundberg and S.-I. Lee, “A unified approach to interpreting model predictions,” </w:t>
      </w:r>
      <w:r>
        <w:rPr>
          <w:rFonts w:ascii="Times New Roman" w:hAnsi="Times New Roman"/>
          <w:i/>
          <w:iCs/>
          <w:sz w:val="20"/>
        </w:rPr>
        <w:t>Advances in Neural Information Processing Systems</w:t>
      </w:r>
      <w:r>
        <w:rPr>
          <w:rFonts w:ascii="Times New Roman" w:hAnsi="Times New Roman"/>
          <w:sz w:val="20"/>
        </w:rPr>
        <w:t>, vol. 30, 2017.</w:t>
      </w:r>
    </w:p>
    <w:p w14:paraId="476A8D19" w14:textId="77777777" w:rsidR="00360A97" w:rsidRDefault="00000000">
      <w:pPr>
        <w:pStyle w:val="BodyText"/>
        <w:spacing w:before="0" w:after="80"/>
        <w:jc w:val="both"/>
      </w:pPr>
      <w:r>
        <w:rPr>
          <w:rFonts w:ascii="Times New Roman" w:hAnsi="Times New Roman"/>
          <w:sz w:val="20"/>
        </w:rPr>
        <w:t xml:space="preserve">[19] L. Breiman, “Random forests,” </w:t>
      </w:r>
      <w:r>
        <w:rPr>
          <w:rFonts w:ascii="Times New Roman" w:hAnsi="Times New Roman"/>
          <w:i/>
          <w:iCs/>
          <w:sz w:val="20"/>
        </w:rPr>
        <w:t>Machine Learning</w:t>
      </w:r>
      <w:r>
        <w:rPr>
          <w:rFonts w:ascii="Times New Roman" w:hAnsi="Times New Roman"/>
          <w:sz w:val="20"/>
        </w:rPr>
        <w:t>, vol. 45, no. 1, pp. 5-32, 2001.</w:t>
      </w:r>
    </w:p>
    <w:p w14:paraId="5DB3D37E" w14:textId="77777777" w:rsidR="00360A97" w:rsidRDefault="00000000">
      <w:pPr>
        <w:pStyle w:val="BodyText"/>
        <w:spacing w:before="0" w:after="80"/>
        <w:jc w:val="both"/>
      </w:pPr>
      <w:r>
        <w:rPr>
          <w:rFonts w:ascii="Times New Roman" w:hAnsi="Times New Roman"/>
          <w:sz w:val="20"/>
        </w:rPr>
        <w:t xml:space="preserve">[20] E. R. DeLong, D. M. DeLong, and D. L. Clarke-Pearson, “Comparing the areas under two or more correlated receiver operating characteristic curves: a nonparametric approach,” </w:t>
      </w:r>
      <w:r>
        <w:rPr>
          <w:rFonts w:ascii="Times New Roman" w:hAnsi="Times New Roman"/>
          <w:i/>
          <w:iCs/>
          <w:sz w:val="20"/>
        </w:rPr>
        <w:t>Biometrics</w:t>
      </w:r>
      <w:r>
        <w:rPr>
          <w:rFonts w:ascii="Times New Roman" w:hAnsi="Times New Roman"/>
          <w:sz w:val="20"/>
        </w:rPr>
        <w:t>, pp. 837-845, 1988.</w:t>
      </w:r>
    </w:p>
    <w:p w14:paraId="56C579B0" w14:textId="77777777" w:rsidR="00360A97" w:rsidRDefault="00000000">
      <w:pPr>
        <w:pStyle w:val="BodyText"/>
        <w:spacing w:before="0" w:after="80"/>
        <w:jc w:val="both"/>
      </w:pPr>
      <w:r>
        <w:rPr>
          <w:rFonts w:ascii="Times New Roman" w:hAnsi="Times New Roman"/>
          <w:sz w:val="20"/>
        </w:rPr>
        <w:t xml:space="preserve">[21] J. R. Orozco-Arroyave et al., “Automatic detection of Parkinson’s disease in running speech spoken in three different languages,” </w:t>
      </w:r>
      <w:r>
        <w:rPr>
          <w:rFonts w:ascii="Times New Roman" w:hAnsi="Times New Roman"/>
          <w:i/>
          <w:iCs/>
          <w:sz w:val="20"/>
        </w:rPr>
        <w:t>Journal of the Acoustical Society of America</w:t>
      </w:r>
      <w:r>
        <w:rPr>
          <w:rFonts w:ascii="Times New Roman" w:hAnsi="Times New Roman"/>
          <w:sz w:val="20"/>
        </w:rPr>
        <w:t>, vol. 139, no. 1, pp. 481-500, 2016. [MDVR-KCL corpus]</w:t>
      </w:r>
      <w:bookmarkEnd w:id="0"/>
      <w:bookmarkEnd w:id="32"/>
    </w:p>
    <w:sectPr w:rsidR="00360A97">
      <w:headerReference w:type="default" r:id="rId9"/>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288AE" w14:textId="77777777" w:rsidR="00114FBC" w:rsidRDefault="00114FBC">
      <w:pPr>
        <w:spacing w:after="0"/>
      </w:pPr>
      <w:r>
        <w:separator/>
      </w:r>
    </w:p>
  </w:endnote>
  <w:endnote w:type="continuationSeparator" w:id="0">
    <w:p w14:paraId="17544B38" w14:textId="77777777" w:rsidR="00114FBC" w:rsidRDefault="00114F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46D" w14:textId="77777777" w:rsidR="00360A97" w:rsidRDefault="00000000">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sidR="005C252C">
      <w:rPr>
        <w:rFonts w:ascii="Times New Roman" w:hAnsi="Times New Roman"/>
        <w:noProof/>
        <w:sz w:val="18"/>
      </w:rPr>
      <w:t>1</w:t>
    </w:r>
    <w:r>
      <w:rPr>
        <w:rFonts w:ascii="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B4B5C" w14:textId="77777777" w:rsidR="00114FBC" w:rsidRDefault="00114FBC">
      <w:pPr>
        <w:spacing w:after="0"/>
      </w:pPr>
      <w:r>
        <w:separator/>
      </w:r>
    </w:p>
  </w:footnote>
  <w:footnote w:type="continuationSeparator" w:id="0">
    <w:p w14:paraId="7376C43C" w14:textId="77777777" w:rsidR="00114FBC" w:rsidRDefault="00114F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43F9" w14:textId="77777777" w:rsidR="00360A97" w:rsidRDefault="00000000">
    <w:pPr>
      <w:jc w:val="right"/>
    </w:pPr>
    <w:proofErr w:type="spellStart"/>
    <w:r>
      <w:rPr>
        <w:rFonts w:ascii="Times New Roman" w:hAnsi="Times New Roman"/>
        <w:i/>
        <w:sz w:val="18"/>
      </w:rPr>
      <w:t>MedGemma</w:t>
    </w:r>
    <w:proofErr w:type="spellEnd"/>
    <w:r>
      <w:rPr>
        <w:rFonts w:ascii="Times New Roman" w:hAnsi="Times New Roman"/>
        <w:i/>
        <w:sz w:val="18"/>
      </w:rPr>
      <w:t>-PD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C899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B88A6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87293855">
    <w:abstractNumId w:val="0"/>
  </w:num>
  <w:num w:numId="2" w16cid:durableId="1335038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60A97"/>
    <w:rsid w:val="00114FBC"/>
    <w:rsid w:val="00207FBC"/>
    <w:rsid w:val="00360A97"/>
    <w:rsid w:val="005C252C"/>
    <w:rsid w:val="006D2751"/>
    <w:rsid w:val="008E7F41"/>
    <w:rsid w:val="009E67B5"/>
    <w:rsid w:val="00B5024F"/>
    <w:rsid w:val="00B972A2"/>
    <w:rsid w:val="00E116B8"/>
    <w:rsid w:val="00F145AE"/>
    <w:rsid w:val="00F56E19"/>
    <w:rsid w:val="00FB30A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027DC"/>
  <w15:docId w15:val="{E76877C0-3AF2-4BDD-8E63-797FBCB87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epa.nath@mitwpu.edu.in" TargetMode="External"/><Relationship Id="rId3" Type="http://schemas.openxmlformats.org/officeDocument/2006/relationships/settings" Target="settings.xml"/><Relationship Id="rId7" Type="http://schemas.openxmlformats.org/officeDocument/2006/relationships/hyperlink" Target="mailto:deepa.nath@mitwpu.edu.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7515</Words>
  <Characters>42836</Characters>
  <Application>Microsoft Office Word</Application>
  <DocSecurity>0</DocSecurity>
  <Lines>356</Lines>
  <Paragraphs>100</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MedGemma-PD: An Edge-Distilled, XAI-Driven Acoustic Pipeline for Robust Unconstrained Parkinson’s Disease Telemetry</vt:lpstr>
      <vt:lpstr>Wavelet-Anchored Cross-Attention Fusion with Edge Knowledge Distillation for Rob</vt:lpstr>
      <vt:lpstr>    Abstract</vt:lpstr>
      <vt:lpstr>    1. Introduction</vt:lpstr>
      <vt:lpstr>    2. Related Work</vt:lpstr>
      <vt:lpstr>        2.1 Acoustic Biomarkers in Parkinson’s Disease</vt:lpstr>
      <vt:lpstr>        2.2 Deep Representation Learning in Speech</vt:lpstr>
      <vt:lpstr>        2.3 Edge Intelligence and Clinical Translation</vt:lpstr>
      <vt:lpstr>    3. Materials and Methods</vt:lpstr>
      <vt:lpstr>        3.1 Study Cohort and Confounder Mitigation Strategy</vt:lpstr>
      <vt:lpstr>        3.2 Acoustic Signal Processing and TQWT Denoising</vt:lpstr>
      <vt:lpstr>        3.3 Cross-Attention Fusion Architecture</vt:lpstr>
      <vt:lpstr>        3.4 Edge Distillation for On-Device Deployment</vt:lpstr>
      <vt:lpstr>        3.5 Agentic LLM Synthesis and Uncertainty Quantification</vt:lpstr>
      <vt:lpstr>    4. Results</vt:lpstr>
      <vt:lpstr>        4.1 System Classification Performance</vt:lpstr>
      <vt:lpstr>        4.2 Architecture Ablation Study and Failure Mode Analysis</vt:lpstr>
      <vt:lpstr>        4.3 Feature Interpretability and Physiological Grounding (XAI)</vt:lpstr>
      <vt:lpstr>        4.4 Edge Model Profiling and Latency</vt:lpstr>
      <vt:lpstr>        4.5 Agentic LLM Synthesis and Hallucination Prevention</vt:lpstr>
      <vt:lpstr>        4.6 Preliminary Cross-Corpus Generalizability Assessment</vt:lpstr>
      <vt:lpstr>    5. Discussion</vt:lpstr>
      <vt:lpstr>        5.1 Error Analysis and Limitations</vt:lpstr>
      <vt:lpstr>        5.2 Future Work and Clinical Roadmap</vt:lpstr>
      <vt:lpstr>    6. Conclusion</vt:lpstr>
      <vt:lpstr>    7. Declarations</vt:lpstr>
      <vt:lpstr>        7.1 Ethical Approval and Consent to Participate</vt:lpstr>
      <vt:lpstr>        7.2 Data Availability Statement</vt:lpstr>
      <vt:lpstr>        7.3 Code Availability Statement</vt:lpstr>
      <vt:lpstr>        7.4 Competing Interests</vt:lpstr>
      <vt:lpstr>        7.5 Funding</vt:lpstr>
      <vt:lpstr>        7.6 Authors’ Contributions</vt:lpstr>
      <vt:lpstr>        7.7 Acknowledgements</vt:lpstr>
      <vt:lpstr>    References</vt:lpstr>
    </vt:vector>
  </TitlesOfParts>
  <Company/>
  <LinksUpToDate>false</LinksUpToDate>
  <CharactersWithSpaces>50251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MedGemma-PD: An Edge-Distilled, XAI-Driven Acoustic Pipeline for Robust Unconstrained Parkinson’s Disease Telemetry</dc:title>
  <dc:creator/>
  <cp:keywords/>
  <cp:lastModifiedBy>Shashwat Ovhal</cp:lastModifiedBy>
  <cp:revision>6</cp:revision>
  <dcterms:created xsi:type="dcterms:W3CDTF">2026-06-10T05:46:00Z</dcterms:created>
  <dcterms:modified xsi:type="dcterms:W3CDTF">2026-06-12T05:22:00Z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[Authors]</vt:lpwstr>
  </property>
  <property fmtid="{D5CDD505-2E9C-101B-9397-08002B2CF9AE}" pid="3" name="corresponding_author">
    <vt:lpwstr>[Corresponding Author]</vt:lpwstr>
  </property>
  <property fmtid="{D5CDD505-2E9C-101B-9397-08002B2CF9AE}" pid="4" name="target_prestige_format">
    <vt:lpwstr>IEEE Journal of Biomedical and Health Informatics (JBHI)</vt:lpwstr>
  </property>
</Properties>
</file>