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F7A" w:rsidRDefault="00551F7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VII</w:t>
      </w:r>
    </w:p>
    <w:p w:rsidR="00551F7A" w:rsidRDefault="00551F7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COVERAGE OF THE MEDICALLY NEEDY</w:t>
      </w:r>
    </w:p>
    <w:p w:rsidR="00551F7A" w:rsidRDefault="00551F7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551F7A" w:rsidRDefault="00551F7A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tab/>
        <w:t>3600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Changes Due to Welfare Reform</w:t>
      </w:r>
      <w:r>
        <w:rPr>
          <w:rFonts w:ascii="Times New Roman" w:hAnsi="Times New Roman"/>
        </w:rPr>
        <w:tab/>
        <w:t>3600.1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Background</w:t>
      </w:r>
      <w:r>
        <w:rPr>
          <w:rFonts w:ascii="Times New Roman" w:hAnsi="Times New Roman"/>
        </w:rPr>
        <w:tab/>
        <w:t>3601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Eligible Groups</w:t>
      </w:r>
      <w:r>
        <w:rPr>
          <w:rFonts w:ascii="Times New Roman" w:hAnsi="Times New Roman"/>
        </w:rPr>
        <w:tab/>
        <w:t>3610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Required Groups</w:t>
      </w:r>
      <w:r>
        <w:rPr>
          <w:rFonts w:ascii="Times New Roman" w:hAnsi="Times New Roman"/>
        </w:rPr>
        <w:tab/>
        <w:t>3611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Under Age 18 and Pregnant Women</w:t>
      </w:r>
      <w:r>
        <w:rPr>
          <w:rFonts w:ascii="Times New Roman" w:hAnsi="Times New Roman"/>
        </w:rPr>
        <w:tab/>
        <w:t>3611.1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Newborn Children and Extended Coverage of  Pregnant Women</w:t>
      </w:r>
      <w:r>
        <w:rPr>
          <w:rFonts w:ascii="Times New Roman" w:hAnsi="Times New Roman"/>
        </w:rPr>
        <w:tab/>
        <w:t>3611.2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Grandfathered</w:t>
      </w:r>
      <w:proofErr w:type="spellEnd"/>
      <w:r>
        <w:rPr>
          <w:rFonts w:ascii="Times New Roman" w:hAnsi="Times New Roman"/>
        </w:rPr>
        <w:t xml:space="preserve"> Groups</w:t>
      </w:r>
      <w:r>
        <w:rPr>
          <w:rFonts w:ascii="Times New Roman" w:hAnsi="Times New Roman"/>
        </w:rPr>
        <w:tab/>
        <w:t>3611.3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Optional Eligible Groups</w:t>
      </w:r>
      <w:r>
        <w:rPr>
          <w:rFonts w:ascii="Times New Roman" w:hAnsi="Times New Roman"/>
        </w:rPr>
        <w:tab/>
        <w:t>3612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Criteria for Determining Categorically Needy and Medically Needy</w:t>
      </w:r>
      <w:r>
        <w:rPr>
          <w:rFonts w:ascii="Times New Roman" w:hAnsi="Times New Roman"/>
        </w:rPr>
        <w:tab/>
        <w:t>3613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 Requirements</w:t>
      </w:r>
      <w:r>
        <w:rPr>
          <w:rFonts w:ascii="Times New Roman" w:hAnsi="Times New Roman"/>
        </w:rPr>
        <w:tab/>
        <w:t>3613.1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Exceptions</w:t>
      </w:r>
      <w:r>
        <w:rPr>
          <w:rFonts w:ascii="Times New Roman" w:hAnsi="Times New Roman"/>
        </w:rPr>
        <w:tab/>
        <w:t>3613.2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States Which Use More Restrictive Requirements of Eligibility For Aged, Blind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and Disabled Than SSI</w:t>
      </w:r>
      <w:r>
        <w:rPr>
          <w:rFonts w:ascii="Times New Roman" w:hAnsi="Times New Roman"/>
        </w:rPr>
        <w:tab/>
        <w:t>3613.3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Financial Eligibility</w:t>
      </w:r>
      <w:r>
        <w:rPr>
          <w:rFonts w:ascii="Times New Roman" w:hAnsi="Times New Roman"/>
        </w:rPr>
        <w:tab/>
        <w:t>3620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States Employing More Restrictive Requirements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of Eligibility for the Aged, Blind and Disabled</w:t>
      </w:r>
      <w:r>
        <w:rPr>
          <w:rFonts w:ascii="Times New Roman" w:hAnsi="Times New Roman"/>
        </w:rPr>
        <w:tab/>
        <w:t>3620.1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Single Income and Resource Standard</w:t>
      </w:r>
      <w:r>
        <w:rPr>
          <w:rFonts w:ascii="Times New Roman" w:hAnsi="Times New Roman"/>
        </w:rPr>
        <w:tab/>
        <w:t>3621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Cost of Living Variations</w:t>
      </w:r>
      <w:r>
        <w:rPr>
          <w:rFonts w:ascii="Times New Roman" w:hAnsi="Times New Roman"/>
        </w:rPr>
        <w:tab/>
        <w:t>3622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Defining Reasonable Standards</w:t>
      </w:r>
      <w:r>
        <w:rPr>
          <w:rFonts w:ascii="Times New Roman" w:hAnsi="Times New Roman"/>
        </w:rPr>
        <w:tab/>
        <w:t>3623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SSI States</w:t>
      </w:r>
      <w:r>
        <w:rPr>
          <w:rFonts w:ascii="Times New Roman" w:hAnsi="Times New Roman"/>
        </w:rPr>
        <w:tab/>
        <w:t>3623.1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States Using More Restrictive Requirements of Eligibility for Aged,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Blind and Disabled</w:t>
      </w:r>
      <w:r>
        <w:rPr>
          <w:rFonts w:ascii="Times New Roman" w:hAnsi="Times New Roman"/>
        </w:rPr>
        <w:tab/>
        <w:t>3623.2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The Territories</w:t>
      </w:r>
      <w:r>
        <w:rPr>
          <w:rFonts w:ascii="Times New Roman" w:hAnsi="Times New Roman"/>
        </w:rPr>
        <w:tab/>
        <w:t>3623.3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Other Standards That May Be Determined Reasonable</w:t>
      </w:r>
      <w:r>
        <w:rPr>
          <w:rFonts w:ascii="Times New Roman" w:hAnsi="Times New Roman"/>
        </w:rPr>
        <w:tab/>
        <w:t>3623.4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Federal Financial Participation (FFP) Limitation</w:t>
      </w:r>
      <w:r>
        <w:rPr>
          <w:rFonts w:ascii="Times New Roman" w:hAnsi="Times New Roman"/>
        </w:rPr>
        <w:tab/>
        <w:t>3624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Financial Methodologies</w:t>
      </w:r>
      <w:r>
        <w:rPr>
          <w:rFonts w:ascii="Times New Roman" w:hAnsi="Times New Roman"/>
        </w:rPr>
        <w:tab/>
        <w:t>3625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Income Eligibility</w:t>
      </w:r>
      <w:r>
        <w:rPr>
          <w:rFonts w:ascii="Times New Roman" w:hAnsi="Times New Roman"/>
        </w:rPr>
        <w:tab/>
        <w:t>3626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Budget Periods</w:t>
      </w:r>
      <w:r>
        <w:rPr>
          <w:rFonts w:ascii="Times New Roman" w:hAnsi="Times New Roman"/>
        </w:rPr>
        <w:tab/>
        <w:t>3627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Multiple Budget Periods</w:t>
      </w:r>
      <w:r>
        <w:rPr>
          <w:rFonts w:ascii="Times New Roman" w:hAnsi="Times New Roman"/>
        </w:rPr>
        <w:tab/>
        <w:t>3627.1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and Families With Income Below the MNIL</w:t>
      </w:r>
      <w:r>
        <w:rPr>
          <w:rFonts w:ascii="Times New Roman" w:hAnsi="Times New Roman"/>
        </w:rPr>
        <w:tab/>
        <w:t>3627.3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Effecting Changes in Circumstances Within a Budget Period</w:t>
      </w:r>
      <w:r>
        <w:rPr>
          <w:rFonts w:ascii="Times New Roman" w:hAnsi="Times New Roman"/>
        </w:rPr>
        <w:tab/>
        <w:t>3627.4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Deduction of Incurred Medical and Remedial Care Expenses (Spend down)</w:t>
      </w:r>
      <w:r>
        <w:rPr>
          <w:rFonts w:ascii="Times New Roman" w:hAnsi="Times New Roman"/>
        </w:rPr>
        <w:tab/>
        <w:t>3628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Expenses That Must Be Deducted</w:t>
      </w:r>
      <w:r>
        <w:rPr>
          <w:rFonts w:ascii="Times New Roman" w:hAnsi="Times New Roman"/>
        </w:rPr>
        <w:tab/>
        <w:t>3628.1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Optional Deductions and Limitations on Incurred Medical Expenses</w:t>
      </w:r>
      <w:r>
        <w:rPr>
          <w:rFonts w:ascii="Times New Roman" w:hAnsi="Times New Roman"/>
        </w:rPr>
        <w:tab/>
        <w:t>3628.2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Projection of Expenses</w:t>
      </w:r>
      <w:r>
        <w:rPr>
          <w:rFonts w:ascii="Times New Roman" w:hAnsi="Times New Roman"/>
        </w:rPr>
        <w:tab/>
        <w:t>3628.3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Projection of Institutional Care Expenses</w:t>
      </w:r>
      <w:r>
        <w:rPr>
          <w:rFonts w:ascii="Times New Roman" w:hAnsi="Times New Roman"/>
        </w:rPr>
        <w:tab/>
        <w:t>3628.4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Date of Eligibility</w:t>
      </w:r>
      <w:r>
        <w:rPr>
          <w:rFonts w:ascii="Times New Roman" w:hAnsi="Times New Roman"/>
        </w:rPr>
        <w:tab/>
        <w:t xml:space="preserve">3628.5   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Application of Post-Eligibility Rules When Projection of Institutional Care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Expenses Is Used</w:t>
      </w:r>
      <w:r>
        <w:rPr>
          <w:rFonts w:ascii="Times New Roman" w:hAnsi="Times New Roman"/>
        </w:rPr>
        <w:tab/>
        <w:t>3628.6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Order of Deduction</w:t>
      </w:r>
      <w:r>
        <w:rPr>
          <w:rFonts w:ascii="Times New Roman" w:hAnsi="Times New Roman"/>
        </w:rPr>
        <w:tab/>
        <w:t xml:space="preserve">3628.7   </w:t>
      </w: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551F7A" w:rsidRDefault="00551F7A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Rev.67</w:t>
      </w:r>
      <w:r>
        <w:rPr>
          <w:rFonts w:ascii="Times New Roman" w:hAnsi="Times New Roman"/>
        </w:rPr>
        <w:tab/>
        <w:t>3-7-1</w:t>
      </w:r>
    </w:p>
    <w:p w:rsidR="00551F7A" w:rsidRDefault="00551F7A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551F7A" w:rsidRDefault="00551F7A">
      <w:pPr>
        <w:tabs>
          <w:tab w:val="center" w:pos="4680"/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COVERAGE OF THE MEDICALLY NEEDY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pos="8452"/>
        </w:tabs>
        <w:spacing w:line="192" w:lineRule="auto"/>
        <w:ind w:firstLine="8452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Section</w:t>
      </w:r>
    </w:p>
    <w:p w:rsidR="00551F7A" w:rsidRDefault="00551F7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740"/>
          <w:tab w:val="left" w:pos="8164"/>
          <w:tab w:val="left" w:pos="8550"/>
          <w:tab w:val="left" w:pos="9115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Resource Eligibility</w:t>
      </w:r>
      <w:r>
        <w:rPr>
          <w:rFonts w:ascii="Times New Roman" w:hAnsi="Times New Roman"/>
        </w:rPr>
        <w:tab/>
        <w:t>3630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Distinguishing Income from Resources in Multi-Month Budget Periods</w:t>
      </w:r>
      <w:r>
        <w:rPr>
          <w:rFonts w:ascii="Times New Roman" w:hAnsi="Times New Roman"/>
        </w:rPr>
        <w:tab/>
        <w:t>3630.1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Moratorium</w:t>
      </w:r>
      <w:r>
        <w:rPr>
          <w:rFonts w:ascii="Times New Roman" w:hAnsi="Times New Roman"/>
        </w:rPr>
        <w:tab/>
        <w:t>3640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Moratorium Period</w:t>
      </w:r>
      <w:r>
        <w:rPr>
          <w:rFonts w:ascii="Times New Roman" w:hAnsi="Times New Roman"/>
        </w:rPr>
        <w:tab/>
        <w:t>3640.1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Description of Moratorium State Plan Policies</w:t>
      </w:r>
      <w:r>
        <w:rPr>
          <w:rFonts w:ascii="Times New Roman" w:hAnsi="Times New Roman"/>
        </w:rPr>
        <w:tab/>
        <w:t>3640.2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Description of Groups Included</w:t>
      </w:r>
      <w:r>
        <w:rPr>
          <w:rFonts w:ascii="Times New Roman" w:hAnsi="Times New Roman"/>
        </w:rPr>
        <w:tab/>
        <w:t>3640.3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Use of More Liberal Policies</w:t>
      </w:r>
      <w:r>
        <w:rPr>
          <w:rFonts w:ascii="Times New Roman" w:hAnsi="Times New Roman"/>
        </w:rPr>
        <w:tab/>
        <w:t xml:space="preserve">3640.4 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Counting Home Property for Sale by Institutionalized Individuals</w:t>
      </w:r>
      <w:r>
        <w:rPr>
          <w:rFonts w:ascii="Times New Roman" w:hAnsi="Times New Roman"/>
        </w:rPr>
        <w:tab/>
        <w:t>3640.5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Procedures for Submitting Policies Covered by the Moratorium</w:t>
      </w:r>
      <w:r>
        <w:rPr>
          <w:rFonts w:ascii="Times New Roman" w:hAnsi="Times New Roman"/>
        </w:rPr>
        <w:tab/>
        <w:t>3640.6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Resubmission of Current Plan Policies</w:t>
      </w:r>
      <w:r>
        <w:rPr>
          <w:rFonts w:ascii="Times New Roman" w:hAnsi="Times New Roman"/>
        </w:rPr>
        <w:tab/>
        <w:t>3640.7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Pay-In Spend down Option</w:t>
      </w:r>
      <w:r>
        <w:rPr>
          <w:rFonts w:ascii="Times New Roman" w:hAnsi="Times New Roman"/>
        </w:rPr>
        <w:tab/>
        <w:t>3645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Pay-In Spend down Requirements.</w:t>
      </w:r>
      <w:r>
        <w:rPr>
          <w:rFonts w:ascii="Times New Roman" w:hAnsi="Times New Roman"/>
        </w:rPr>
        <w:tab/>
        <w:t>3645.1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Application of Expenses Incurred in Prior Months</w:t>
      </w:r>
      <w:r>
        <w:rPr>
          <w:rFonts w:ascii="Times New Roman" w:hAnsi="Times New Roman"/>
        </w:rPr>
        <w:tab/>
        <w:t>3645.2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Application of Amounts Paid In Toward Spend down</w:t>
      </w:r>
      <w:r>
        <w:rPr>
          <w:rFonts w:ascii="Times New Roman" w:hAnsi="Times New Roman"/>
        </w:rPr>
        <w:tab/>
        <w:t>3645.3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Financial Participation</w:t>
      </w:r>
      <w:r>
        <w:rPr>
          <w:rFonts w:ascii="Times New Roman" w:hAnsi="Times New Roman"/>
        </w:rPr>
        <w:tab/>
        <w:t>3645.4           State Plan Requirements</w:t>
      </w:r>
      <w:r>
        <w:rPr>
          <w:rFonts w:ascii="Times New Roman" w:hAnsi="Times New Roman"/>
        </w:rPr>
        <w:tab/>
        <w:t>3645.5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Administrative Requirements</w:t>
      </w:r>
      <w:r>
        <w:rPr>
          <w:rFonts w:ascii="Times New Roman" w:hAnsi="Times New Roman"/>
        </w:rPr>
        <w:tab/>
        <w:t>3645.6</w:t>
      </w: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left" w:leader="dot" w:pos="8452"/>
        </w:tabs>
        <w:spacing w:line="192" w:lineRule="auto"/>
        <w:rPr>
          <w:rFonts w:ascii="Times New Roman" w:hAnsi="Times New Roman"/>
        </w:rPr>
      </w:pPr>
    </w:p>
    <w:p w:rsidR="00551F7A" w:rsidRDefault="00551F7A">
      <w:pPr>
        <w:tabs>
          <w:tab w:val="right" w:pos="936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3-7-2</w:t>
      </w:r>
      <w:r>
        <w:rPr>
          <w:rFonts w:ascii="Times New Roman" w:hAnsi="Times New Roman"/>
        </w:rPr>
        <w:tab/>
        <w:t xml:space="preserve">Rev.67 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88D"/>
    <w:rsid w:val="00551F7A"/>
    <w:rsid w:val="007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43FC-9344-436B-A3E2-8CCA530D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1999-10-23T14:32:00Z</cp:lastPrinted>
  <dcterms:created xsi:type="dcterms:W3CDTF">2025-09-24T04:57:00Z</dcterms:created>
  <dcterms:modified xsi:type="dcterms:W3CDTF">2025-09-24T04:57:00Z</dcterms:modified>
</cp:coreProperties>
</file>