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03F81" w:rsidRDefault="00F03F81">
      <w:pPr>
        <w:tabs>
          <w:tab w:val="right" w:pos="9360"/>
        </w:tabs>
        <w:spacing w:line="192" w:lineRule="auto"/>
        <w:jc w:val="both"/>
        <w:rPr>
          <w:rFonts w:ascii="Times New Roman" w:hAnsi="Times New Roman"/>
        </w:rPr>
      </w:pPr>
      <w:r>
        <w:rPr>
          <w:rFonts w:ascii="Times New Roman" w:hAnsi="Times New Roman"/>
        </w:rPr>
        <w:t>10-84</w:t>
      </w:r>
      <w:r>
        <w:rPr>
          <w:rFonts w:ascii="Times New Roman" w:hAnsi="Times New Roman"/>
        </w:rPr>
        <w:tab/>
        <w:t xml:space="preserve">IM 6007 </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b/>
        </w:rPr>
        <w:t>INTERIM STATE MEDICAID MANUAL INSTRUCTIONS 84 1</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b/>
        </w:rPr>
        <w:t>IM 6007.  REVALUATION OF ASSETS</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Statutory Requirements</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Section 2314 of the Deficit Reduction Act (DEFRA) of 1984 amends the Federal requirements regarding reimbursement under Medicare and Medicaid for capital related costs.  The Medicaid revision which adds section 1902(a)(13)(B) to the Act specifies that a State must provide assurances satisfactory to the Secretary that the payment methodology utilized by the State for payments to hospitals, skilled nursing facilities and intermediate care facilities can reasonably be expected not to increase such payments, so</w:t>
      </w:r>
      <w:r>
        <w:rPr>
          <w:rFonts w:ascii="Times New Roman" w:hAnsi="Times New Roman"/>
        </w:rPr>
        <w:t>lely as a result of a change of ownership, in excess of the increase which would result from the application of the Medicare requirements at section 1861(v)(1)(O) of the Act.</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Section 1861(v)(1)(O), as revised by section 2314 of DEFRA, specifies that in establishing an appropriate allowance for depreciation, interest on capital indebtedness and (if applicable) a return on equity capital with respect to an asset of a hospital or skilled nursing facility which has undergone a change of ownership, the valuation of the asset will be the lesser of the allowable acquisition cost of the asset to the first owner of record on or after July 18, 1984, or the acquisition cost of such asset t</w:t>
      </w:r>
      <w:r>
        <w:rPr>
          <w:rFonts w:ascii="Times New Roman" w:hAnsi="Times New Roman"/>
        </w:rPr>
        <w:t>o the new owner.</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Implementation</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As a result of the revised statutory requirements, States will now be required to submit a specific assurance regarding the State plan methodology as it pertains to reimbursement for capital related costs resulting from a change in ownership.  The State must assure HCFA and demonstrate generally, that as a result of a change in ownership, the State plan will not increase payments to providers for depreciation, interest on capital and return on equity, in the aggregate, more than the amount that would be rec</w:t>
      </w:r>
      <w:r>
        <w:rPr>
          <w:rFonts w:ascii="Times New Roman" w:hAnsi="Times New Roman"/>
        </w:rPr>
        <w:t xml:space="preserve">ognized under section 1861(v)(1)(O) of the Act.  </w:t>
      </w:r>
      <w:r>
        <w:rPr>
          <w:rFonts w:ascii="Times New Roman" w:hAnsi="Times New Roman"/>
          <w:u w:val="single"/>
        </w:rPr>
        <w:t>The provision does not apply to changes in ownership pursuant to an enforceable agreement entered into prior to July 18, 1984</w:t>
      </w:r>
      <w:r>
        <w:rPr>
          <w:rFonts w:ascii="Times New Roman" w:hAnsi="Times New Roman"/>
        </w:rPr>
        <w:t>.</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rPr>
        <w:t xml:space="preserve">The assurances submitted by the State must be consistent with the specific provisions of the State plan methodology as it affects reimbursement for depreciation, interest, and return on equity.  In certain instances, a State plan may require an amendment to revise the </w:t>
      </w:r>
      <w:proofErr w:type="spellStart"/>
      <w:r>
        <w:rPr>
          <w:rFonts w:ascii="Times New Roman" w:hAnsi="Times New Roman"/>
        </w:rPr>
        <w:t>State§s</w:t>
      </w:r>
      <w:proofErr w:type="spellEnd"/>
      <w:r>
        <w:rPr>
          <w:rFonts w:ascii="Times New Roman" w:hAnsi="Times New Roman"/>
        </w:rPr>
        <w:t xml:space="preserve"> current methodology in order to comply with the statutory provision.</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r>
        <w:rPr>
          <w:rFonts w:ascii="Times New Roman" w:hAnsi="Times New Roman"/>
          <w:u w:val="single"/>
        </w:rPr>
        <w:t>Effective Dates</w:t>
      </w:r>
    </w:p>
    <w:p w:rsidR="00F03F81" w:rsidRDefault="00F03F81">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ind w:left="960" w:hanging="48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Change of Ownership</w:t>
      </w:r>
      <w:r>
        <w:rPr>
          <w:rFonts w:ascii="Times New Roman" w:hAnsi="Times New Roman"/>
        </w:rPr>
        <w:t xml:space="preserve"> - The provisions of section 2314 of DEFRA  are applicable to all changes of ownership which occur on or after July 18, 1984, except for those changes made pursuant to an enforceable agreement executed prior to that date.</w:t>
      </w: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ind w:firstLine="480"/>
        <w:jc w:val="both"/>
        <w:rPr>
          <w:rFonts w:ascii="Times New Roman" w:hAnsi="Times New Roman"/>
        </w:rPr>
      </w:pPr>
      <w:r>
        <w:rPr>
          <w:rFonts w:ascii="Times New Roman" w:hAnsi="Times New Roman"/>
        </w:rPr>
        <w:t>2.</w:t>
      </w:r>
      <w:r>
        <w:rPr>
          <w:rFonts w:ascii="Times New Roman" w:hAnsi="Times New Roman"/>
        </w:rPr>
        <w:tab/>
      </w:r>
      <w:r>
        <w:rPr>
          <w:rFonts w:ascii="Times New Roman" w:hAnsi="Times New Roman"/>
          <w:u w:val="single"/>
        </w:rPr>
        <w:t>Assurances</w:t>
      </w: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ind w:left="1440" w:hanging="480"/>
        <w:jc w:val="both"/>
        <w:rPr>
          <w:rFonts w:ascii="Times New Roman" w:hAnsi="Times New Roman"/>
        </w:rPr>
      </w:pPr>
      <w:r>
        <w:rPr>
          <w:rFonts w:ascii="Times New Roman" w:hAnsi="Times New Roman"/>
        </w:rPr>
        <w:t>a.</w:t>
      </w:r>
      <w:r>
        <w:rPr>
          <w:rFonts w:ascii="Times New Roman" w:hAnsi="Times New Roman"/>
        </w:rPr>
        <w:tab/>
        <w:t>A State that provides in its State plan methodology that it follows Medicare principles of reimbursement as they apply to capital-related costs must comply with all applicable Medicare requirements</w:t>
      </w: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s>
        <w:spacing w:line="192" w:lineRule="auto"/>
        <w:jc w:val="both"/>
        <w:rPr>
          <w:rFonts w:ascii="Times New Roman" w:hAnsi="Times New Roman"/>
        </w:rPr>
      </w:pPr>
      <w:r>
        <w:rPr>
          <w:rFonts w:ascii="Times New Roman" w:hAnsi="Times New Roman"/>
        </w:rPr>
        <w:t>Rev. IM 84-1</w:t>
      </w:r>
    </w:p>
    <w:p w:rsidR="00F03F81" w:rsidRDefault="00F03F81">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IM 6007 (Cont.)</w:t>
      </w:r>
      <w:r>
        <w:rPr>
          <w:rFonts w:ascii="Times New Roman" w:hAnsi="Times New Roman"/>
        </w:rPr>
        <w:tab/>
        <w:t>10-84</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left="1440"/>
        <w:jc w:val="both"/>
        <w:rPr>
          <w:rFonts w:ascii="Times New Roman" w:hAnsi="Times New Roman"/>
        </w:rPr>
      </w:pPr>
      <w:r>
        <w:rPr>
          <w:rFonts w:ascii="Times New Roman" w:hAnsi="Times New Roman"/>
        </w:rPr>
        <w:t>in effect in the applicable rate period.  This would also apply to those States that cite the  Medicare principles (HCFA-Pub. 15) in determining asset value in  conjunction with various other adjustments or limitations to that methodology (e.g., occupancy limits, per diem capital limits, etc).  Accordingly, States which cite the Medicare principles, and wish to continue to follow those principles, must submit the assurance required by section 1902(a)(13)(B) as it applies to medical assistance furnished on o</w:t>
      </w:r>
      <w:r>
        <w:rPr>
          <w:rFonts w:ascii="Times New Roman" w:hAnsi="Times New Roman"/>
        </w:rPr>
        <w:t>r after July 18, 1984.</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left="1440" w:hanging="480"/>
        <w:jc w:val="both"/>
        <w:rPr>
          <w:rFonts w:ascii="Times New Roman" w:hAnsi="Times New Roman"/>
        </w:rPr>
      </w:pPr>
      <w:r>
        <w:rPr>
          <w:rFonts w:ascii="Times New Roman" w:hAnsi="Times New Roman"/>
        </w:rPr>
        <w:t>b.</w:t>
      </w:r>
      <w:r>
        <w:rPr>
          <w:rFonts w:ascii="Times New Roman" w:hAnsi="Times New Roman"/>
        </w:rPr>
        <w:tab/>
        <w:t xml:space="preserve">A State that provides in its State plan methodology for the reimbursement of capital related costs without citing the Medicare principles must apply this provision to payments to facilities for medical assistance furnished on or after October 1, 1984. The State must provide an assurance that, payments for medical assistance furnished on or after October 1, 1984, cannot </w:t>
      </w:r>
      <w:r>
        <w:rPr>
          <w:rFonts w:ascii="Times New Roman" w:hAnsi="Times New Roman"/>
          <w:u w:val="single"/>
        </w:rPr>
        <w:t>reasonably be expected</w:t>
      </w:r>
      <w:r>
        <w:rPr>
          <w:rFonts w:ascii="Times New Roman" w:hAnsi="Times New Roman"/>
        </w:rPr>
        <w:t xml:space="preserve"> to increase </w:t>
      </w:r>
      <w:r>
        <w:rPr>
          <w:rFonts w:ascii="Times New Roman" w:hAnsi="Times New Roman"/>
          <w:u w:val="single"/>
        </w:rPr>
        <w:t>solely</w:t>
      </w:r>
      <w:r>
        <w:rPr>
          <w:rFonts w:ascii="Times New Roman" w:hAnsi="Times New Roman"/>
        </w:rPr>
        <w:t xml:space="preserve"> as a result of a change in ownership, in excess of the increase which would result from applying </w:t>
      </w:r>
      <w:r>
        <w:rPr>
          <w:rFonts w:ascii="Times New Roman" w:hAnsi="Times New Roman"/>
        </w:rPr>
        <w:t xml:space="preserve">section 1861(v)(1)(O) of the Act, to owners of record on July 18, 1984.  </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r>
        <w:rPr>
          <w:rFonts w:ascii="Times New Roman" w:hAnsi="Times New Roman"/>
        </w:rPr>
        <w:t xml:space="preserve">Where a change to the existing State plan methodology cannot be effectuated without a State legislative change, the State plan will not be held out of compliance solely on the basis of its failure to meet these requirements prior to the first day of the first calendar quarter beginning after the close of the first regular session of the State legislature which begins after July 18, 1984.  However, although the State plan change may be delayed for this reason, the provision will ultimately be applied to the </w:t>
      </w:r>
      <w:r>
        <w:rPr>
          <w:rFonts w:ascii="Times New Roman" w:hAnsi="Times New Roman"/>
        </w:rPr>
        <w:t>acquisition costs of new owners of record on or after July 18, 1984.</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r>
        <w:rPr>
          <w:rFonts w:ascii="Times New Roman" w:hAnsi="Times New Roman"/>
          <w:u w:val="single"/>
        </w:rPr>
        <w:t>State Actions</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r>
        <w:rPr>
          <w:rFonts w:ascii="Times New Roman" w:hAnsi="Times New Roman"/>
        </w:rPr>
        <w:t xml:space="preserve">Accordingly, States must take the following actions by </w:t>
      </w:r>
      <w:r>
        <w:rPr>
          <w:rFonts w:ascii="Times New Roman" w:hAnsi="Times New Roman"/>
          <w:u w:val="single"/>
        </w:rPr>
        <w:t>December 31, 1984</w:t>
      </w:r>
      <w:r>
        <w:rPr>
          <w:rFonts w:ascii="Times New Roman" w:hAnsi="Times New Roman"/>
        </w:rPr>
        <w:t>, or upon submittal of an amendment to its inpatient hospital or long-term care reimbursement plans, whichever is earlier, as applicable, to comply with the revised statutory requirements for reimbursement for depreciation, interest on capital indebtedness and return on equity capital under Medicaid:</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left="960" w:hanging="48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u w:val="single"/>
        </w:rPr>
        <w:t>State plan methodology cites the Medicare principles for determining allowable capital-related costs and</w:t>
      </w:r>
      <w:r>
        <w:rPr>
          <w:rFonts w:ascii="Times New Roman" w:hAnsi="Times New Roman"/>
        </w:rPr>
        <w:t>;</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firstLine="96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The State will continue with the Medicare methodology</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left="1440"/>
        <w:jc w:val="both"/>
        <w:rPr>
          <w:rFonts w:ascii="Times New Roman" w:hAnsi="Times New Roman"/>
        </w:rPr>
      </w:pPr>
      <w:r>
        <w:rPr>
          <w:rFonts w:ascii="Times New Roman" w:hAnsi="Times New Roman"/>
        </w:rPr>
        <w:t xml:space="preserve">The State must submit an assurance that it will not exceed the Medicare statute at 1861(v)(1)(O). </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left="1440" w:hanging="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The State desires to amend the State plan methodology for reimbursement of capital-related costs</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ind w:left="1440"/>
        <w:jc w:val="both"/>
        <w:rPr>
          <w:rFonts w:ascii="Times New Roman" w:hAnsi="Times New Roman"/>
        </w:rPr>
      </w:pPr>
      <w:r>
        <w:rPr>
          <w:rFonts w:ascii="Times New Roman" w:hAnsi="Times New Roman"/>
        </w:rPr>
        <w:t xml:space="preserve">The State must submit an approvable State plan amendment, and the assurances required under section 1902(a)(13)(A) and the assurances required under section 1902(a)(13)(B) of the Act, which requires that the State assure and demonstrate generally, that the payment methodology  used  by  the State for medical assistance beginning October 1, 1984, can reasonably be expected not to increase </w:t>
      </w: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right" w:pos="8520"/>
        </w:tabs>
        <w:spacing w:line="192" w:lineRule="auto"/>
        <w:jc w:val="both"/>
        <w:rPr>
          <w:rFonts w:ascii="Times New Roman" w:hAnsi="Times New Roman"/>
        </w:rPr>
      </w:pPr>
    </w:p>
    <w:p w:rsidR="00F03F81" w:rsidRDefault="00F03F81">
      <w:pPr>
        <w:tabs>
          <w:tab w:val="right" w:pos="9360"/>
        </w:tabs>
        <w:spacing w:line="192" w:lineRule="auto"/>
        <w:jc w:val="both"/>
        <w:rPr>
          <w:rFonts w:ascii="Times New Roman" w:hAnsi="Times New Roman"/>
        </w:rPr>
      </w:pPr>
      <w:r>
        <w:rPr>
          <w:rFonts w:ascii="Times New Roman" w:hAnsi="Times New Roman"/>
        </w:rPr>
        <w:tab/>
        <w:t>Rev. IM 84-1</w:t>
      </w:r>
    </w:p>
    <w:p w:rsidR="00F03F81" w:rsidRDefault="00F03F81">
      <w:pPr>
        <w:tabs>
          <w:tab w:val="right" w:pos="9360"/>
        </w:tabs>
        <w:spacing w:line="192" w:lineRule="auto"/>
        <w:jc w:val="both"/>
        <w:rPr>
          <w:rFonts w:ascii="Times New Roman" w:hAnsi="Times New Roman"/>
        </w:rPr>
      </w:pPr>
      <w:r>
        <w:rPr>
          <w:rFonts w:ascii="Times New Roman" w:hAnsi="Times New Roman"/>
        </w:rPr>
        <w:br w:type="page"/>
      </w:r>
      <w:r>
        <w:rPr>
          <w:rFonts w:ascii="Times New Roman" w:hAnsi="Times New Roman"/>
        </w:rPr>
        <w:lastRenderedPageBreak/>
        <w:t>10-84</w:t>
      </w:r>
      <w:r>
        <w:rPr>
          <w:rFonts w:ascii="Times New Roman" w:hAnsi="Times New Roman"/>
        </w:rPr>
        <w:tab/>
        <w:t>IM 6007 (Cont.)</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ind w:left="1440"/>
        <w:jc w:val="both"/>
        <w:rPr>
          <w:rFonts w:ascii="Times New Roman" w:hAnsi="Times New Roman"/>
        </w:rPr>
      </w:pPr>
      <w:r>
        <w:rPr>
          <w:rFonts w:ascii="Times New Roman" w:hAnsi="Times New Roman"/>
        </w:rPr>
        <w:t>payments solely as a result of a change of ownership in excess of the increase which would result from applying 1861(v)(1)(O) of the Act, as applied to owners of record on July 18, 1984; or</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ind w:left="960" w:hanging="480"/>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u w:val="single"/>
        </w:rPr>
        <w:t>The current State plan methodology reimburses for capital-related costs with no reference to Medicare principles, and;</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ind w:left="1440" w:hanging="480"/>
        <w:jc w:val="both"/>
        <w:rPr>
          <w:rFonts w:ascii="Times New Roman" w:hAnsi="Times New Roman"/>
        </w:rPr>
      </w:pPr>
      <w:r>
        <w:rPr>
          <w:rFonts w:ascii="Times New Roman" w:hAnsi="Times New Roman"/>
        </w:rPr>
        <w:t>a.</w:t>
      </w:r>
      <w:r>
        <w:rPr>
          <w:rFonts w:ascii="Times New Roman" w:hAnsi="Times New Roman"/>
        </w:rPr>
        <w:tab/>
      </w:r>
      <w:r>
        <w:rPr>
          <w:rFonts w:ascii="Times New Roman" w:hAnsi="Times New Roman"/>
          <w:u w:val="single"/>
        </w:rPr>
        <w:t>State does not need to amend its plan in order to provide the assurance</w:t>
      </w:r>
      <w:r>
        <w:rPr>
          <w:rFonts w:ascii="Times New Roman" w:hAnsi="Times New Roman"/>
        </w:rPr>
        <w:t>:</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ind w:left="1440"/>
        <w:jc w:val="both"/>
        <w:rPr>
          <w:rFonts w:ascii="Times New Roman" w:hAnsi="Times New Roman"/>
        </w:rPr>
      </w:pPr>
      <w:r>
        <w:rPr>
          <w:rFonts w:ascii="Times New Roman" w:hAnsi="Times New Roman"/>
        </w:rPr>
        <w:t>The State must submit the assurance required by section 1902(a)(13)(B) for medical assistance beginning October 1, 1984, as applied to owners of record on July 18, 1984, which requires that the State assure and demonstrate generally, that the payment methodology used by the State for medical assistance beginning July 18, 1984, can reasonably be expected not to increase payments solely as a result of a change of ownership in excess of the increase which would result from applying 1861(v)(1)(O) of the Act, as</w:t>
      </w:r>
      <w:r>
        <w:rPr>
          <w:rFonts w:ascii="Times New Roman" w:hAnsi="Times New Roman"/>
        </w:rPr>
        <w:t xml:space="preserve"> applied to owners of record on July 18, 1984; or</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ind w:left="1440" w:hanging="480"/>
        <w:jc w:val="both"/>
        <w:rPr>
          <w:rFonts w:ascii="Times New Roman" w:hAnsi="Times New Roman"/>
        </w:rPr>
      </w:pPr>
      <w:r>
        <w:rPr>
          <w:rFonts w:ascii="Times New Roman" w:hAnsi="Times New Roman"/>
        </w:rPr>
        <w:t>b.</w:t>
      </w:r>
      <w:r>
        <w:rPr>
          <w:rFonts w:ascii="Times New Roman" w:hAnsi="Times New Roman"/>
        </w:rPr>
        <w:tab/>
      </w:r>
      <w:r>
        <w:rPr>
          <w:rFonts w:ascii="Times New Roman" w:hAnsi="Times New Roman"/>
          <w:u w:val="single"/>
        </w:rPr>
        <w:t>State is required to amend the plan methodology to provide assurance</w:t>
      </w:r>
      <w:r>
        <w:rPr>
          <w:rFonts w:ascii="Times New Roman" w:hAnsi="Times New Roman"/>
        </w:rPr>
        <w:t>:</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ind w:left="1440"/>
        <w:jc w:val="both"/>
        <w:rPr>
          <w:rFonts w:ascii="Times New Roman" w:hAnsi="Times New Roman"/>
        </w:rPr>
      </w:pPr>
      <w:r>
        <w:rPr>
          <w:rFonts w:ascii="Times New Roman" w:hAnsi="Times New Roman"/>
        </w:rPr>
        <w:t>The State must submit an approvable State plan amendment, and all of the assurances required under sections 1902(a)(13)(A) and (B) of the Act, which requires that the State assure and demonstrate generally, that the payment methodology used by the State for medical assistance beginning October 1, 1984, can reasonably be expected not to increase payments solely as a result of a change of ownership in excess of the increase which would result from applying 1861(v)(1)(O) of the Act, as applied to owners of rec</w:t>
      </w:r>
      <w:r>
        <w:rPr>
          <w:rFonts w:ascii="Times New Roman" w:hAnsi="Times New Roman"/>
        </w:rPr>
        <w:t>ord on July 18, 1984. However, if the  State requires legislation in order to amend the State plan, the State agency must submit to HCFA a written statement that pursuant to the opinion of the appropriate State legal authority, the required plan amendment may not be effectuated without a State legislative change.  The statement should also advise HCFA of the date of the close of the first regular session of the State legislature after July 18, 1984.  The State will be required to submit the required assuran</w:t>
      </w:r>
      <w:r>
        <w:rPr>
          <w:rFonts w:ascii="Times New Roman" w:hAnsi="Times New Roman"/>
        </w:rPr>
        <w:t>ce by the end of the calendar quarter following that date.</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r>
        <w:rPr>
          <w:rFonts w:ascii="Times New Roman" w:hAnsi="Times New Roman"/>
          <w:u w:val="single"/>
        </w:rPr>
        <w:t>Assessment of Compliance</w:t>
      </w:r>
    </w:p>
    <w:p w:rsidR="00F03F81" w:rsidRDefault="00F03F81">
      <w:pPr>
        <w:tabs>
          <w:tab w:val="left" w:pos="0"/>
          <w:tab w:val="left" w:pos="480"/>
          <w:tab w:val="left" w:pos="960"/>
          <w:tab w:val="left" w:pos="1440"/>
          <w:tab w:val="left" w:pos="1920"/>
          <w:tab w:val="left" w:pos="2520"/>
          <w:tab w:val="left" w:pos="3720"/>
          <w:tab w:val="left" w:pos="8520"/>
        </w:tabs>
        <w:spacing w:line="192" w:lineRule="auto"/>
        <w:ind w:firstLine="480"/>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r>
        <w:rPr>
          <w:rFonts w:ascii="Times New Roman" w:hAnsi="Times New Roman"/>
        </w:rPr>
        <w:t xml:space="preserve">State compliance with the statutory provision will be reviewed under the State assessment process. The HCFA Regional Office will review the State’s implementation of the revaluation of assets provision for consistency with the approved State reimbursement plan and for compliance with Federal requirements, and review the State’s demonstration that payments have not increased in the aggregate </w:t>
      </w:r>
      <w:r>
        <w:rPr>
          <w:rFonts w:ascii="Times New Roman" w:hAnsi="Times New Roman"/>
          <w:u w:val="single"/>
        </w:rPr>
        <w:t>solely</w:t>
      </w:r>
      <w:r>
        <w:rPr>
          <w:rFonts w:ascii="Times New Roman" w:hAnsi="Times New Roman"/>
        </w:rPr>
        <w:t xml:space="preserve"> because of a change of ownership in excess of the increase that would have been permissible under the Medicare principles for revaluation of assets.</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r>
        <w:rPr>
          <w:rFonts w:ascii="Times New Roman" w:hAnsi="Times New Roman"/>
          <w:u w:val="single"/>
        </w:rPr>
        <w:t>                                                                             </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r>
        <w:rPr>
          <w:rFonts w:ascii="Times New Roman" w:hAnsi="Times New Roman"/>
        </w:rPr>
        <w:t xml:space="preserve">For further information or if you have any questions about this transmittal, please contact </w:t>
      </w:r>
      <w:proofErr w:type="spellStart"/>
      <w:r>
        <w:rPr>
          <w:rFonts w:ascii="Times New Roman" w:hAnsi="Times New Roman"/>
        </w:rPr>
        <w:t>Tzvi</w:t>
      </w:r>
      <w:proofErr w:type="spellEnd"/>
      <w:r>
        <w:rPr>
          <w:rFonts w:ascii="Times New Roman" w:hAnsi="Times New Roman"/>
        </w:rPr>
        <w:t xml:space="preserve"> </w:t>
      </w:r>
      <w:proofErr w:type="spellStart"/>
      <w:r>
        <w:rPr>
          <w:rFonts w:ascii="Times New Roman" w:hAnsi="Times New Roman"/>
        </w:rPr>
        <w:t>Hefter</w:t>
      </w:r>
      <w:proofErr w:type="spellEnd"/>
      <w:r>
        <w:rPr>
          <w:rFonts w:ascii="Times New Roman" w:hAnsi="Times New Roman"/>
        </w:rPr>
        <w:t>, 1-A-1 East Low Rise Building, 6325 Security Boulevard, Baltimore, Maryland 21235, or call (301) 597-1808.</w:t>
      </w: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rPr>
      </w:pPr>
    </w:p>
    <w:p w:rsidR="00F03F81" w:rsidRDefault="00F03F81">
      <w:pPr>
        <w:tabs>
          <w:tab w:val="left" w:pos="0"/>
          <w:tab w:val="left" w:pos="480"/>
          <w:tab w:val="left" w:pos="960"/>
          <w:tab w:val="left" w:pos="1440"/>
          <w:tab w:val="left" w:pos="1920"/>
          <w:tab w:val="left" w:pos="2520"/>
          <w:tab w:val="left" w:pos="3720"/>
          <w:tab w:val="left" w:pos="8520"/>
        </w:tabs>
        <w:spacing w:line="192" w:lineRule="auto"/>
        <w:jc w:val="both"/>
        <w:rPr>
          <w:rFonts w:ascii="Times New Roman" w:hAnsi="Times New Roman"/>
          <w:noProof/>
          <w:color w:val="000000"/>
        </w:rPr>
      </w:pPr>
      <w:r>
        <w:rPr>
          <w:rFonts w:ascii="Times New Roman" w:hAnsi="Times New Roman"/>
        </w:rPr>
        <w:t>Rev. IM 84-1</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42F02"/>
    <w:rsid w:val="00742F02"/>
    <w:rsid w:val="00F03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E1327F-95D3-41D5-94F7-310A2822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10-84</vt:lpstr>
    </vt:vector>
  </TitlesOfParts>
  <Company>Federal  Hill WebPublishing</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10-84</dc:title>
  <dc:subject/>
  <dc:creator>*</dc:creator>
  <cp:keywords/>
  <cp:lastModifiedBy>office</cp:lastModifiedBy>
  <cp:revision>2</cp:revision>
  <cp:lastPrinted>1999-10-28T01:53:00Z</cp:lastPrinted>
  <dcterms:created xsi:type="dcterms:W3CDTF">2025-09-24T04:58:00Z</dcterms:created>
  <dcterms:modified xsi:type="dcterms:W3CDTF">2025-09-24T04:58:00Z</dcterms:modified>
</cp:coreProperties>
</file>