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2C99" w:rsidRDefault="00D92C99">
      <w:pPr>
        <w:tabs>
          <w:tab w:val="center" w:pos="4680"/>
          <w:tab w:val="right" w:pos="9360"/>
        </w:tabs>
        <w:spacing w:line="192" w:lineRule="auto"/>
        <w:rPr>
          <w:rFonts w:ascii="Times New" w:hAnsi="Times New"/>
          <w:u w:val="single"/>
        </w:rPr>
      </w:pPr>
      <w:r>
        <w:rPr>
          <w:rFonts w:ascii="Times New" w:hAnsi="Times New"/>
          <w:u w:val="single"/>
        </w:rPr>
        <w:t>03-92</w:t>
      </w:r>
      <w:r>
        <w:rPr>
          <w:rFonts w:ascii="Times New" w:hAnsi="Times New"/>
          <w:u w:val="single"/>
        </w:rPr>
        <w:tab/>
        <w:t>SAMPLING METHODS</w:t>
      </w:r>
      <w:r>
        <w:rPr>
          <w:rFonts w:ascii="Times New" w:hAnsi="Times New"/>
          <w:u w:val="single"/>
        </w:rPr>
        <w:tab/>
        <w:t>APPENDIX B</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ab/>
      </w:r>
      <w:r>
        <w:rPr>
          <w:rFonts w:ascii="Times New" w:hAnsi="Times New"/>
          <w:u w:val="single"/>
        </w:rPr>
        <w:t>CRITERIA FOR ADJUSTING ANTICIPATED ERROR RATES</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ab/>
      </w:r>
      <w:r>
        <w:rPr>
          <w:rFonts w:ascii="Times New" w:hAnsi="Times New"/>
          <w:u w:val="single"/>
        </w:rPr>
        <w:t>PURSUANT TO 42 CFR 431.865(d)</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u w:val="single"/>
        </w:rPr>
        <w:t>Initial Calculation of Anticipated Error Rate</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Unless you submit rebuttal evidence as described below, your anticipated error rate is the lower of (1) the Medicaid eligibility quality control (MEQC) payment error rate for the latest 6-month period, or (2) the weighted average of the error rates for the latest two 6-month periods completed by you and the Health Care Financing Administration (HCFA).</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u w:val="single"/>
        </w:rPr>
        <w:t>Basis for Rebuttal</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color w:val="FF0000"/>
        </w:rPr>
      </w:pPr>
      <w:r>
        <w:rPr>
          <w:rFonts w:ascii="Times New" w:hAnsi="Times New"/>
          <w:noProof/>
          <w:color w:val="FF0000"/>
        </w:rPr>
        <w:pict>
          <v:line id="_x0000_s1030" style="position:absolute;left:0;text-align:left;z-index:251653120;mso-position-horizontal:absolute;mso-position-horizontal-relative:text;mso-position-vertical:absolute;mso-position-vertical-relative:text" from="-8pt,42.9pt" to="-8pt,56.9pt" o:allowincell="f" strokecolor="red"/>
        </w:pict>
      </w:r>
      <w:r>
        <w:rPr>
          <w:rFonts w:ascii="Times New" w:hAnsi="Times New"/>
          <w:noProof/>
          <w:color w:val="FF0000"/>
        </w:rPr>
        <w:pict>
          <v:line id="_x0000_s1029" style="position:absolute;left:0;text-align:left;z-index:251652096;mso-position-horizontal:absolute;mso-position-horizontal-relative:text;mso-position-vertical:absolute;mso-position-vertical-relative:text" from="-8pt,31.65pt" to="-8pt,45.65pt" o:allowincell="f" strokecolor="red"/>
        </w:pict>
      </w:r>
      <w:r>
        <w:rPr>
          <w:rFonts w:ascii="Times New" w:hAnsi="Times New"/>
          <w:noProof/>
          <w:color w:val="FF0000"/>
        </w:rPr>
        <w:pict>
          <v:line id="_x0000_s1028" style="position:absolute;left:0;text-align:left;z-index:251651072;mso-position-horizontal:absolute;mso-position-horizontal-relative:text;mso-position-vertical:absolute;mso-position-vertical-relative:text" from="-8pt,21.15pt" to="-8pt,35.15pt" o:allowincell="f" strokecolor="red"/>
        </w:pict>
      </w:r>
      <w:r>
        <w:rPr>
          <w:rFonts w:ascii="Times New" w:hAnsi="Times New"/>
          <w:noProof/>
          <w:color w:val="FF0000"/>
        </w:rPr>
        <w:pict>
          <v:line id="_x0000_s1027" style="position:absolute;left:0;text-align:left;z-index:251650048;mso-position-horizontal:absolute;mso-position-horizontal-relative:text;mso-position-vertical:absolute;mso-position-vertical-relative:text" from="-8pt,10.65pt" to="-8pt,24.65pt" o:allowincell="f" strokecolor="red"/>
        </w:pict>
      </w:r>
      <w:r>
        <w:rPr>
          <w:rFonts w:ascii="Times New" w:hAnsi="Times New"/>
          <w:noProof/>
          <w:color w:val="FF0000"/>
        </w:rPr>
        <w:pict>
          <v:line id="_x0000_s1026" style="position:absolute;left:0;text-align:left;z-index:251649024;mso-position-horizontal:absolute;mso-position-horizontal-relative:text;mso-position-vertical:absolute;mso-position-vertical-relative:text" from="-8pt,.15pt" to="-8pt,14.15pt" o:allowincell="f" strokecolor="red"/>
        </w:pict>
      </w:r>
      <w:r>
        <w:rPr>
          <w:rFonts w:ascii="Times New" w:hAnsi="Times New"/>
          <w:color w:val="FF0000"/>
        </w:rPr>
        <w:t xml:space="preserve">Effective May 31, 1990, program changes published in the </w:t>
      </w:r>
      <w:r>
        <w:rPr>
          <w:rFonts w:ascii="Times New" w:hAnsi="Times New"/>
          <w:color w:val="FF0000"/>
          <w:u w:val="single"/>
        </w:rPr>
        <w:t>Federal Register</w:t>
      </w:r>
      <w:r>
        <w:rPr>
          <w:rFonts w:ascii="Times New" w:hAnsi="Times New"/>
          <w:color w:val="FF0000"/>
        </w:rPr>
        <w:t xml:space="preserve"> (see 42 CFR 431.865) state that any State may rebut its anticipated error rate only if its anticipated error rate is based on erroneous data.  This applies to </w:t>
      </w:r>
      <w:proofErr w:type="spellStart"/>
      <w:r>
        <w:rPr>
          <w:rFonts w:ascii="Times New" w:hAnsi="Times New"/>
          <w:color w:val="FF0000"/>
        </w:rPr>
        <w:t>subsample</w:t>
      </w:r>
      <w:proofErr w:type="spellEnd"/>
      <w:r>
        <w:rPr>
          <w:rFonts w:ascii="Times New" w:hAnsi="Times New"/>
          <w:color w:val="FF0000"/>
        </w:rPr>
        <w:t xml:space="preserve"> findings or Federal data entry errors only.  Data errors </w:t>
      </w:r>
      <w:r>
        <w:rPr>
          <w:rFonts w:ascii="Times New" w:hAnsi="Times New"/>
          <w:color w:val="FF0000"/>
          <w:u w:val="single"/>
        </w:rPr>
        <w:t>do not</w:t>
      </w:r>
      <w:r>
        <w:rPr>
          <w:rFonts w:ascii="Times New" w:hAnsi="Times New"/>
          <w:color w:val="FF0000"/>
        </w:rPr>
        <w:t xml:space="preserve"> include State-transmitted original State review findings, except for the situations outlined in </w:t>
      </w:r>
      <w:r>
        <w:rPr>
          <w:color w:val="FF0000"/>
        </w:rPr>
        <w:t>§</w:t>
      </w:r>
      <w:r>
        <w:rPr>
          <w:rFonts w:ascii="Times New" w:hAnsi="Times New"/>
          <w:color w:val="FF0000"/>
        </w:rPr>
        <w:t xml:space="preserve">7500.  </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u w:val="single"/>
        </w:rPr>
        <w:t>Timeframes</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color w:val="FF0000"/>
        </w:rPr>
      </w:pPr>
      <w:r>
        <w:rPr>
          <w:rFonts w:ascii="Times New" w:hAnsi="Times New"/>
          <w:noProof/>
        </w:rPr>
        <w:pict>
          <v:line id="_x0000_s1034" style="position:absolute;left:0;text-align:left;z-index:251657216;mso-position-horizontal:absolute;mso-position-horizontal-relative:text;mso-position-vertical:absolute;mso-position-vertical-relative:text" from="-8pt,31.7pt" to="-8pt,45.7pt" o:allowincell="f" strokecolor="red"/>
        </w:pict>
      </w:r>
      <w:r>
        <w:rPr>
          <w:rFonts w:ascii="Times New" w:hAnsi="Times New"/>
          <w:noProof/>
        </w:rPr>
        <w:pict>
          <v:line id="_x0000_s1033" style="position:absolute;left:0;text-align:left;z-index:251656192;mso-position-horizontal:absolute;mso-position-horizontal-relative:text;mso-position-vertical:absolute;mso-position-vertical-relative:text" from="-8pt,21.2pt" to="-8pt,35.2pt" o:allowincell="f" strokecolor="red"/>
        </w:pict>
      </w:r>
      <w:r>
        <w:rPr>
          <w:rFonts w:ascii="Times New" w:hAnsi="Times New"/>
          <w:noProof/>
        </w:rPr>
        <w:pict>
          <v:line id="_x0000_s1032" style="position:absolute;left:0;text-align:left;z-index:251655168;mso-position-horizontal:absolute;mso-position-horizontal-relative:text;mso-position-vertical:absolute;mso-position-vertical-relative:text" from="-8pt,10.7pt" to="-8pt,24.7pt" o:allowincell="f" strokecolor="red"/>
        </w:pict>
      </w:r>
      <w:r>
        <w:rPr>
          <w:rFonts w:ascii="Times New" w:hAnsi="Times New"/>
          <w:noProof/>
        </w:rPr>
        <w:pict>
          <v:line id="_x0000_s1031" style="position:absolute;left:0;text-align:left;z-index:251654144;mso-position-horizontal:absolute;mso-position-horizontal-relative:text;mso-position-vertical:absolute;mso-position-vertical-relative:text" from="-8pt,.2pt" to="-8pt,14.2pt" o:allowincell="f" strokecolor="red"/>
        </w:pict>
      </w:r>
      <w:r>
        <w:rPr>
          <w:rFonts w:ascii="Times New" w:hAnsi="Times New"/>
        </w:rPr>
        <w:t xml:space="preserve">Inform HCFA at least </w:t>
      </w:r>
      <w:r>
        <w:rPr>
          <w:rFonts w:ascii="Times New" w:hAnsi="Times New"/>
          <w:color w:val="FF0000"/>
        </w:rPr>
        <w:t xml:space="preserve">70 </w:t>
      </w:r>
      <w:r>
        <w:rPr>
          <w:rFonts w:ascii="Times New" w:hAnsi="Times New"/>
        </w:rPr>
        <w:t xml:space="preserve">days prior to the beginning of a quarter that you intend to submit valid evidence to rebut the anticipated error rate.  </w:t>
      </w:r>
      <w:r>
        <w:rPr>
          <w:rFonts w:ascii="Times New" w:hAnsi="Times New"/>
          <w:color w:val="FF0000"/>
        </w:rPr>
        <w:t xml:space="preserve">Submit the evidence to HCFA at least 40 days prior to the beginning of the quarter.  You may request copies of data used to compute your error rate within 7 days of receiving notification of your projected error rate. </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color w:val="FF0000"/>
        </w:rPr>
      </w:pPr>
      <w:r>
        <w:rPr>
          <w:rFonts w:ascii="Times New" w:hAnsi="Times New"/>
          <w:noProof/>
          <w:color w:val="FF0000"/>
          <w:u w:val="single"/>
        </w:rPr>
        <w:pict>
          <v:line id="_x0000_s1035" style="position:absolute;left:0;text-align:left;z-index:251658240;mso-position-horizontal:absolute;mso-position-horizontal-relative:text;mso-position-vertical:absolute;mso-position-vertical-relative:text" from="-8pt,.3pt" to="-8pt,14.3pt" o:allowincell="f" strokecolor="red"/>
        </w:pict>
      </w:r>
      <w:r>
        <w:rPr>
          <w:rFonts w:ascii="Times New" w:hAnsi="Times New"/>
          <w:color w:val="FF0000"/>
          <w:u w:val="single"/>
        </w:rPr>
        <w:t>Criteria for Acceptance of State Evidence</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color w:val="FF0000"/>
        </w:rPr>
      </w:pPr>
      <w:r>
        <w:rPr>
          <w:rFonts w:ascii="Times New" w:hAnsi="Times New"/>
          <w:noProof/>
          <w:color w:val="FF0000"/>
        </w:rPr>
        <w:pict>
          <v:line id="_x0000_s1036" style="position:absolute;left:0;text-align:left;z-index:251659264;mso-position-horizontal:absolute;mso-position-horizontal-relative:text;mso-position-vertical:absolute;mso-position-vertical-relative:text" from="-8pt,.2pt" to="-8pt,14.2pt" o:allowincell="f" strokecolor="red"/>
        </w:pic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color w:val="FF0000"/>
        </w:rPr>
      </w:pPr>
      <w:r>
        <w:rPr>
          <w:rFonts w:ascii="Times New" w:hAnsi="Times New"/>
          <w:noProof/>
          <w:color w:val="FF0000"/>
        </w:rPr>
        <w:pict>
          <v:line id="_x0000_s1041" style="position:absolute;left:0;text-align:left;z-index:251664384;mso-position-horizontal:absolute;mso-position-horizontal-relative:text;mso-position-vertical:absolute;mso-position-vertical-relative:text" from="-8pt,42.8pt" to="-8pt,56.8pt" o:allowincell="f" strokecolor="red"/>
        </w:pict>
      </w:r>
      <w:r>
        <w:rPr>
          <w:rFonts w:ascii="Times New" w:hAnsi="Times New"/>
          <w:noProof/>
          <w:color w:val="FF0000"/>
        </w:rPr>
        <w:pict>
          <v:line id="_x0000_s1040" style="position:absolute;left:0;text-align:left;z-index:251663360;mso-position-horizontal:absolute;mso-position-horizontal-relative:text;mso-position-vertical:absolute;mso-position-vertical-relative:text" from="-8pt,31.55pt" to="-8pt,45.55pt" o:allowincell="f" strokecolor="red"/>
        </w:pict>
      </w:r>
      <w:r>
        <w:rPr>
          <w:rFonts w:ascii="Times New" w:hAnsi="Times New"/>
          <w:noProof/>
          <w:color w:val="FF0000"/>
        </w:rPr>
        <w:pict>
          <v:line id="_x0000_s1039" style="position:absolute;left:0;text-align:left;z-index:251662336;mso-position-horizontal:absolute;mso-position-horizontal-relative:text;mso-position-vertical:absolute;mso-position-vertical-relative:text" from="-8pt,21.05pt" to="-8pt,35.05pt" o:allowincell="f" strokecolor="red"/>
        </w:pict>
      </w:r>
      <w:r>
        <w:rPr>
          <w:rFonts w:ascii="Times New" w:hAnsi="Times New"/>
          <w:noProof/>
          <w:color w:val="FF0000"/>
        </w:rPr>
        <w:pict>
          <v:line id="_x0000_s1038" style="position:absolute;left:0;text-align:left;z-index:251661312;mso-position-horizontal:absolute;mso-position-horizontal-relative:text;mso-position-vertical:absolute;mso-position-vertical-relative:text" from="-8pt,10.55pt" to="-8pt,24.55pt" o:allowincell="f" strokecolor="red"/>
        </w:pict>
      </w:r>
      <w:r>
        <w:rPr>
          <w:rFonts w:ascii="Times New" w:hAnsi="Times New"/>
          <w:noProof/>
          <w:color w:val="FF0000"/>
        </w:rPr>
        <w:pict>
          <v:line id="_x0000_s1037" style="position:absolute;left:0;text-align:left;z-index:251660288;mso-position-horizontal:absolute;mso-position-horizontal-relative:text;mso-position-vertical:absolute;mso-position-vertical-relative:text" from="-8pt,.05pt" to="-8pt,14.05pt" o:allowincell="f" strokecolor="red"/>
        </w:pict>
      </w:r>
      <w:r>
        <w:rPr>
          <w:rFonts w:ascii="Times New" w:hAnsi="Times New"/>
          <w:color w:val="FF0000"/>
        </w:rPr>
        <w:t xml:space="preserve">Acceptable examples of erroneous data regarding Federal data errors include keypunching of universe or monitor data or regional office changes to State data.  State challenges of the methodology used to compute the error rates are unacceptable, as specified in 42 CFR 431.865(d)(2)(vi).  Also, citing incorrect HCFA instructions in the State Medicaid Manual is not accepted.  </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u w:val="single"/>
        </w:rPr>
        <w:t>Documentation Requirements</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noProof/>
        </w:rPr>
        <w:pict>
          <v:line id="_x0000_s1043" style="position:absolute;left:0;text-align:left;z-index:251666432;mso-position-horizontal:absolute;mso-position-horizontal-relative:text;mso-position-vertical:absolute;mso-position-vertical-relative:text" from="-8pt,21.55pt" to="-8pt,35.55pt" o:allowincell="f" strokecolor="red"/>
        </w:pict>
      </w:r>
      <w:r>
        <w:rPr>
          <w:rFonts w:ascii="Times New" w:hAnsi="Times New"/>
          <w:noProof/>
        </w:rPr>
        <w:pict>
          <v:line id="_x0000_s1042" style="position:absolute;left:0;text-align:left;z-index:251665408;mso-position-horizontal:absolute;mso-position-horizontal-relative:text;mso-position-vertical:absolute;mso-position-vertical-relative:text" from="-8pt,11.05pt" to="-8pt,25.05pt" o:allowincell="f" strokecolor="red"/>
        </w:pict>
      </w:r>
      <w:r>
        <w:rPr>
          <w:rFonts w:ascii="Times New" w:hAnsi="Times New"/>
        </w:rPr>
        <w:t xml:space="preserve">Your submittal must include all documentation necessary for HCFA to verify that the evidence requirements are met (i.e., </w:t>
      </w:r>
      <w:r>
        <w:rPr>
          <w:rFonts w:ascii="Times New" w:hAnsi="Times New"/>
          <w:color w:val="FF0000"/>
        </w:rPr>
        <w:t xml:space="preserve">the list of erroneous </w:t>
      </w:r>
      <w:proofErr w:type="spellStart"/>
      <w:r>
        <w:rPr>
          <w:rFonts w:ascii="Times New" w:hAnsi="Times New"/>
          <w:color w:val="FF0000"/>
        </w:rPr>
        <w:t>subsample</w:t>
      </w:r>
      <w:proofErr w:type="spellEnd"/>
      <w:r>
        <w:rPr>
          <w:rFonts w:ascii="Times New" w:hAnsi="Times New"/>
          <w:color w:val="FF0000"/>
        </w:rPr>
        <w:t xml:space="preserve"> cases, the error rate computation, and your projected error rate).</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u w:val="single"/>
        </w:rPr>
        <w:t>Time Validity of State Evidence</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You may submit the above-specified evidence and request that it be considered to rebut the error rates for both the quarter in question and the following quarter preceding the availability of another review period's data.</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r>
        <w:rPr>
          <w:rFonts w:ascii="Times New" w:hAnsi="Times New"/>
        </w:rPr>
        <w:tab/>
      </w:r>
      <w:r>
        <w:rPr>
          <w:rFonts w:ascii="Times New" w:hAnsi="Times New"/>
          <w:b/>
        </w:rPr>
        <w:t>The next page is 7-2-47.</w:t>
      </w: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rPr>
          <w:rFonts w:ascii="Times New" w:hAnsi="Times New"/>
        </w:rPr>
      </w:pPr>
    </w:p>
    <w:p w:rsidR="00D92C99" w:rsidRDefault="00D92C99">
      <w:pPr>
        <w:tabs>
          <w:tab w:val="right" w:pos="9360"/>
        </w:tabs>
        <w:spacing w:line="192" w:lineRule="auto"/>
        <w:rPr>
          <w:rFonts w:ascii="Times New" w:hAnsi="Times New"/>
          <w:noProof/>
          <w:color w:val="000000"/>
        </w:rPr>
      </w:pPr>
      <w:r>
        <w:rPr>
          <w:rFonts w:ascii="Times New" w:hAnsi="Times New"/>
        </w:rPr>
        <w:t xml:space="preserve">Rev. 48 </w:t>
      </w:r>
      <w:r>
        <w:rPr>
          <w:rFonts w:ascii="Times New" w:hAnsi="Times New"/>
        </w:rPr>
        <w:tab/>
        <w:t>7-2-41</w:t>
      </w:r>
    </w:p>
    <w:p w:rsidR="00D92C99" w:rsidRDefault="00D92C99">
      <w:pPr>
        <w:tabs>
          <w:tab w:val="left" w:pos="475"/>
        </w:tabs>
      </w:pPr>
    </w:p>
    <w:sectPr w:rsidR="00000000">
      <w:pgSz w:w="12240" w:h="15840"/>
      <w:pgMar w:top="1080" w:right="1440" w:bottom="108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475"/>
  <w:displayHorizontalDrawingGridEvery w:val="0"/>
  <w:displayVerticalDrawingGridEvery w:val="0"/>
  <w:doNotUseMarginsForDrawingGridOrigin/>
  <w:noPunctuationKerning/>
  <w:characterSpacingControl w:val="doNotCompress"/>
  <w:compat>
    <w:wpJustificatio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6828"/>
    <w:rsid w:val="00D92C99"/>
    <w:rsid w:val="00E36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E55985B-C4A0-4893-9219-60EC4A26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U.S. Department of Education</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Compaq</dc:creator>
  <cp:keywords/>
  <cp:lastModifiedBy>office</cp:lastModifiedBy>
  <cp:revision>2</cp:revision>
  <cp:lastPrinted>1601-01-01T00:00:00Z</cp:lastPrinted>
  <dcterms:created xsi:type="dcterms:W3CDTF">2025-09-24T04:58:00Z</dcterms:created>
  <dcterms:modified xsi:type="dcterms:W3CDTF">2025-09-24T04:58:00Z</dcterms:modified>
</cp:coreProperties>
</file>