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5C" w:rsidRDefault="007E0F5C" w:rsidP="007E0F5C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Assignment No. 1</w:t>
      </w:r>
      <w:r w:rsidR="00693772">
        <w:rPr>
          <w:b/>
          <w:sz w:val="24"/>
        </w:rPr>
        <w:t xml:space="preserve"> - </w:t>
      </w:r>
      <w:proofErr w:type="spellStart"/>
      <w:r w:rsidR="00693772">
        <w:rPr>
          <w:b/>
          <w:sz w:val="24"/>
        </w:rPr>
        <w:t>Preprocessing</w:t>
      </w:r>
      <w:proofErr w:type="spellEnd"/>
    </w:p>
    <w:p w:rsidR="007E0F5C" w:rsidRDefault="007E0F5C" w:rsidP="007E0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0F5C" w:rsidRPr="00C93AC8" w:rsidRDefault="007E0F5C" w:rsidP="007E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Name: </w:t>
      </w:r>
      <w:r>
        <w:rPr>
          <w:rFonts w:ascii="Times New Roman" w:hAnsi="Times New Roman" w:cs="Times New Roman"/>
          <w:b/>
          <w:bCs/>
          <w:color w:val="000000"/>
        </w:rPr>
        <w:t xml:space="preserve">Data Mining and Warehousing                        </w:t>
      </w:r>
      <w:r w:rsidRPr="00393720">
        <w:rPr>
          <w:rFonts w:ascii="Times New Roman" w:hAnsi="Times New Roman" w:cs="Times New Roman"/>
          <w:b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DJ19CEC501</w:t>
      </w:r>
      <w:r w:rsidRPr="00C93AC8">
        <w:rPr>
          <w:b/>
          <w:bCs/>
        </w:rPr>
        <w:t xml:space="preserve"> </w:t>
      </w:r>
    </w:p>
    <w:p w:rsidR="007E0F5C" w:rsidRDefault="007E0F5C" w:rsidP="007E0F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F46">
        <w:rPr>
          <w:rFonts w:ascii="Times New Roman" w:hAnsi="Times New Roman" w:cs="Times New Roman"/>
          <w:b/>
          <w:sz w:val="24"/>
          <w:szCs w:val="24"/>
        </w:rPr>
        <w:t>Class</w:t>
      </w:r>
      <w:r w:rsidR="005419D5">
        <w:rPr>
          <w:rFonts w:ascii="Times New Roman" w:hAnsi="Times New Roman" w:cs="Times New Roman"/>
          <w:sz w:val="24"/>
          <w:szCs w:val="24"/>
        </w:rPr>
        <w:t xml:space="preserve">: TY </w:t>
      </w:r>
      <w:proofErr w:type="spellStart"/>
      <w:r w:rsidR="005419D5">
        <w:rPr>
          <w:rFonts w:ascii="Times New Roman" w:hAnsi="Times New Roman" w:cs="Times New Roman"/>
          <w:sz w:val="24"/>
          <w:szCs w:val="24"/>
        </w:rPr>
        <w:t>BTech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  <w:proofErr w:type="spellStart"/>
      <w:r w:rsidRPr="00393720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Pr="0039372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           </w:t>
      </w:r>
    </w:p>
    <w:p w:rsidR="007E0F5C" w:rsidRDefault="007E0F5C" w:rsidP="007E0F5C">
      <w:pPr>
        <w:spacing w:after="0"/>
        <w:rPr>
          <w:b/>
          <w:sz w:val="24"/>
        </w:rPr>
      </w:pPr>
      <w:r>
        <w:rPr>
          <w:b/>
          <w:sz w:val="24"/>
        </w:rPr>
        <w:t xml:space="preserve">Data: </w:t>
      </w:r>
      <w:r w:rsidR="0086349B">
        <w:rPr>
          <w:b/>
          <w:sz w:val="24"/>
        </w:rPr>
        <w:t>19/10/2023</w:t>
      </w:r>
      <w:bookmarkStart w:id="0" w:name="_GoBack"/>
      <w:bookmarkEnd w:id="0"/>
      <w:r>
        <w:rPr>
          <w:b/>
          <w:sz w:val="24"/>
        </w:rPr>
        <w:t xml:space="preserve">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Marks: 15</w:t>
      </w:r>
    </w:p>
    <w:p w:rsidR="007E0F5C" w:rsidRDefault="007E0F5C" w:rsidP="00E80024">
      <w:pPr>
        <w:spacing w:after="0"/>
        <w:rPr>
          <w:b/>
          <w:sz w:val="24"/>
        </w:rPr>
      </w:pPr>
      <w:r>
        <w:rPr>
          <w:b/>
          <w:sz w:val="24"/>
        </w:rPr>
        <w:t xml:space="preserve">Note: Marks will be based on presentation, conceptually correct and uniqueness. </w:t>
      </w:r>
    </w:p>
    <w:p w:rsidR="00E80024" w:rsidRPr="00783DAE" w:rsidRDefault="00E80024" w:rsidP="00E80024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8385"/>
      </w:tblGrid>
      <w:tr w:rsidR="007E0F5C" w:rsidTr="005B4E05">
        <w:tc>
          <w:tcPr>
            <w:tcW w:w="451" w:type="dxa"/>
          </w:tcPr>
          <w:p w:rsidR="007E0F5C" w:rsidRPr="00E80024" w:rsidRDefault="007E0F5C" w:rsidP="005B4E05">
            <w:pPr>
              <w:rPr>
                <w:b/>
              </w:rPr>
            </w:pPr>
            <w:proofErr w:type="spellStart"/>
            <w:r w:rsidRPr="00E80024">
              <w:rPr>
                <w:b/>
              </w:rPr>
              <w:t>QNo</w:t>
            </w:r>
            <w:proofErr w:type="spellEnd"/>
          </w:p>
        </w:tc>
        <w:tc>
          <w:tcPr>
            <w:tcW w:w="8729" w:type="dxa"/>
          </w:tcPr>
          <w:p w:rsidR="007E0F5C" w:rsidRPr="00E80024" w:rsidRDefault="007E0F5C" w:rsidP="005B4E05">
            <w:pPr>
              <w:jc w:val="center"/>
              <w:rPr>
                <w:b/>
              </w:rPr>
            </w:pPr>
            <w:r w:rsidRPr="00E80024">
              <w:rPr>
                <w:b/>
              </w:rPr>
              <w:t>Questions</w:t>
            </w:r>
          </w:p>
        </w:tc>
      </w:tr>
      <w:tr w:rsidR="007E0F5C" w:rsidTr="005B4E05">
        <w:tc>
          <w:tcPr>
            <w:tcW w:w="451" w:type="dxa"/>
          </w:tcPr>
          <w:p w:rsidR="007E0F5C" w:rsidRDefault="007E0F5C" w:rsidP="005B4E05">
            <w:r>
              <w:t>1</w:t>
            </w:r>
          </w:p>
        </w:tc>
        <w:tc>
          <w:tcPr>
            <w:tcW w:w="8729" w:type="dxa"/>
          </w:tcPr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Suppose that the data for analysis includes the attribute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age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.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age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values for the data</w:t>
            </w:r>
          </w:p>
          <w:p w:rsidR="006B338D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tuples are (in increasing order) 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13, 15, 16, 16, 19, 20, 20, 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21, 22, 22, 25, 25, 25, 25, 30,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33, 33, 35, 35, 35, 35, 36, 40, 45, 46, 52, 70.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What is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mean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of the data? What is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median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?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(b) What is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mode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of the data? Comment on the data’s modality (i.e., bimodal, tri</w:t>
            </w:r>
            <w:r w:rsidR="00B47A49">
              <w:rPr>
                <w:rFonts w:ascii="Minion-Regular" w:hAnsi="Minion-Regular" w:cs="Minion-Regular"/>
                <w:sz w:val="20"/>
                <w:szCs w:val="20"/>
              </w:rPr>
              <w:t>-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modal, etc.).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(c) What is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midrange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of the data?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(d) Can you find (roughly) the first quartile (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Q</w:t>
            </w:r>
            <w:r>
              <w:rPr>
                <w:rFonts w:ascii="Minion-Regular" w:hAnsi="Minion-Regular" w:cs="Minion-Regular"/>
                <w:sz w:val="15"/>
                <w:szCs w:val="15"/>
              </w:rPr>
              <w:t>1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) and the third quartile (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Q</w:t>
            </w:r>
            <w:r>
              <w:rPr>
                <w:rFonts w:ascii="Minion-Regular" w:hAnsi="Minion-Regular" w:cs="Minion-Regular"/>
                <w:sz w:val="15"/>
                <w:szCs w:val="15"/>
              </w:rPr>
              <w:t>3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) of the data?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(e) Give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five-number summary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of the data.</w:t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(f) Show a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boxplot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of the data.</w:t>
            </w:r>
          </w:p>
          <w:p w:rsidR="007E0F5C" w:rsidRPr="00E40EE4" w:rsidRDefault="00E80024" w:rsidP="0033550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(g) How is a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quantile–quantile plot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different from a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quantile plot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?</w:t>
            </w:r>
          </w:p>
        </w:tc>
      </w:tr>
      <w:tr w:rsidR="007E0F5C" w:rsidTr="005B4E05">
        <w:tc>
          <w:tcPr>
            <w:tcW w:w="451" w:type="dxa"/>
          </w:tcPr>
          <w:p w:rsidR="007E0F5C" w:rsidRDefault="007E0F5C" w:rsidP="005B4E05"/>
        </w:tc>
        <w:tc>
          <w:tcPr>
            <w:tcW w:w="8729" w:type="dxa"/>
          </w:tcPr>
          <w:p w:rsidR="007E0F5C" w:rsidRPr="00E40EE4" w:rsidRDefault="007E0F5C" w:rsidP="0033550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E0F5C" w:rsidTr="005B4E05">
        <w:tc>
          <w:tcPr>
            <w:tcW w:w="451" w:type="dxa"/>
          </w:tcPr>
          <w:p w:rsidR="007E0F5C" w:rsidRDefault="007E0F5C" w:rsidP="005B4E05">
            <w:r>
              <w:t>2.</w:t>
            </w:r>
          </w:p>
        </w:tc>
        <w:tc>
          <w:tcPr>
            <w:tcW w:w="8729" w:type="dxa"/>
          </w:tcPr>
          <w:p w:rsidR="007E0F5C" w:rsidRPr="00E40EE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Suppose that the values for a given set of data are grouped into intervals. The intervals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and corresponding frequencies are as follows:</w:t>
            </w:r>
          </w:p>
          <w:p w:rsidR="007E0F5C" w:rsidRDefault="00E80024" w:rsidP="0033550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en-IN"/>
              </w:rPr>
              <w:drawing>
                <wp:inline distT="0" distB="0" distL="0" distR="0" wp14:anchorId="46125305" wp14:editId="4807CD52">
                  <wp:extent cx="1477645" cy="141414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F5C" w:rsidRPr="00E80024" w:rsidRDefault="00E80024" w:rsidP="0033550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Compute an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approximate median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value for the data.</w:t>
            </w:r>
          </w:p>
        </w:tc>
      </w:tr>
      <w:tr w:rsidR="007E0F5C" w:rsidTr="005B4E05">
        <w:tc>
          <w:tcPr>
            <w:tcW w:w="451" w:type="dxa"/>
          </w:tcPr>
          <w:p w:rsidR="007E0F5C" w:rsidRDefault="007E0F5C" w:rsidP="005B4E05"/>
        </w:tc>
        <w:tc>
          <w:tcPr>
            <w:tcW w:w="8729" w:type="dxa"/>
          </w:tcPr>
          <w:p w:rsidR="007E0F5C" w:rsidRPr="00E40EE4" w:rsidRDefault="007E0F5C" w:rsidP="0033550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E0F5C" w:rsidTr="005B4E05">
        <w:tc>
          <w:tcPr>
            <w:tcW w:w="451" w:type="dxa"/>
          </w:tcPr>
          <w:p w:rsidR="007E0F5C" w:rsidRDefault="007E0F5C" w:rsidP="005B4E05">
            <w:r>
              <w:t>3.</w:t>
            </w:r>
          </w:p>
        </w:tc>
        <w:tc>
          <w:tcPr>
            <w:tcW w:w="8729" w:type="dxa"/>
          </w:tcPr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Suppose that a hospital tested the age and body fat data for 18 randomly selected adults</w:t>
            </w:r>
          </w:p>
          <w:p w:rsidR="007E0F5C" w:rsidRDefault="00E80024" w:rsidP="00335501">
            <w:pPr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with the following results:</w:t>
            </w:r>
          </w:p>
          <w:p w:rsidR="00E80024" w:rsidRDefault="00E80024" w:rsidP="00335501">
            <w:pPr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</w:p>
          <w:p w:rsidR="00E80024" w:rsidRDefault="00B0547F" w:rsidP="00335501">
            <w:pPr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noProof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449C144E" wp14:editId="32C3C1BD">
                  <wp:extent cx="4529455" cy="95694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024" w:rsidRDefault="00E80024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Calculate the mean, median, and standard deviation of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age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and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%fat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.</w:t>
            </w:r>
          </w:p>
          <w:p w:rsidR="00E80024" w:rsidRPr="000450B0" w:rsidRDefault="00E80024" w:rsidP="000450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(b) Draw the boxplots for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age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and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%fat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.</w:t>
            </w:r>
          </w:p>
        </w:tc>
      </w:tr>
      <w:tr w:rsidR="007E0F5C" w:rsidTr="005B4E05">
        <w:tc>
          <w:tcPr>
            <w:tcW w:w="451" w:type="dxa"/>
          </w:tcPr>
          <w:p w:rsidR="007E0F5C" w:rsidRDefault="007E0F5C" w:rsidP="005B4E05"/>
        </w:tc>
        <w:tc>
          <w:tcPr>
            <w:tcW w:w="8729" w:type="dxa"/>
          </w:tcPr>
          <w:p w:rsidR="007E0F5C" w:rsidRDefault="007E0F5C" w:rsidP="00335501">
            <w:pPr>
              <w:spacing w:line="360" w:lineRule="auto"/>
              <w:jc w:val="both"/>
            </w:pPr>
          </w:p>
        </w:tc>
      </w:tr>
      <w:tr w:rsidR="007E0F5C" w:rsidTr="005B4E05">
        <w:tc>
          <w:tcPr>
            <w:tcW w:w="451" w:type="dxa"/>
          </w:tcPr>
          <w:p w:rsidR="007E0F5C" w:rsidRDefault="007E0F5C" w:rsidP="005B4E05">
            <w:r>
              <w:t>4.</w:t>
            </w:r>
          </w:p>
        </w:tc>
        <w:tc>
          <w:tcPr>
            <w:tcW w:w="8729" w:type="dxa"/>
          </w:tcPr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Given two objects represented by the tuples (22, 1, 42, 10) and (20, 0, 36, 8):</w:t>
            </w:r>
          </w:p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Compute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Euclidean distance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between the two objects.</w:t>
            </w:r>
          </w:p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(b) Compute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Manhattan distance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between the two objects.</w:t>
            </w:r>
          </w:p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(c) Compute the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Minkowski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 distance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between the two objects, using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q </w:t>
            </w:r>
            <w:r>
              <w:rPr>
                <w:rFonts w:ascii="MTSY" w:hAnsi="MTSY" w:cs="MTSY"/>
                <w:sz w:val="20"/>
                <w:szCs w:val="20"/>
              </w:rPr>
              <w:t xml:space="preserve">D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3.</w:t>
            </w:r>
          </w:p>
          <w:p w:rsidR="007E0F5C" w:rsidRDefault="00B0547F" w:rsidP="00335501">
            <w:pPr>
              <w:spacing w:line="360" w:lineRule="auto"/>
              <w:jc w:val="both"/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(d) Compute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supremum distance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between the two objects.</w:t>
            </w:r>
          </w:p>
        </w:tc>
      </w:tr>
      <w:tr w:rsidR="007E0F5C" w:rsidTr="005B4E05">
        <w:tc>
          <w:tcPr>
            <w:tcW w:w="451" w:type="dxa"/>
          </w:tcPr>
          <w:p w:rsidR="007E0F5C" w:rsidRDefault="007E0F5C" w:rsidP="005B4E05"/>
        </w:tc>
        <w:tc>
          <w:tcPr>
            <w:tcW w:w="8729" w:type="dxa"/>
          </w:tcPr>
          <w:p w:rsidR="007E0F5C" w:rsidRDefault="007E0F5C" w:rsidP="00335501">
            <w:pPr>
              <w:spacing w:line="360" w:lineRule="auto"/>
              <w:jc w:val="both"/>
            </w:pPr>
          </w:p>
        </w:tc>
      </w:tr>
      <w:tr w:rsidR="007E0F5C" w:rsidTr="005B4E05">
        <w:tc>
          <w:tcPr>
            <w:tcW w:w="451" w:type="dxa"/>
          </w:tcPr>
          <w:p w:rsidR="007E0F5C" w:rsidRDefault="007E0F5C" w:rsidP="005B4E05">
            <w:r>
              <w:t>5</w:t>
            </w:r>
          </w:p>
        </w:tc>
        <w:tc>
          <w:tcPr>
            <w:tcW w:w="8729" w:type="dxa"/>
          </w:tcPr>
          <w:p w:rsidR="007E0F5C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It is important to define or select similarity measures in data analysis. However, there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is no commonly accepted subjective similarity measure. Results can vary depending on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the similarity measures used. Nonetheless, seemingly different similarity measures may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be equivalent after some transformation.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Suppose we have the following 2-D data set:</w:t>
            </w:r>
          </w:p>
          <w:p w:rsidR="00335501" w:rsidRDefault="00335501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</w:p>
          <w:p w:rsidR="00B0547F" w:rsidRDefault="00B0547F" w:rsidP="00335501">
            <w:pPr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41A45380" wp14:editId="582431A9">
                  <wp:extent cx="1137920" cy="1275715"/>
                  <wp:effectExtent l="0" t="0" r="508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Consider the data as 2-D data points. Given a new data point, </w:t>
            </w:r>
            <w:r>
              <w:rPr>
                <w:rFonts w:ascii="Minion-BoldItalic" w:hAnsi="Minion-BoldItalic" w:cs="Minion-BoldItalic"/>
                <w:b/>
                <w:bCs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= </w:t>
            </w:r>
            <w:r>
              <w:rPr>
                <w:rFonts w:ascii="RMTMI" w:hAnsi="RMTMI" w:cs="RMTMI"/>
                <w:sz w:val="20"/>
                <w:szCs w:val="20"/>
              </w:rPr>
              <w:t>.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1.4, 1.6</w:t>
            </w:r>
            <w:r>
              <w:rPr>
                <w:rFonts w:ascii="RMTMI" w:hAnsi="RMTMI" w:cs="RMTMI"/>
                <w:sz w:val="20"/>
                <w:szCs w:val="20"/>
              </w:rPr>
              <w:t xml:space="preserve">/ 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as a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query, rank the database points based on similarity with the query using Euclidean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distance, Manhattan distance, supremum distance, and cosine similarity.</w:t>
            </w:r>
          </w:p>
          <w:p w:rsidR="00B0547F" w:rsidRDefault="00B0547F" w:rsidP="00335501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rFonts w:ascii="Minion-Regular" w:hAnsi="Minion-Regular" w:cs="Minion-Regular"/>
                <w:sz w:val="20"/>
                <w:szCs w:val="20"/>
              </w:rPr>
              <w:t>(b) Normalize the data set to make the norm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of each data point equal to 1. Use Euclidean</w:t>
            </w:r>
            <w:r w:rsidR="00335501">
              <w:rPr>
                <w:rFonts w:ascii="Minion-Regular" w:hAnsi="Minion-Regular" w:cs="Minion-Regular"/>
                <w:sz w:val="20"/>
                <w:szCs w:val="20"/>
              </w:rPr>
              <w:t xml:space="preserve">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distance on the transformed data to rank the data points.</w:t>
            </w:r>
          </w:p>
        </w:tc>
      </w:tr>
    </w:tbl>
    <w:p w:rsidR="007E0F5C" w:rsidRDefault="007E0F5C" w:rsidP="007E0F5C"/>
    <w:sectPr w:rsidR="007E0F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D4" w:rsidRDefault="00D754D4" w:rsidP="009556D3">
      <w:pPr>
        <w:spacing w:after="0" w:line="240" w:lineRule="auto"/>
      </w:pPr>
      <w:r>
        <w:separator/>
      </w:r>
    </w:p>
  </w:endnote>
  <w:endnote w:type="continuationSeparator" w:id="0">
    <w:p w:rsidR="00D754D4" w:rsidRDefault="00D754D4" w:rsidP="0095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D4" w:rsidRDefault="00D754D4" w:rsidP="009556D3">
      <w:pPr>
        <w:spacing w:after="0" w:line="240" w:lineRule="auto"/>
      </w:pPr>
      <w:r>
        <w:separator/>
      </w:r>
    </w:p>
  </w:footnote>
  <w:footnote w:type="continuationSeparator" w:id="0">
    <w:p w:rsidR="00D754D4" w:rsidRDefault="00D754D4" w:rsidP="0095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D3" w:rsidRDefault="009556D3" w:rsidP="009556D3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2BD18D9" wp14:editId="0B6F15ED">
          <wp:extent cx="5819775" cy="8191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</w:t>
    </w:r>
    <w:r w:rsidR="005419D5">
      <w:rPr>
        <w:b/>
      </w:rPr>
      <w:t>3</w:t>
    </w:r>
    <w:r w:rsidRPr="009F67A9">
      <w:rPr>
        <w:b/>
      </w:rPr>
      <w:t>-20</w:t>
    </w:r>
    <w:r>
      <w:rPr>
        <w:b/>
      </w:rPr>
      <w:t>2</w:t>
    </w:r>
    <w:r w:rsidR="005419D5">
      <w:rPr>
        <w:b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C155D"/>
    <w:multiLevelType w:val="hybridMultilevel"/>
    <w:tmpl w:val="C74C4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7D"/>
    <w:rsid w:val="000450B0"/>
    <w:rsid w:val="0009296B"/>
    <w:rsid w:val="001343B0"/>
    <w:rsid w:val="00147252"/>
    <w:rsid w:val="00205673"/>
    <w:rsid w:val="002F1097"/>
    <w:rsid w:val="00335501"/>
    <w:rsid w:val="00341753"/>
    <w:rsid w:val="004A1ED7"/>
    <w:rsid w:val="004A4009"/>
    <w:rsid w:val="005419D5"/>
    <w:rsid w:val="00693772"/>
    <w:rsid w:val="006B338D"/>
    <w:rsid w:val="007E0F5C"/>
    <w:rsid w:val="0086349B"/>
    <w:rsid w:val="00874D2C"/>
    <w:rsid w:val="00922740"/>
    <w:rsid w:val="009556D3"/>
    <w:rsid w:val="00A249E1"/>
    <w:rsid w:val="00A773B4"/>
    <w:rsid w:val="00AC7302"/>
    <w:rsid w:val="00B0547F"/>
    <w:rsid w:val="00B47A49"/>
    <w:rsid w:val="00BE4DC1"/>
    <w:rsid w:val="00C908FE"/>
    <w:rsid w:val="00D754D4"/>
    <w:rsid w:val="00E30B5D"/>
    <w:rsid w:val="00E80024"/>
    <w:rsid w:val="00F54B7D"/>
    <w:rsid w:val="00F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E024"/>
  <w15:docId w15:val="{50199B33-E746-4CB0-A557-36E36218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D3"/>
  </w:style>
  <w:style w:type="paragraph" w:styleId="Footer">
    <w:name w:val="footer"/>
    <w:basedOn w:val="Normal"/>
    <w:link w:val="FooterChar"/>
    <w:uiPriority w:val="99"/>
    <w:unhideWhenUsed/>
    <w:rsid w:val="0095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ACFB5E77CB84EA8DDAF81E992B04C" ma:contentTypeVersion="4" ma:contentTypeDescription="Create a new document." ma:contentTypeScope="" ma:versionID="8b5d2cc5da144d97c4022b8e412b0b1f">
  <xsd:schema xmlns:xsd="http://www.w3.org/2001/XMLSchema" xmlns:xs="http://www.w3.org/2001/XMLSchema" xmlns:p="http://schemas.microsoft.com/office/2006/metadata/properties" xmlns:ns2="7e2fee2a-d3b8-4f2e-ae20-05d92fec549a" targetNamespace="http://schemas.microsoft.com/office/2006/metadata/properties" ma:root="true" ma:fieldsID="e82fe869cba20b4384357c3707a88983" ns2:_="">
    <xsd:import namespace="7e2fee2a-d3b8-4f2e-ae20-05d92fec54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ee2a-d3b8-4f2e-ae20-05d92fec54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8502AC-BA06-4B08-B310-5147402F8985}"/>
</file>

<file path=customXml/itemProps2.xml><?xml version="1.0" encoding="utf-8"?>
<ds:datastoreItem xmlns:ds="http://schemas.openxmlformats.org/officeDocument/2006/customXml" ds:itemID="{50EFD89E-5F12-4150-9126-7A1B1675DE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Bhowmick</dc:creator>
  <cp:lastModifiedBy>Kiran Bhowmick</cp:lastModifiedBy>
  <cp:revision>8</cp:revision>
  <dcterms:created xsi:type="dcterms:W3CDTF">2022-10-31T06:51:00Z</dcterms:created>
  <dcterms:modified xsi:type="dcterms:W3CDTF">2023-10-19T05:23:00Z</dcterms:modified>
</cp:coreProperties>
</file>