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Strategy Analytics Report</w:t>
      </w:r>
    </w:p>
    <w:p>
      <w:pPr>
        <w:pStyle w:val="Heading2"/>
      </w:pPr>
      <w:r>
        <w:t>Business Objective</w:t>
      </w:r>
    </w:p>
    <w:p>
      <w:r>
        <w:t>Assess pricing effectiveness, validate pricing governance, identify commercial performance drivers, and provide executive pricing recommendations.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Validate pricing calculations.</w:t>
      </w:r>
    </w:p>
    <w:p>
      <w:pPr>
        <w:pStyle w:val="ListBullet"/>
      </w:pPr>
      <w:r>
        <w:t>Audit pricing policy compliance.</w:t>
      </w:r>
    </w:p>
    <w:p>
      <w:pPr>
        <w:pStyle w:val="ListBullet"/>
      </w:pPr>
      <w:r>
        <w:t>Analyze product performance.</w:t>
      </w:r>
    </w:p>
    <w:p>
      <w:pPr>
        <w:pStyle w:val="ListBullet"/>
      </w:pPr>
      <w:r>
        <w:t>Compare lifecycle performance.</w:t>
      </w:r>
    </w:p>
    <w:p>
      <w:pPr>
        <w:pStyle w:val="ListBullet"/>
      </w:pPr>
      <w:r>
        <w:t>Evaluate customer segmentation.</w:t>
      </w:r>
    </w:p>
    <w:p>
      <w:pPr>
        <w:pStyle w:val="ListBullet"/>
      </w:pPr>
      <w:r>
        <w:t>Assess pricing optimization opportunities.</w:t>
      </w:r>
    </w:p>
    <w:p>
      <w:pPr>
        <w:pStyle w:val="ListBullet"/>
      </w:pPr>
      <w:r>
        <w:t>Develop executive recommendations.</w:t>
      </w:r>
    </w:p>
    <w:p>
      <w:pPr>
        <w:pStyle w:val="Heading2"/>
      </w:pPr>
      <w:r>
        <w:t>Business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Opportunities</w:t>
            </w:r>
          </w:p>
        </w:tc>
        <w:tc>
          <w:tcPr>
            <w:tcW w:type="dxa" w:w="4320"/>
          </w:tcPr>
          <w:p>
            <w:r>
              <w:t>638</w:t>
            </w:r>
          </w:p>
        </w:tc>
      </w:tr>
      <w:tr>
        <w:tc>
          <w:tcPr>
            <w:tcW w:type="dxa" w:w="4320"/>
          </w:tcPr>
          <w:p>
            <w:r>
              <w:t>Won Opportunities</w:t>
            </w:r>
          </w:p>
        </w:tc>
        <w:tc>
          <w:tcPr>
            <w:tcW w:type="dxa" w:w="4320"/>
          </w:tcPr>
          <w:p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Overall Win Rate</w:t>
            </w:r>
          </w:p>
        </w:tc>
        <w:tc>
          <w:tcPr>
            <w:tcW w:type="dxa" w:w="4320"/>
          </w:tcPr>
          <w:p>
            <w:r>
              <w:t>66.93%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$79.20M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$47.72M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Bullet"/>
      </w:pPr>
      <w:r>
        <w:t>Enterprise Suite generated 48% of total revenue with the lowest average discount.</w:t>
      </w:r>
    </w:p>
    <w:p>
      <w:pPr>
        <w:pStyle w:val="ListBullet"/>
      </w:pPr>
      <w:r>
        <w:t>Renewal and Expansion deals consistently outperformed New Business.</w:t>
      </w:r>
    </w:p>
    <w:p>
      <w:pPr>
        <w:pStyle w:val="ListBullet"/>
      </w:pPr>
      <w:r>
        <w:t>Legal and Technology Enterprise customers generated the highest strategic revenue.</w:t>
      </w:r>
    </w:p>
    <w:p>
      <w:pPr>
        <w:pStyle w:val="ListBullet"/>
      </w:pPr>
      <w:r>
        <w:t>Nexus AI Assistant requires pricing strategy review.</w:t>
      </w:r>
    </w:p>
    <w:p>
      <w:pPr>
        <w:pStyle w:val="ListBullet"/>
      </w:pPr>
      <w:r>
        <w:t>Nexus Insights presents pricing optimization opportunities.</w:t>
      </w:r>
    </w:p>
    <w:p>
      <w:pPr>
        <w:pStyle w:val="Heading2"/>
      </w:pPr>
      <w:r>
        <w:t>Dashboard Screenshots</w:t>
      </w:r>
    </w:p>
    <w:p>
      <w:r>
        <w:drawing>
          <wp:inline xmlns:a="http://schemas.openxmlformats.org/drawingml/2006/main" xmlns:pic="http://schemas.openxmlformats.org/drawingml/2006/picture">
            <wp:extent cx="5943600" cy="2732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e9beec-badf-403e-b7da-102daa9f93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828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0eb705-f19e-4ed1-8c12-e30fa57cef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693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f49ac7-ee91-444b-a53a-c1f61e77cb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Executive Recommendations</w:t>
      </w:r>
    </w:p>
    <w:p>
      <w:pPr>
        <w:pStyle w:val="ListBullet"/>
      </w:pPr>
      <w:r>
        <w:t>Protect Enterprise Suite pricing discipline.</w:t>
      </w:r>
    </w:p>
    <w:p>
      <w:pPr>
        <w:pStyle w:val="ListBullet"/>
      </w:pPr>
      <w:r>
        <w:t>Review AI Assistant pricing and positioning.</w:t>
      </w:r>
    </w:p>
    <w:p>
      <w:pPr>
        <w:pStyle w:val="ListBullet"/>
      </w:pPr>
      <w:r>
        <w:t>Optimize discounts for Nexus Insights through controlled testing.</w:t>
      </w:r>
    </w:p>
    <w:p>
      <w:pPr>
        <w:pStyle w:val="ListBullet"/>
      </w:pPr>
      <w:r>
        <w:t>Focus growth on Enterprise Legal and Technology accounts.</w:t>
      </w:r>
    </w:p>
    <w:p>
      <w:pPr>
        <w:pStyle w:val="ListBullet"/>
      </w:pPr>
      <w:r>
        <w:t>Investigate non-pricing factors in lower-performing segments.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