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z w:val="28"/>
          <w:u w:val="single"/>
          <w:rtl w:val="0"/>
        </w:rPr>
        <w:t xml:space="preserve">Axiata Deployment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g6wossf7jubj">
        <w:r w:rsidRPr="00000000" w:rsidR="00000000" w:rsidDel="00000000">
          <w:rPr>
            <w:color w:val="1155cc"/>
            <w:u w:val="single"/>
            <w:rtl w:val="0"/>
          </w:rPr>
          <w:t xml:space="preserve">Code Structure</w:t>
        </w:r>
      </w:hyperlink>
      <w:r w:rsidRPr="00000000" w:rsidR="00000000" w:rsidDel="00000000">
        <w:rPr>
          <w:rtl w:val="0"/>
        </w:rPr>
      </w:r>
    </w:p>
    <w:p w:rsidP="00000000" w:rsidRPr="00000000" w:rsidR="00000000" w:rsidDel="00000000" w:rsidRDefault="00000000">
      <w:pPr>
        <w:ind w:left="360" w:firstLine="0"/>
        <w:contextualSpacing w:val="0"/>
      </w:pPr>
      <w:hyperlink w:anchor="h.52kwazurhxzw">
        <w:r w:rsidRPr="00000000" w:rsidR="00000000" w:rsidDel="00000000">
          <w:rPr>
            <w:color w:val="1155cc"/>
            <w:u w:val="single"/>
            <w:rtl w:val="0"/>
          </w:rPr>
          <w:t xml:space="preserve">Setting up XOCL</w:t>
        </w:r>
      </w:hyperlink>
      <w:r w:rsidRPr="00000000" w:rsidR="00000000" w:rsidDel="00000000">
        <w:rPr>
          <w:rtl w:val="0"/>
        </w:rPr>
      </w:r>
    </w:p>
    <w:p w:rsidP="00000000" w:rsidRPr="00000000" w:rsidR="00000000" w:rsidDel="00000000" w:rsidRDefault="00000000">
      <w:pPr>
        <w:ind w:left="360" w:firstLine="0"/>
        <w:contextualSpacing w:val="0"/>
      </w:pPr>
      <w:hyperlink w:anchor="h.e7tbgk6iuh0j">
        <w:r w:rsidRPr="00000000" w:rsidR="00000000" w:rsidDel="00000000">
          <w:rPr>
            <w:color w:val="1155cc"/>
            <w:u w:val="single"/>
            <w:rtl w:val="0"/>
          </w:rPr>
          <w:t xml:space="preserve">Setting up SACL</w:t>
        </w:r>
      </w:hyperlink>
      <w:r w:rsidRPr="00000000" w:rsidR="00000000" w:rsidDel="00000000">
        <w:rPr>
          <w:rtl w:val="0"/>
        </w:rPr>
      </w:r>
    </w:p>
    <w:p w:rsidP="00000000" w:rsidRPr="00000000" w:rsidR="00000000" w:rsidDel="00000000" w:rsidRDefault="00000000">
      <w:pPr>
        <w:ind w:left="360" w:firstLine="0"/>
        <w:contextualSpacing w:val="0"/>
      </w:pPr>
      <w:hyperlink w:anchor="h.mrur2ft0z86f">
        <w:r w:rsidRPr="00000000" w:rsidR="00000000" w:rsidDel="00000000">
          <w:rPr>
            <w:color w:val="1155cc"/>
            <w:u w:val="single"/>
            <w:rtl w:val="0"/>
          </w:rPr>
          <w:t xml:space="preserve">Configuring Secure Vault</w:t>
        </w:r>
      </w:hyperlink>
      <w:r w:rsidRPr="00000000" w:rsidR="00000000" w:rsidDel="00000000">
        <w:rPr>
          <w:rtl w:val="0"/>
        </w:rPr>
      </w:r>
    </w:p>
    <w:p w:rsidP="00000000" w:rsidRPr="00000000" w:rsidR="00000000" w:rsidDel="00000000" w:rsidRDefault="00000000">
      <w:pPr>
        <w:pStyle w:val="Heading2"/>
        <w:contextualSpacing w:val="0"/>
      </w:pPr>
      <w:bookmarkStart w:id="0" w:colFirst="0" w:name="h.o603niypxr53" w:colLast="0"/>
      <w:bookmarkEnd w:id="0"/>
      <w:r w:rsidRPr="00000000" w:rsidR="00000000" w:rsidDel="00000000">
        <w:rPr>
          <w:rtl w:val="0"/>
        </w:rPr>
      </w:r>
    </w:p>
    <w:p w:rsidP="00000000" w:rsidRPr="00000000" w:rsidR="00000000" w:rsidDel="00000000" w:rsidRDefault="00000000">
      <w:pPr>
        <w:pStyle w:val="Heading2"/>
        <w:contextualSpacing w:val="0"/>
      </w:pPr>
      <w:bookmarkStart w:id="1" w:colFirst="0" w:name="h.g6wossf7jubj" w:colLast="0"/>
      <w:bookmarkEnd w:id="1"/>
      <w:r w:rsidRPr="00000000" w:rsidR="00000000" w:rsidDel="00000000">
        <w:rPr>
          <w:rtl w:val="0"/>
        </w:rPr>
        <w:t xml:space="preserve">Code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“ProtocolConverter” is a multi-maven project which has XOCL and SACL ESB configuration projects. XOCL project has the synapse configuration for XOCL layer and so on.</w:t>
      </w:r>
    </w:p>
    <w:p w:rsidP="00000000" w:rsidRPr="00000000" w:rsidR="00000000" w:rsidDel="00000000" w:rsidRDefault="00000000">
      <w:pPr>
        <w:pStyle w:val="Heading2"/>
        <w:contextualSpacing w:val="0"/>
      </w:pPr>
      <w:bookmarkStart w:id="2" w:colFirst="0" w:name="h.lepz6lrmua8z" w:colLast="0"/>
      <w:bookmarkEnd w:id="2"/>
      <w:r w:rsidRPr="00000000" w:rsidR="00000000" w:rsidDel="00000000">
        <w:rPr>
          <w:rtl w:val="0"/>
        </w:rPr>
      </w:r>
    </w:p>
    <w:p w:rsidP="00000000" w:rsidRPr="00000000" w:rsidR="00000000" w:rsidDel="00000000" w:rsidRDefault="00000000">
      <w:pPr>
        <w:pStyle w:val="Heading2"/>
        <w:contextualSpacing w:val="0"/>
      </w:pPr>
      <w:bookmarkStart w:id="3" w:colFirst="0" w:name="h.52kwazurhxzw" w:colLast="0"/>
      <w:bookmarkEnd w:id="3"/>
      <w:r w:rsidRPr="00000000" w:rsidR="00000000" w:rsidDel="00000000">
        <w:rPr>
          <w:rtl w:val="0"/>
        </w:rPr>
        <w:t xml:space="preserve">Setting up XOCL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Download wso2esb-4.8.1.zip from </w:t>
      </w:r>
      <w:hyperlink r:id="rId5">
        <w:r w:rsidRPr="00000000" w:rsidR="00000000" w:rsidDel="00000000">
          <w:rPr>
            <w:color w:val="1155cc"/>
            <w:u w:val="single"/>
            <w:rtl w:val="0"/>
          </w:rPr>
          <w:t xml:space="preserve">http://wso2.com/products/enterprise-service-bus/</w:t>
        </w:r>
      </w:hyperlink>
      <w:r w:rsidRPr="00000000" w:rsidR="00000000" w:rsidDel="00000000">
        <w:rPr>
          <w:rtl w:val="0"/>
        </w:rPr>
        <w:t xml:space="preserve"> and extract the downloaded file. DO_ESB_HOME denotes the unzipped folder location. Change the port offset if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Configure system secure vault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Get the code for XOCL from &lt;LOCATION&gt;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Configure the endpoints [Refer Axiata-ProtocolCoverter Documentation for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Build the XOCL Project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Deploy the XOCL.CAR in ESB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e7tbgk6iuh0j" w:colLast="0"/>
      <w:bookmarkEnd w:id="4"/>
      <w:r w:rsidRPr="00000000" w:rsidR="00000000" w:rsidDel="00000000">
        <w:rPr>
          <w:rtl w:val="0"/>
        </w:rPr>
        <w:t xml:space="preserve">Setting up SACL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Download wso2esb-4.8.1.zip from </w:t>
      </w:r>
      <w:hyperlink r:id="rId6">
        <w:r w:rsidRPr="00000000" w:rsidR="00000000" w:rsidDel="00000000">
          <w:rPr>
            <w:color w:val="1155cc"/>
            <w:u w:val="single"/>
            <w:rtl w:val="0"/>
          </w:rPr>
          <w:t xml:space="preserve">http://wso2.com/products/enterprise-service-bus/</w:t>
        </w:r>
      </w:hyperlink>
      <w:r w:rsidRPr="00000000" w:rsidR="00000000" w:rsidDel="00000000">
        <w:rPr>
          <w:rtl w:val="0"/>
        </w:rPr>
        <w:t xml:space="preserve"> and extract the downloaded file. DO_ESB_HOME denotes the unzipped folder location. Change the port offset if required.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2. Configure system secure vault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Get the code for SACL from &lt;LOCATION&gt;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Configure the endpoints [Refer Axiata-ProtocolCoverter Documentation for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5. Add properties to the secure vault as defined in “Configuring Secure Vault”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6. Build the SACL Project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7store. Deploy the SACL.CAR in ESB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 of entries to in secure vault</w:t>
      </w:r>
    </w:p>
    <w:p w:rsidP="00000000" w:rsidRPr="00000000" w:rsidR="00000000" w:rsidDel="00000000" w:rsidRDefault="00000000">
      <w:pPr>
        <w:contextualSpacing w:val="0"/>
        <w:rPr/>
      </w:pPr>
      <w:r w:rsidRPr="00000000" w:rsidR="00000000" w:rsidDel="00000000">
        <w:rPr>
          <w:rtl w:val="0"/>
        </w:rPr>
        <w:t xml:space="preserve"> - exchanage_hub_credentials</w:t>
      </w:r>
    </w:p>
    <w:p w:rsidP="00000000" w:rsidRPr="00000000" w:rsidR="00000000" w:rsidDel="00000000" w:rsidRDefault="00000000">
      <w:pPr>
        <w:contextualSpacing w:val="0"/>
        <w:rPr/>
      </w:pPr>
      <w:r w:rsidRPr="00000000" w:rsidR="00000000" w:rsidDel="00000000">
        <w:rPr>
          <w:rtl w:val="0"/>
        </w:rPr>
        <w:t xml:space="preserve"> - hub_token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mrur2ft0z86f" w:colLast="0"/>
      <w:bookmarkEnd w:id="5"/>
      <w:r w:rsidRPr="00000000" w:rsidR="00000000" w:rsidDel="00000000">
        <w:rPr>
          <w:rtl w:val="0"/>
        </w:rPr>
        <w:t xml:space="preserve">Configuring Secure Vault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Configuring secure vault helps to protect the passwords stored in the ESB instance.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documentation helps to configure secure vault in detailed manner. This has to be followed when it is required to secure system specific passwords such management console password, user store password and so on. </w:t>
      </w:r>
      <w:hyperlink r:id="rId7">
        <w:r w:rsidRPr="00000000" w:rsidR="00000000" w:rsidDel="00000000">
          <w:rPr>
            <w:color w:val="1155cc"/>
            <w:u w:val="single"/>
            <w:rtl w:val="0"/>
          </w:rPr>
          <w:t xml:space="preserve">https://docs.wso2.org/display/Carbon420/WSO2+Carbon+Secure+Vault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protect the application specific passwords, using management console of the ESB is simple.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steps are following,</w:t>
      </w:r>
    </w:p>
    <w:p w:rsidP="00000000" w:rsidRPr="00000000" w:rsidR="00000000" w:rsidDel="00000000" w:rsidRDefault="00000000">
      <w:pPr>
        <w:contextualSpacing w:val="0"/>
      </w:pPr>
      <w:r w:rsidRPr="00000000" w:rsidR="00000000" w:rsidDel="00000000">
        <w:rPr>
          <w:rtl w:val="0"/>
        </w:rPr>
        <w:t xml:space="preserve">1. Setup secure vault as in the previous tutorial. </w:t>
      </w:r>
    </w:p>
    <w:p w:rsidP="00000000" w:rsidRPr="00000000" w:rsidR="00000000" w:rsidDel="00000000" w:rsidRDefault="00000000">
      <w:pPr>
        <w:contextualSpacing w:val="0"/>
      </w:pPr>
      <w:r w:rsidRPr="00000000" w:rsidR="00000000" w:rsidDel="00000000">
        <w:rPr>
          <w:rtl w:val="0"/>
        </w:rPr>
        <w:t xml:space="preserve">2. Start the ESB server.</w:t>
      </w:r>
    </w:p>
    <w:p w:rsidP="00000000" w:rsidRPr="00000000" w:rsidR="00000000" w:rsidDel="00000000" w:rsidRDefault="00000000">
      <w:pPr>
        <w:contextualSpacing w:val="0"/>
      </w:pPr>
      <w:r w:rsidRPr="00000000" w:rsidR="00000000" w:rsidDel="00000000">
        <w:rPr>
          <w:rtl w:val="0"/>
        </w:rPr>
        <w:t xml:space="preserve">3. In the management console, go to ‘Manage Passwords’ under ‘Secure Vault Tool’.</w:t>
      </w:r>
    </w:p>
    <w:p w:rsidP="00000000" w:rsidRPr="00000000" w:rsidR="00000000" w:rsidDel="00000000" w:rsidRDefault="00000000">
      <w:pPr>
        <w:contextualSpacing w:val="0"/>
      </w:pPr>
      <w:r w:rsidRPr="00000000" w:rsidR="00000000" w:rsidDel="00000000">
        <w:drawing>
          <wp:inline distR="114300" distT="114300" distB="114300" distL="114300">
            <wp:extent cy="5348288" cx="1774874"/>
            <wp:effectExtent t="0" b="0" r="0" l="0"/>
            <wp:docPr id="3" name="image02.png" descr="securevault1.png"/>
            <a:graphic>
              <a:graphicData uri="http://schemas.openxmlformats.org/drawingml/2006/picture">
                <pic:pic>
                  <pic:nvPicPr>
                    <pic:cNvPr id="0" name="image02.png" descr="securevault1.png"/>
                    <pic:cNvPicPr preferRelativeResize="0"/>
                  </pic:nvPicPr>
                  <pic:blipFill>
                    <a:blip r:embed="rId8"/>
                    <a:srcRect t="0" b="0" r="0" l="0"/>
                    <a:stretch>
                      <a:fillRect/>
                    </a:stretch>
                  </pic:blipFill>
                  <pic:spPr>
                    <a:xfrm>
                      <a:ext cy="5348288" cx="177487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Click ‘Add New Password to encrypt and store’</w:t>
      </w:r>
    </w:p>
    <w:p w:rsidP="00000000" w:rsidRPr="00000000" w:rsidR="00000000" w:rsidDel="00000000" w:rsidRDefault="00000000">
      <w:pPr>
        <w:contextualSpacing w:val="0"/>
      </w:pPr>
      <w:r w:rsidRPr="00000000" w:rsidR="00000000" w:rsidDel="00000000">
        <w:drawing>
          <wp:inline distR="114300" distT="114300" distB="114300" distL="114300">
            <wp:extent cy="858732" cx="3767138"/>
            <wp:effectExtent t="0" b="0" r="0" l="0"/>
            <wp:docPr id="1" name="image00.png" descr="secure_2.png"/>
            <a:graphic>
              <a:graphicData uri="http://schemas.openxmlformats.org/drawingml/2006/picture">
                <pic:pic>
                  <pic:nvPicPr>
                    <pic:cNvPr id="0" name="image00.png" descr="secure_2.png"/>
                    <pic:cNvPicPr preferRelativeResize="0"/>
                  </pic:nvPicPr>
                  <pic:blipFill>
                    <a:blip r:embed="rId9"/>
                    <a:srcRect t="0" b="0" r="0" l="0"/>
                    <a:stretch>
                      <a:fillRect/>
                    </a:stretch>
                  </pic:blipFill>
                  <pic:spPr>
                    <a:xfrm>
                      <a:ext cy="858732" cx="37671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Add the key and corresponding password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51000" cx="5943600"/>
            <wp:effectExtent t="0" b="0" r="0" l="0"/>
            <wp:docPr id="2" name="image01.png" descr="secure_3.png"/>
            <a:graphic>
              <a:graphicData uri="http://schemas.openxmlformats.org/drawingml/2006/picture">
                <pic:pic>
                  <pic:nvPicPr>
                    <pic:cNvPr id="0" name="image01.png" descr="secure_3.png"/>
                    <pic:cNvPicPr preferRelativeResize="0"/>
                  </pic:nvPicPr>
                  <pic:blipFill>
                    <a:blip r:embed="rId10"/>
                    <a:srcRect t="0" b="0" r="0" l="0"/>
                    <a:stretch>
                      <a:fillRect/>
                    </a:stretch>
                  </pic:blipFill>
                  <pic:spPr>
                    <a:xfrm>
                      <a:ext cy="1651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In the synapse configuration this credentials will be referred as wso2:vault-lookup(‘hub_credentials’)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9"/><Relationship Target="http://wso2.com/products/enterprise-service-bus/" Type="http://schemas.openxmlformats.org/officeDocument/2006/relationships/hyperlink" TargetMode="External" Id="rId6"/><Relationship Target="http://wso2.com/products/enterprise-service-bus/" Type="http://schemas.openxmlformats.org/officeDocument/2006/relationships/hyperlink" TargetMode="External" Id="rId5"/><Relationship Target="media/image02.png" Type="http://schemas.openxmlformats.org/officeDocument/2006/relationships/image" Id="rId8"/><Relationship Target="https://docs.wso2.org/display/Carbon420/WSO2+Carbon+Secure+Vaul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Axiata Deployment Guide.docx</dc:title>
</cp:coreProperties>
</file>