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2xnu6ed3wl5">
        <w:r w:rsidRPr="00000000" w:rsidR="00000000" w:rsidDel="00000000">
          <w:rPr>
            <w:color w:val="1155cc"/>
            <w:u w:val="single"/>
            <w:rtl w:val="0"/>
          </w:rPr>
          <w:t xml:space="preserve">XOCL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b4xeqljmlne">
        <w:r w:rsidRPr="00000000" w:rsidR="00000000" w:rsidDel="00000000">
          <w:rPr>
            <w:color w:val="1155cc"/>
            <w:u w:val="single"/>
            <w:rtl w:val="0"/>
          </w:rPr>
          <w:t xml:space="preserve">APIs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weoe57gbk3bj">
        <w:r w:rsidRPr="00000000" w:rsidR="00000000" w:rsidDel="00000000">
          <w:rPr>
            <w:color w:val="1155cc"/>
            <w:u w:val="single"/>
            <w:rtl w:val="0"/>
          </w:rPr>
          <w:t xml:space="preserve">XOCLDOLocation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af997rg1ild">
        <w:r w:rsidRPr="00000000" w:rsidR="00000000" w:rsidDel="00000000">
          <w:rPr>
            <w:color w:val="1155cc"/>
            <w:u w:val="single"/>
            <w:rtl w:val="0"/>
          </w:rPr>
          <w:t xml:space="preserve">XOCLDOOperatorId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b4q4munfoikl">
        <w:r w:rsidRPr="00000000" w:rsidR="00000000" w:rsidDel="00000000">
          <w:rPr>
            <w:color w:val="1155cc"/>
            <w:u w:val="single"/>
            <w:rtl w:val="0"/>
          </w:rPr>
          <w:t xml:space="preserve">XOCLDOPayment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y8ts0khh110">
        <w:r w:rsidRPr="00000000" w:rsidR="00000000" w:rsidDel="00000000">
          <w:rPr>
            <w:color w:val="1155cc"/>
            <w:u w:val="single"/>
            <w:rtl w:val="0"/>
          </w:rPr>
          <w:t xml:space="preserve">XOCLSms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kak1sk424up">
        <w:r w:rsidRPr="00000000" w:rsidR="00000000" w:rsidDel="00000000">
          <w:rPr>
            <w:color w:val="1155cc"/>
            <w:u w:val="single"/>
            <w:rtl w:val="0"/>
          </w:rPr>
          <w:t xml:space="preserve">Sequences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p7dj6nyvh7t">
        <w:r w:rsidRPr="00000000" w:rsidR="00000000" w:rsidDel="00000000">
          <w:rPr>
            <w:color w:val="1155cc"/>
            <w:u w:val="single"/>
            <w:rtl w:val="0"/>
          </w:rPr>
          <w:t xml:space="preserve">Discovery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jwybt6ymewk">
        <w:r w:rsidRPr="00000000" w:rsidR="00000000" w:rsidDel="00000000">
          <w:rPr>
            <w:color w:val="1155cc"/>
            <w:u w:val="single"/>
            <w:rtl w:val="0"/>
          </w:rPr>
          <w:t xml:space="preserve">Local-Entries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qdcalsmw36wo">
        <w:r w:rsidRPr="00000000" w:rsidR="00000000" w:rsidDel="00000000">
          <w:rPr>
            <w:color w:val="1155cc"/>
            <w:u w:val="single"/>
            <w:rtl w:val="0"/>
          </w:rPr>
          <w:t xml:space="preserve">SACL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mz10zdyrquh">
        <w:r w:rsidRPr="00000000" w:rsidR="00000000" w:rsidDel="00000000">
          <w:rPr>
            <w:color w:val="1155cc"/>
            <w:u w:val="single"/>
            <w:rtl w:val="0"/>
          </w:rPr>
          <w:t xml:space="preserve">APIs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mjilq7mpnsw">
        <w:r w:rsidRPr="00000000" w:rsidR="00000000" w:rsidDel="00000000">
          <w:rPr>
            <w:color w:val="1155cc"/>
            <w:u w:val="single"/>
            <w:rtl w:val="0"/>
          </w:rPr>
          <w:t xml:space="preserve">SACLLocation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9jtewsfb0z00">
        <w:r w:rsidRPr="00000000" w:rsidR="00000000" w:rsidDel="00000000">
          <w:rPr>
            <w:color w:val="1155cc"/>
            <w:u w:val="single"/>
            <w:rtl w:val="0"/>
          </w:rPr>
          <w:t xml:space="preserve">SACLOperatorid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ai5um9n11rmc">
        <w:r w:rsidRPr="00000000" w:rsidR="00000000" w:rsidDel="00000000">
          <w:rPr>
            <w:color w:val="1155cc"/>
            <w:u w:val="single"/>
            <w:rtl w:val="0"/>
          </w:rPr>
          <w:t xml:space="preserve">SACLPaymentSACLLocation</w:t>
          <w:br w:type="textWrapping"/>
          <w:t xml:space="preserve">SACLOperatorid</w:t>
          <w:br w:type="textWrapping"/>
          <w:t xml:space="preserve">SACLPayment</w:t>
          <w:br w:type="textWrapping"/>
          <w:t xml:space="preserve">SACLSmsmessaging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1me8wsxyy0v">
        <w:r w:rsidRPr="00000000" w:rsidR="00000000" w:rsidDel="00000000">
          <w:rPr>
            <w:color w:val="1155cc"/>
            <w:u w:val="single"/>
            <w:rtl w:val="0"/>
          </w:rPr>
          <w:t xml:space="preserve">SACLSmsmessaging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6q8zgfckuoa">
        <w:r w:rsidRPr="00000000" w:rsidR="00000000" w:rsidDel="00000000">
          <w:rPr>
            <w:color w:val="1155cc"/>
            <w:u w:val="single"/>
            <w:rtl w:val="0"/>
          </w:rPr>
          <w:t xml:space="preserve">Sequences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73pdzju3rmq">
        <w:r w:rsidRPr="00000000" w:rsidR="00000000" w:rsidDel="00000000">
          <w:rPr>
            <w:color w:val="1155cc"/>
            <w:u w:val="single"/>
            <w:rtl w:val="0"/>
          </w:rPr>
          <w:t xml:space="preserve">RequestValidation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89858odyrm8">
        <w:r w:rsidRPr="00000000" w:rsidR="00000000" w:rsidDel="00000000">
          <w:rPr>
            <w:color w:val="1155cc"/>
            <w:u w:val="single"/>
            <w:rtl w:val="0"/>
          </w:rPr>
          <w:t xml:space="preserve">TransactionLogging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w7s8htq263dl">
        <w:r w:rsidRPr="00000000" w:rsidR="00000000" w:rsidDel="00000000">
          <w:rPr>
            <w:color w:val="1155cc"/>
            <w:u w:val="single"/>
            <w:rtl w:val="0"/>
          </w:rPr>
          <w:t xml:space="preserve">TransactionLoggingPayment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wc78d5lrfrc">
        <w:r w:rsidRPr="00000000" w:rsidR="00000000" w:rsidDel="00000000">
          <w:rPr>
            <w:color w:val="1155cc"/>
            <w:u w:val="single"/>
            <w:rtl w:val="0"/>
          </w:rPr>
          <w:t xml:space="preserve">Local-Entries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of0fy1mu7vqd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t2xnu6ed3wl5" w:colLast="0"/>
      <w:bookmarkEnd w:id="1"/>
      <w:r w:rsidRPr="00000000" w:rsidR="00000000" w:rsidDel="00000000">
        <w:rPr>
          <w:rtl w:val="0"/>
        </w:rPr>
        <w:t xml:space="preserve">XOCL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an adaptor which has following functionalities.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API Conversion: Custom to Standard OneAPI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Endpoint Discovery : Done in the “Discovery Sequence”. Since Axiata wants to integrate only this part as they are already OneAPI compliant, this has done as self serving.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ub4xeqljmlne" w:colLast="0"/>
      <w:bookmarkEnd w:id="2"/>
      <w:r w:rsidRPr="00000000" w:rsidR="00000000" w:rsidDel="00000000">
        <w:rPr>
          <w:rtl w:val="0"/>
        </w:rPr>
        <w:t xml:space="preserve">APIs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" w:colFirst="0" w:name="h.hy8ts0khh110" w:colLast="0"/>
      <w:bookmarkEnd w:id="3"/>
      <w:r w:rsidRPr="00000000" w:rsidR="00000000" w:rsidDel="00000000">
        <w:rPr>
          <w:color w:val="000000"/>
          <w:rtl w:val="0"/>
        </w:rPr>
        <w:t xml:space="preserve">XOCLLocation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" w:colFirst="0" w:name="h.hy8ts0khh110" w:colLast="0"/>
      <w:bookmarkEnd w:id="3"/>
      <w:r w:rsidRPr="00000000" w:rsidR="00000000" w:rsidDel="00000000">
        <w:rPr>
          <w:color w:val="000000"/>
          <w:rtl w:val="0"/>
        </w:rPr>
        <w:t xml:space="preserve">XOCLOperatorId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" w:colFirst="0" w:name="h.hy8ts0khh110" w:colLast="0"/>
      <w:bookmarkEnd w:id="3"/>
      <w:r w:rsidRPr="00000000" w:rsidR="00000000" w:rsidDel="00000000">
        <w:rPr>
          <w:color w:val="000000"/>
          <w:rtl w:val="0"/>
        </w:rPr>
        <w:t xml:space="preserve">XOCLPayment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" w:colFirst="0" w:name="h.hy8ts0khh110" w:colLast="0"/>
      <w:bookmarkEnd w:id="3"/>
      <w:r w:rsidRPr="00000000" w:rsidR="00000000" w:rsidDel="00000000">
        <w:rPr>
          <w:color w:val="000000"/>
          <w:rtl w:val="0"/>
        </w:rPr>
        <w:t xml:space="preserve">XOCLSms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skak1sk424up" w:colLast="0"/>
      <w:bookmarkEnd w:id="4"/>
      <w:r w:rsidRPr="00000000" w:rsidR="00000000" w:rsidDel="00000000">
        <w:rPr>
          <w:rtl w:val="0"/>
        </w:rPr>
        <w:t xml:space="preserve">Sequences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" w:colFirst="0" w:name="h.hp7dj6nyvh7t" w:colLast="0"/>
      <w:bookmarkEnd w:id="5"/>
      <w:r w:rsidRPr="00000000" w:rsidR="00000000" w:rsidDel="00000000">
        <w:rPr>
          <w:color w:val="000000"/>
          <w:rtl w:val="0"/>
        </w:rPr>
        <w:t xml:space="preserve">Discovery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sequence will send a request to discovery endpoint and get discovery details and pass back to calling api/proxy-service.</w:t>
      </w:r>
      <w:r w:rsidRPr="00000000" w:rsidR="00000000" w:rsidDel="00000000">
        <w:rPr>
          <w:color w:val="980000"/>
          <w:rtl w:val="0"/>
        </w:rPr>
        <w:t xml:space="preserve"> If the request fails it will send a fault to the calling sequence.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values should be in headers in the request to this sequence,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Authorization: The application’s authorization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mccmnc: The mccmnc value of the subscriber operator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parameters taken from local-entries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exchange_do_host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ijwybt6ymewk" w:colLast="0"/>
      <w:bookmarkEnd w:id="6"/>
      <w:r w:rsidRPr="00000000" w:rsidR="00000000" w:rsidDel="00000000">
        <w:rPr>
          <w:rtl w:val="0"/>
        </w:rPr>
        <w:t xml:space="preserve">Local-Entries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exchange_do_host: This the host name for the Exchange endpoint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Reason for having endpoint and local-entry for the same endpoint is because apigee exchange directly appends to the service path.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so_endpoint: This is configured for testing purposes.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qdcalsmw36wo" w:colLast="0"/>
      <w:bookmarkEnd w:id="7"/>
      <w:r w:rsidRPr="00000000" w:rsidR="00000000" w:rsidDel="00000000">
        <w:rPr>
          <w:rtl w:val="0"/>
        </w:rPr>
        <w:t xml:space="preserve">SACL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This is an adaptor which has following functionalities.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API Conversion: Standard OneAPI to Custom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Request Validation : Done in the “RequestValidation Sequence”. Since Axiata wants to integrate only this part as they are already OneAPI compliant, this has done as self serving.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Transaction Logging: Done in the “TransactionLogging/TransactionLoggingPayment Sequence”. Since Axiata wants to integrate only this part as they are already OneAPI compliant, this has done as self serving.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6mz10zdyrquh" w:colLast="0"/>
      <w:bookmarkEnd w:id="8"/>
      <w:r w:rsidRPr="00000000" w:rsidR="00000000" w:rsidDel="00000000">
        <w:rPr>
          <w:rtl w:val="0"/>
        </w:rPr>
        <w:t xml:space="preserve">APIs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" w:colFirst="0" w:name="h.k2k47pe7lylr" w:colLast="0"/>
      <w:bookmarkEnd w:id="9"/>
      <w:r w:rsidRPr="00000000" w:rsidR="00000000" w:rsidDel="00000000">
        <w:rPr>
          <w:color w:val="000000"/>
          <w:rtl w:val="0"/>
        </w:rPr>
        <w:t xml:space="preserve">SACLLocation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" w:colFirst="0" w:name="h.71me8wsxyy0v" w:colLast="0"/>
      <w:bookmarkEnd w:id="10"/>
      <w:r w:rsidRPr="00000000" w:rsidR="00000000" w:rsidDel="00000000">
        <w:rPr>
          <w:color w:val="000000"/>
          <w:rtl w:val="0"/>
        </w:rPr>
        <w:t xml:space="preserve">SACLOperatorid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" w:colFirst="0" w:name="h.28zfyztdxmv1" w:colLast="0"/>
      <w:bookmarkEnd w:id="11"/>
      <w:r w:rsidRPr="00000000" w:rsidR="00000000" w:rsidDel="00000000">
        <w:rPr>
          <w:color w:val="000000"/>
          <w:rtl w:val="0"/>
        </w:rPr>
        <w:t xml:space="preserve">SACLPayment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" w:colFirst="0" w:name="h.71me8wsxyy0v" w:colLast="0"/>
      <w:bookmarkEnd w:id="10"/>
      <w:r w:rsidRPr="00000000" w:rsidR="00000000" w:rsidDel="00000000">
        <w:rPr>
          <w:color w:val="000000"/>
          <w:rtl w:val="0"/>
        </w:rPr>
        <w:t xml:space="preserve">SACLSmsmessaging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p6q8zgfckuoa" w:colLast="0"/>
      <w:bookmarkEnd w:id="12"/>
      <w:r w:rsidRPr="00000000" w:rsidR="00000000" w:rsidDel="00000000">
        <w:rPr>
          <w:rtl w:val="0"/>
        </w:rPr>
        <w:t xml:space="preserve">Sequences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" w:colFirst="0" w:name="h.5ywcf750gdbb" w:colLast="0"/>
      <w:bookmarkEnd w:id="13"/>
      <w:r w:rsidRPr="00000000" w:rsidR="00000000" w:rsidDel="00000000">
        <w:rPr>
          <w:color w:val="000000"/>
          <w:rtl w:val="0"/>
        </w:rPr>
        <w:t xml:space="preserve">RequestValidation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sequence validates the request from the exchange, and pass the response to the calling  artifact.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values should be in headers in the request to this sequence: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clientid: The application credentials which would have obtained in discovery call by Discovery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clientsecret: The application credentials which would have obtained in discovery call by Discovery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mccmnc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parameters taken from local-entries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exchange_so_host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parameters taken from secure-vault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exchanage_hub_credentials: The access token given to hub for accessing exchange “RequestValidation”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hub_token: The access token to access 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" w:colFirst="0" w:name="h.posj64c9v1tw" w:colLast="0"/>
      <w:bookmarkEnd w:id="14"/>
      <w:r w:rsidRPr="00000000" w:rsidR="00000000" w:rsidDel="00000000">
        <w:rPr>
          <w:color w:val="000000"/>
          <w:rtl w:val="0"/>
        </w:rPr>
        <w:t xml:space="preserve">TransactionLogging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sequence will be used by the Location, SMS and OperatorID APIs for logging. This is not handled from GSMA side but it will useful in future for cross-operator scenarios.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values should be in headers in the request to this sequence: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Please find a way to provide these details for above APIs.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transactionBatchId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tx_id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tx_status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parameters taken from local-entries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exchange_so_host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parameters taken from secure-vault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exchanage_hub_credentials: The access token given to hub for accessing exchange “RequestValidation” API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" w:colFirst="0" w:name="h.osr9r6wqx6xo" w:colLast="0"/>
      <w:bookmarkEnd w:id="15"/>
      <w:r w:rsidRPr="00000000" w:rsidR="00000000" w:rsidDel="00000000">
        <w:rPr>
          <w:color w:val="000000"/>
          <w:rtl w:val="0"/>
        </w:rPr>
        <w:t xml:space="preserve">TransactionLoggingPaymen</w:t>
      </w:r>
      <w:r w:rsidRPr="00000000" w:rsidR="00000000" w:rsidDel="00000000">
        <w:rPr>
          <w:rtl w:val="0"/>
        </w:rPr>
        <w:t xml:space="preserve">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following values should be in headers in the request to this sequence: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transactionBatchId: amountTransaction.clientCorrelator from Payment response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tx_id: amountTransaction.referenceCode from Payment response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tx_status: amountTransaction.transactionOperationStatus from Payment response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parameters taken from local-entries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exchange_so_host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parameters taken from secure-vault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exchanage_hub_credentials: The access token given to hub for accessing exchange “RequestValidation” API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qwc78d5lrfrc" w:colLast="0"/>
      <w:bookmarkEnd w:id="16"/>
      <w:r w:rsidRPr="00000000" w:rsidR="00000000" w:rsidDel="00000000">
        <w:rPr>
          <w:rtl w:val="0"/>
        </w:rPr>
        <w:t xml:space="preserve">Local-Entries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exchange_so_host: The hostname of the SO provisioned in the Exchange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hub_endpoint: The hostname of the hub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organization: The company name provisioned in the Exchange for the 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Axiata-ProtocolCoverter Documentation.docx</dc:title>
</cp:coreProperties>
</file>