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3A63"/>
          <w:sz w:val="44"/>
          <w:szCs w:val="44"/>
        </w:rPr>
        <w:t xml:space="preserve">Predictive Analytics Using Historical Data</w:t>
      </w:r>
    </w:p>
    <w:p>
      <w:pPr>
        <w:spacing w:after="60"/>
      </w:pPr>
      <w:r>
        <w:rPr>
          <w:color w:val="555555"/>
          <w:sz w:val="26"/>
          <w:szCs w:val="26"/>
        </w:rPr>
        <w:t xml:space="preserve">Forecasting Future Sales Trends — Stationery Sales Dataset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Task 3 · Due 22 Aug 2026 · Status: Completed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60"/>
      </w:pPr>
      <w:r>
        <w:t xml:space="preserve">Build a predictive model on historical stationery sales data to forecast future revenue trends. The work covers data cleaning and preprocessing, model building using regression and time-series approaches, evaluation of model accuracy, and visualization of predictions against actuals.</w:t>
      </w:r>
    </w:p>
    <w:p>
      <w:pPr>
        <w:pStyle w:val="Heading1"/>
        <w:spacing w:after="150" w:before="300"/>
      </w:pPr>
      <w:r>
        <w:t xml:space="preserve">2. Dataset &amp; Preprocessing</w:t>
      </w:r>
    </w:p>
    <w:p>
      <w:pPr>
        <w:spacing w:after="160"/>
      </w:pPr>
      <w:r>
        <w:t xml:space="preserve">The source file, stationery_sales_dataset.csv, contains 100 individual sale transactions spanning 5 January 2026 to 29 July 2026 across 4 product categories (Art &amp; Craft, Office Supplies, Paper Products, Writing), 9 brands, 5 regions, and 5 retailers.</w:t>
      </w:r>
    </w:p>
    <w:p>
      <w:pPr>
        <w:spacing w:after="160"/>
      </w:pPr>
      <w:r>
        <w:rPr>
          <w:b/>
          <w:bCs/>
        </w:rPr>
        <w:t xml:space="preserve">Cleaning and validation steps performed: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Parsed the Date column to a proper datetime 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for missing values across all 11 columns — none found.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for duplicate Sale IDs and fully duplicate rows — none found.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Cross-checked Revenue against Units Sold × Unit Price × (1 − Discount %) — all 100 rows were internally consistent (no data-entry errors).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Sorted transactions chronologically and aggregated into a weekly revenue time series (30 weekly buckets) for trend forecasting.</w:t>
      </w:r>
    </w:p>
    <w:p>
      <w:pPr>
        <w:pStyle w:val="Heading1"/>
        <w:spacing w:after="150" w:before="300"/>
      </w:pPr>
      <w:r>
        <w:t xml:space="preserve">3. Modeling Approach</w:t>
      </w:r>
    </w:p>
    <w:p>
      <w:pPr>
        <w:spacing w:after="160"/>
      </w:pPr>
      <w:r>
        <w:t xml:space="preserve">Two complementary regression approaches were used, matching the two natural questions a sales team asks:</w:t>
      </w:r>
    </w:p>
    <w:p>
      <w:pPr>
        <w:pStyle w:val="Heading2"/>
        <w:spacing w:after="120" w:before="240"/>
      </w:pPr>
      <w:r>
        <w:t xml:space="preserve">3.1 Time-series trend model (weekly revenue → future weeks)</w:t>
      </w:r>
    </w:p>
    <w:p>
      <w:pPr>
        <w:spacing w:after="160"/>
      </w:pPr>
      <w:r>
        <w:t xml:space="preserve">Weekly total revenue was modeled as a function of time using Linear Regression and a degree-2 Polynomial Regression, trained on the first 80% of weeks (24 weeks) and evaluated on the most recent 20% (6 held-out weeks) using a time-based split — the standard practice for time series, since it avoids leaking future information into training.</w:t>
      </w:r>
    </w:p>
    <w:p>
      <w:pPr>
        <w:pStyle w:val="Heading2"/>
        <w:spacing w:after="120" w:before="240"/>
      </w:pPr>
      <w:r>
        <w:t xml:space="preserve">3.2 Transaction-level regression (order attributes → revenue)</w:t>
      </w:r>
    </w:p>
    <w:p>
      <w:pPr>
        <w:spacing w:after="160"/>
      </w:pPr>
      <w:r>
        <w:t xml:space="preserve">A separate Linear Regression model predicts the revenue of an individual order from its Units Sold, Unit Price, Discount %, Category, and Region (categorical fields one-hot encoded). This model is useful for estimating expected revenue of a new order before it is booked, complementing the week-level forecast. It was trained/tested on an 80/20 random split of the 100 transactions.</w:t>
      </w:r>
    </w:p>
    <w:p>
      <w:pPr>
        <w:pStyle w:val="Heading1"/>
        <w:spacing w:after="150" w:before="300"/>
      </w:pPr>
      <w:r>
        <w:t xml:space="preserve">4. Model Accuracy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rPr>
          <w:tblHeader/>
        </w:trPr>
        <w:tc>
          <w:tcPr>
            <w:tcW w:type="dxa" w:w="2400"/>
            <w:shd w:fill="2B4C7E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60"/>
            <w:shd w:fill="2B4C7E" w:val="clear"/>
          </w:tcPr>
          <w:p>
            <w:r>
              <w:rPr>
                <w:b/>
                <w:bCs/>
                <w:color w:val="FFFFFF"/>
              </w:rPr>
              <w:t xml:space="preserve">Linear Trend (weekly)</w:t>
            </w:r>
          </w:p>
        </w:tc>
        <w:tc>
          <w:tcPr>
            <w:tcW w:type="dxa" w:w="2560"/>
            <w:shd w:fill="2B4C7E" w:val="clear"/>
          </w:tcPr>
          <w:p>
            <w:r>
              <w:rPr>
                <w:b/>
                <w:bCs/>
                <w:color w:val="FFFFFF"/>
              </w:rPr>
              <w:t xml:space="preserve">Polynomial (weekly)</w:t>
            </w:r>
          </w:p>
        </w:tc>
        <w:tc>
          <w:tcPr>
            <w:tcW w:type="dxa" w:w="2560"/>
            <w:shd w:fill="2B4C7E" w:val="clear"/>
          </w:tcPr>
          <w:p>
            <w:r>
              <w:rPr>
                <w:b/>
                <w:bCs/>
                <w:color w:val="FFFFFF"/>
              </w:rPr>
              <w:t xml:space="preserve">Transaction-level Regression</w:t>
            </w:r>
          </w:p>
        </w:tc>
      </w:tr>
      <w:tr>
        <w:tc>
          <w:tcPr>
            <w:tcW w:type="dxa" w:w="2400"/>
          </w:tcPr>
          <w:p>
            <w:r>
              <w:t xml:space="preserve">MAE (INR)</w:t>
            </w:r>
          </w:p>
        </w:tc>
        <w:tc>
          <w:tcPr>
            <w:tcW w:type="dxa" w:w="2560"/>
          </w:tcPr>
          <w:p>
            <w:r>
              <w:t xml:space="preserve">20,545</w:t>
            </w:r>
          </w:p>
        </w:tc>
        <w:tc>
          <w:tcPr>
            <w:tcW w:type="dxa" w:w="2560"/>
          </w:tcPr>
          <w:p>
            <w:r>
              <w:t xml:space="preserve">42,768</w:t>
            </w:r>
          </w:p>
        </w:tc>
        <w:tc>
          <w:tcPr>
            <w:tcW w:type="dxa" w:w="2560"/>
          </w:tcPr>
          <w:p>
            <w:r>
              <w:t xml:space="preserve">5,437</w:t>
            </w:r>
          </w:p>
        </w:tc>
      </w:tr>
      <w:tr>
        <w:tc>
          <w:tcPr>
            <w:tcW w:type="dxa" w:w="2400"/>
          </w:tcPr>
          <w:p>
            <w:r>
              <w:t xml:space="preserve">RMSE (INR)</w:t>
            </w:r>
          </w:p>
        </w:tc>
        <w:tc>
          <w:tcPr>
            <w:tcW w:type="dxa" w:w="2560"/>
          </w:tcPr>
          <w:p>
            <w:r>
              <w:t xml:space="preserve">24,624</w:t>
            </w:r>
          </w:p>
        </w:tc>
        <w:tc>
          <w:tcPr>
            <w:tcW w:type="dxa" w:w="2560"/>
          </w:tcPr>
          <w:p>
            <w:r>
              <w:t xml:space="preserve">47,878</w:t>
            </w:r>
          </w:p>
        </w:tc>
        <w:tc>
          <w:tcPr>
            <w:tcW w:type="dxa" w:w="2560"/>
          </w:tcPr>
          <w:p>
            <w:r>
              <w:t xml:space="preserve">8,800</w:t>
            </w:r>
          </w:p>
        </w:tc>
      </w:tr>
      <w:tr>
        <w:tc>
          <w:tcPr>
            <w:tcW w:type="dxa" w:w="2400"/>
          </w:tcPr>
          <w:p>
            <w:r>
              <w:t xml:space="preserve">R² (test set)</w:t>
            </w:r>
          </w:p>
        </w:tc>
        <w:tc>
          <w:tcPr>
            <w:tcW w:type="dxa" w:w="2560"/>
          </w:tcPr>
          <w:p>
            <w:r>
              <w:t xml:space="preserve">-1.92</w:t>
            </w:r>
          </w:p>
        </w:tc>
        <w:tc>
          <w:tcPr>
            <w:tcW w:type="dxa" w:w="2560"/>
          </w:tcPr>
          <w:p>
            <w:r>
              <w:t xml:space="preserve">-10.04</w:t>
            </w:r>
          </w:p>
        </w:tc>
        <w:tc>
          <w:tcPr>
            <w:tcW w:type="dxa" w:w="2560"/>
          </w:tcPr>
          <w:p>
            <w:r>
              <w:t xml:space="preserve">0.727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Reading the results honestly: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Transaction-level regression performs well (R² ≈ 0.73): order attributes like Units Sold, Unit Price, and Discount explain most of the variation in a single order's revenue, so it's reliable for estimating what a new order is worth.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weekly time-trend model performs poorly (negative R²) on the 6 held-out weeks — the Linear Trend model was still selected as the better of the two time-series options since its errors were smaller than the polynomial's. A negative R² means a flat average line would have predicted the held-out weeks better than the fitted trend.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a data-volume problem, not a technique problem: 100 transactions spread across 30 weeks average only ~3.3 sales/week, so weekly revenue swings heavily depending on which few orders happen to land in a given week (see Section 6 chart) — there isn't yet a stable week-over-week trend for a simple trend line to capture. More historical data (ideally 12+ months, aggregated monthly rather than weekly) would substantially improve trend forecasting reliability.</w:t>
      </w:r>
    </w:p>
    <w:p>
      <w:pPr>
        <w:pStyle w:val="Heading1"/>
        <w:spacing w:after="150" w:before="300"/>
      </w:pPr>
      <w:r>
        <w:t xml:space="preserve">5. Forecast — Next 6 Weeks</w:t>
      </w:r>
    </w:p>
    <w:p>
      <w:pPr>
        <w:spacing w:after="160"/>
      </w:pPr>
      <w:r>
        <w:t xml:space="preserve">Using the linear trend model refit on all 30 weeks of history, projected weekly revenue for the next 6 weeks (2 Aug – 13 Sep 2026) is approximately ₹47,000–47,400 per week, i.e. roughly flat. Given the model's weak fit (Section 4), treat this as a rough baseline rather than a precise forecast — it reflects the long-run average trend, not week-to-week swings.</w:t>
      </w:r>
    </w:p>
    <w:p>
      <w:pPr>
        <w:pStyle w:val="Heading1"/>
        <w:spacing w:after="150" w:before="300"/>
      </w:pPr>
      <w:r>
        <w:t xml:space="preserve">6. Visualizations</w:t>
      </w:r>
    </w:p>
    <w:p>
      <w:pPr>
        <w:pStyle w:val="Heading2"/>
        <w:spacing w:after="120" w:before="240"/>
      </w:pPr>
      <w:r>
        <w:t xml:space="preserve">6.1 Actual vs. Predicted vs. Forecast — Weekly Revenue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Blue: actual weekly revenue. Orange: model predictions on the 6 held-out test weeks. Green: forward forecast for the next 6 weeks. The dotted line marks the train/test split.</w:t>
      </w:r>
    </w:p>
    <w:p>
      <w:pPr>
        <w:pStyle w:val="Heading2"/>
        <w:spacing w:after="120" w:before="240"/>
      </w:pPr>
      <w:r>
        <w:t xml:space="preserve">6.2 Transaction-level Regression — Actual vs Predicted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Each point is one held-out transaction. Points closer to the diagonal line are more accurate. R² = 0.727.</w:t>
      </w:r>
    </w:p>
    <w:p>
      <w:pPr>
        <w:pStyle w:val="Heading2"/>
        <w:spacing w:after="120" w:before="240"/>
      </w:pPr>
      <w:r>
        <w:t xml:space="preserve">6.3 Model Comparison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Lower MAE/RMSE is better. The Linear Trend model outperforms the Polynomial model on held-out weeks.</w:t>
      </w:r>
    </w:p>
    <w:p>
      <w:pPr>
        <w:pStyle w:val="Heading2"/>
        <w:spacing w:after="120" w:before="240"/>
      </w:pPr>
      <w:r>
        <w:t xml:space="preserve">6.4 Monthly Revenue by Category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Revenue composition by category each month. April 2026 was the strongest month overall, driven largely by Art &amp; Craft.</w:t>
      </w:r>
    </w:p>
    <w:p>
      <w:pPr>
        <w:pStyle w:val="Heading2"/>
        <w:spacing w:after="120" w:before="240"/>
      </w:pPr>
      <w:r>
        <w:t xml:space="preserve">6.5 Residuals — Weekly Trend Model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Actual minus predicted revenue for each held-out week. Residuals scattered without a clear pattern would indicate a well-specified model; here the spread is wide, consistent with the weak R² above.</w:t>
      </w:r>
    </w:p>
    <w:p>
      <w:pPr>
        <w:pStyle w:val="Heading1"/>
        <w:spacing w:after="150" w:before="300"/>
      </w:pPr>
      <w:r>
        <w:t xml:space="preserve">7.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revenue across the dataset: ₹14,51,643 from 10,334 units sold over 100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Order-level revenue is highly predictable from order attributes (R² ≈ 0.73) — useful for quoting or budgeting individual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Week-level revenue forecasting is unreliable with the current 100-row sample — more historical data and/or monthly (rather than weekly) aggregation is recommended before using the trend forecast for planning.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April 2026 stands out as the peak revenue month, led by the Art &amp; Craft category.</w:t>
      </w:r>
    </w:p>
    <w:p>
      <w:pPr>
        <w:pStyle w:val="Heading1"/>
        <w:spacing w:after="150" w:before="300"/>
      </w:pPr>
      <w:r>
        <w:t xml:space="preserve">8. Files Delivered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analysis.py — full Python pipeline: cleaning, both models, evaluation, and chart generation (reproducible end-to-end).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weekly_revenue.csv — cleaned weekly revenue time series used for modeling.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forecast.csv — 6-week forward revenue forecast.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report (Predictive_Analytics_Report.docx).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Predictive Analytics Using Historical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436d5b428e337b3dcfa96b76bae15ab405472d.png"/><Relationship Id="rId10" Type="http://schemas.openxmlformats.org/officeDocument/2006/relationships/image" Target="media/211bef4c1b72d861d508f071c09ea1fcc0dd6b82.png"/><Relationship Id="rId11" Type="http://schemas.openxmlformats.org/officeDocument/2006/relationships/image" Target="media/76b41e851db17464d0ef8096634bc29ce96fedc7.png"/><Relationship Id="rId12" Type="http://schemas.openxmlformats.org/officeDocument/2006/relationships/image" Target="media/1daaee51fd095e7e79599cae0275933bf886af98.png"/><Relationship Id="rId13" Type="http://schemas.openxmlformats.org/officeDocument/2006/relationships/image" Target="media/eddadd5d1cf29eb21a3d20bf701ae77cb139fd0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2026-08-25T19:20:58.978Z</dcterms:created>
  <dcterms:modified xsi:type="dcterms:W3CDTF">2026-08-25T19:20:58.978Z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