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xmlns:a14="http://schemas.microsoft.com/office/drawing/2010/main" mc:Ignorable="w14 w15 w16se w16cid w16 w16cex w16sdtdh w16sdtfl w16du wp14">
  <w:body>
    <w:p w:rsidRPr="004E5F62" w:rsidR="00DB64AC" w:rsidP="3B205C64" w:rsidRDefault="00DB64AC" w14:paraId="00B13835" w14:textId="362E8E8B">
      <w:pPr>
        <w:jc w:val="center"/>
        <w:rPr>
          <w:b w:val="1"/>
          <w:bCs w:val="1"/>
          <w:color w:val="000000" w:themeColor="text1"/>
          <w:sz w:val="32"/>
          <w:szCs w:val="32"/>
        </w:rPr>
      </w:pPr>
    </w:p>
    <w:p w:rsidRPr="004E5F62" w:rsidR="00DB64AC" w:rsidP="00DB64AC" w:rsidRDefault="00DB64AC" w14:paraId="19E5A9A1" w14:textId="34216876">
      <w:pPr>
        <w:jc w:val="center"/>
        <w:rPr>
          <w:b/>
          <w:color w:val="000000" w:themeColor="text1"/>
          <w:sz w:val="32"/>
          <w:szCs w:val="32"/>
          <w:lang w:val="en-US" w:eastAsia="en-US"/>
        </w:rPr>
      </w:pPr>
      <w:r>
        <w:rPr>
          <w:b/>
          <w:color w:val="000000" w:themeColor="text1"/>
          <w:sz w:val="32"/>
          <w:szCs w:val="32"/>
        </w:rPr>
        <w:t>Robustness of Deep Learning Architectures to Joint Adversarial-Evasion and Concept-Drift Attacks in Network Intrusion Detection</w:t>
      </w:r>
    </w:p>
    <w:p w:rsidRPr="004E5F62" w:rsidR="00DB64AC" w:rsidP="00DB64AC" w:rsidRDefault="00DB64AC" w14:paraId="1AA95524" w14:textId="77777777">
      <w:pPr>
        <w:rPr>
          <w:color w:val="000000" w:themeColor="text1"/>
        </w:rPr>
      </w:pPr>
    </w:p>
    <w:p w:rsidRPr="004E5F62" w:rsidR="00DB64AC" w:rsidP="00DB64AC" w:rsidRDefault="00DB64AC" w14:paraId="6D33FCC6" w14:textId="77777777">
      <w:pPr>
        <w:jc w:val="center"/>
        <w:rPr>
          <w:b/>
          <w:color w:val="000000" w:themeColor="text1"/>
          <w:sz w:val="28"/>
          <w:szCs w:val="28"/>
        </w:rPr>
      </w:pPr>
    </w:p>
    <w:p w:rsidRPr="004E5F62" w:rsidR="00DB64AC" w:rsidP="00DB64AC" w:rsidRDefault="00DB64AC" w14:paraId="7E7528B1" w14:textId="77777777">
      <w:pPr>
        <w:jc w:val="center"/>
        <w:rPr>
          <w:b/>
          <w:color w:val="000000" w:themeColor="text1"/>
          <w:sz w:val="28"/>
          <w:szCs w:val="28"/>
        </w:rPr>
      </w:pPr>
    </w:p>
    <w:p w:rsidRPr="004E5F62" w:rsidR="00DB64AC" w:rsidP="00DB64AC" w:rsidRDefault="00DB64AC" w14:paraId="6FA71CBD" w14:textId="77777777">
      <w:pPr>
        <w:jc w:val="center"/>
        <w:rPr>
          <w:b/>
          <w:color w:val="000000" w:themeColor="text1"/>
          <w:sz w:val="28"/>
          <w:szCs w:val="28"/>
        </w:rPr>
      </w:pPr>
      <w:r>
        <w:rPr>
          <w:b/>
          <w:color w:val="000000" w:themeColor="text1"/>
          <w:sz w:val="28"/>
          <w:szCs w:val="28"/>
        </w:rPr>
        <w:t xml:space="preserve"> Synopsis/Interim/Final report on </w:t>
      </w:r>
    </w:p>
    <w:p w:rsidRPr="004E5F62" w:rsidR="00DB64AC" w:rsidP="00DB64AC" w:rsidRDefault="00DB64AC" w14:paraId="79066409" w14:textId="77777777">
      <w:pPr>
        <w:jc w:val="center"/>
        <w:rPr>
          <w:b/>
          <w:color w:val="000000" w:themeColor="text1"/>
          <w:sz w:val="28"/>
          <w:szCs w:val="28"/>
        </w:rPr>
      </w:pPr>
      <w:r>
        <w:rPr>
          <w:b/>
          <w:color w:val="000000" w:themeColor="text1"/>
          <w:sz w:val="28"/>
          <w:szCs w:val="28"/>
        </w:rPr>
        <w:t>Deep Learning Project</w:t>
      </w:r>
    </w:p>
    <w:p w:rsidRPr="004E5F62" w:rsidR="00DB64AC" w:rsidP="00DB64AC" w:rsidRDefault="00DB64AC" w14:paraId="0538A456" w14:textId="77777777">
      <w:pPr>
        <w:jc w:val="center"/>
        <w:rPr>
          <w:b/>
          <w:color w:val="000000" w:themeColor="text1"/>
          <w:sz w:val="28"/>
          <w:szCs w:val="28"/>
        </w:rPr>
      </w:pPr>
      <w:r>
        <w:rPr>
          <w:b/>
          <w:color w:val="000000" w:themeColor="text1"/>
          <w:sz w:val="28"/>
          <w:szCs w:val="28"/>
        </w:rPr>
        <w:t>[ICT-4442]</w:t>
      </w:r>
    </w:p>
    <w:p w:rsidRPr="004E5F62" w:rsidR="00DB64AC" w:rsidP="00DB64AC" w:rsidRDefault="00DB64AC" w14:paraId="69051C7B" w14:textId="77777777">
      <w:pPr>
        <w:rPr>
          <w:color w:val="000000" w:themeColor="text1"/>
        </w:rPr>
      </w:pPr>
    </w:p>
    <w:p w:rsidRPr="004E5F62" w:rsidR="00DB64AC" w:rsidP="00DB64AC" w:rsidRDefault="00DB64AC" w14:paraId="04227F17" w14:textId="77777777">
      <w:pPr>
        <w:rPr>
          <w:color w:val="000000" w:themeColor="text1"/>
          <w:sz w:val="21"/>
          <w:szCs w:val="21"/>
        </w:rPr>
      </w:pPr>
    </w:p>
    <w:p w:rsidRPr="004E5F62" w:rsidR="00DB64AC" w:rsidP="00DB64AC" w:rsidRDefault="00DB64AC" w14:paraId="3A72581E" w14:textId="77777777">
      <w:pPr>
        <w:jc w:val="center"/>
        <w:rPr>
          <w:color w:val="000000" w:themeColor="text1"/>
        </w:rPr>
      </w:pPr>
    </w:p>
    <w:p w:rsidRPr="004E5F62" w:rsidR="00DB64AC" w:rsidP="00DB64AC" w:rsidRDefault="00DB64AC" w14:paraId="4FAB4AAB" w14:textId="77777777">
      <w:pPr>
        <w:jc w:val="center"/>
        <w:rPr>
          <w:color w:val="000000" w:themeColor="text1"/>
        </w:rPr>
      </w:pPr>
    </w:p>
    <w:p w:rsidRPr="004E5F62" w:rsidR="00DB64AC" w:rsidP="00DB64AC" w:rsidRDefault="00DB64AC" w14:paraId="795C5ECE" w14:textId="77777777">
      <w:pPr>
        <w:jc w:val="center"/>
        <w:rPr>
          <w:color w:val="000000" w:themeColor="text1"/>
        </w:rPr>
      </w:pPr>
    </w:p>
    <w:p w:rsidRPr="004E5F62" w:rsidR="00DB64AC" w:rsidP="00DB64AC" w:rsidRDefault="00DB64AC" w14:paraId="67ADF91F" w14:textId="77777777">
      <w:pPr>
        <w:jc w:val="center"/>
        <w:rPr>
          <w:color w:val="000000" w:themeColor="text1"/>
          <w:sz w:val="28"/>
          <w:szCs w:val="28"/>
        </w:rPr>
      </w:pPr>
      <w:r>
        <w:rPr>
          <w:color w:val="000000" w:themeColor="text1"/>
          <w:sz w:val="28"/>
          <w:szCs w:val="28"/>
        </w:rPr>
        <w:t>Submitted By</w:t>
      </w:r>
    </w:p>
    <w:p w:rsidRPr="004E5F62" w:rsidR="00DB64AC" w:rsidP="00DB64AC" w:rsidRDefault="00DB64AC" w14:paraId="3D41626D" w14:textId="77777777">
      <w:pPr>
        <w:jc w:val="center"/>
        <w:rPr>
          <w:color w:val="000000" w:themeColor="text1"/>
          <w:sz w:val="28"/>
          <w:szCs w:val="28"/>
        </w:rPr>
      </w:pPr>
    </w:p>
    <w:p w:rsidRPr="004E5F62" w:rsidR="00DB64AC" w:rsidP="00DB64AC" w:rsidRDefault="00DB64AC" w14:paraId="183B16DF" w14:textId="77777777">
      <w:pPr>
        <w:jc w:val="center"/>
        <w:rPr>
          <w:b/>
          <w:color w:val="000000" w:themeColor="text1"/>
          <w:sz w:val="28"/>
          <w:szCs w:val="28"/>
        </w:rPr>
      </w:pPr>
      <w:r>
        <w:rPr>
          <w:b/>
          <w:color w:val="000000" w:themeColor="text1"/>
          <w:sz w:val="28"/>
          <w:szCs w:val="28"/>
        </w:rPr>
        <w:t>[Your Name &amp; Reg. No.]</w:t>
      </w:r>
    </w:p>
    <w:p w:rsidRPr="004E5F62" w:rsidR="00DB64AC" w:rsidP="3B205C64" w:rsidRDefault="00DB64AC" w14:paraId="2DE91F1D" w14:textId="6468EFBA">
      <w:pPr>
        <w:jc w:val="center"/>
        <w:rPr>
          <w:b w:val="1"/>
          <w:bCs w:val="1"/>
          <w:color w:val="000000" w:themeColor="text1"/>
          <w:sz w:val="28"/>
          <w:szCs w:val="28"/>
        </w:rPr>
      </w:pPr>
      <w:r>
        <w:rPr>
          <w:b w:val="1"/>
          <w:bCs w:val="1"/>
          <w:color w:val="000000" w:themeColor="text1" w:themeTint="FF" w:themeShade="FF"/>
          <w:sz w:val="28"/>
          <w:szCs w:val="28"/>
        </w:rPr>
        <w:t>[Teammate 2 Name &amp; Reg. No.]</w:t>
      </w:r>
    </w:p>
    <w:p w:rsidRPr="004E5F62" w:rsidR="00DB64AC" w:rsidP="00DB64AC" w:rsidRDefault="00DB64AC" w14:paraId="635B548E" w14:textId="77777777">
      <w:pPr>
        <w:jc w:val="center"/>
        <w:rPr>
          <w:b/>
          <w:color w:val="000000" w:themeColor="text1"/>
          <w:sz w:val="28"/>
          <w:szCs w:val="28"/>
        </w:rPr>
      </w:pPr>
      <w:r>
        <w:rPr>
          <w:b/>
          <w:color w:val="000000" w:themeColor="text1"/>
          <w:sz w:val="28"/>
          <w:szCs w:val="28"/>
        </w:rPr>
        <w:t>[Teammate 3 Name &amp; Reg. No.]</w:t>
      </w:r>
    </w:p>
    <w:p>
      <w:pPr>
        <w:jc w:val="center"/>
        <w:rPr>
          <w:b/>
          <w:color w:val="000000" w:themeColor="text1"/>
          <w:sz w:val="28"/>
          <w:szCs w:val="28"/>
        </w:rPr>
      </w:pPr>
      <w:r>
        <w:rPr>
          <w:b/>
          <w:color w:val="000000" w:themeColor="text1"/>
          <w:sz w:val="28"/>
          <w:szCs w:val="28"/>
        </w:rPr>
        <w:t>[Teammate 4 Name &amp; Reg. No.]</w:t>
      </w:r>
    </w:p>
    <w:p w:rsidRPr="004E5F62" w:rsidR="00DB64AC" w:rsidP="00DB64AC" w:rsidRDefault="00DB64AC" w14:paraId="41C7AE31" w14:textId="77777777">
      <w:pPr>
        <w:rPr>
          <w:color w:val="000000" w:themeColor="text1"/>
          <w:sz w:val="22"/>
          <w:szCs w:val="22"/>
        </w:rPr>
      </w:pPr>
    </w:p>
    <w:p w:rsidRPr="004E5F62" w:rsidR="00DB64AC" w:rsidP="00DB64AC" w:rsidRDefault="00DB64AC" w14:paraId="24726924" w14:textId="77777777">
      <w:pPr>
        <w:rPr>
          <w:color w:val="000000" w:themeColor="text1"/>
        </w:rPr>
      </w:pPr>
    </w:p>
    <w:p w:rsidRPr="004E5F62" w:rsidR="00DB64AC" w:rsidP="00DB64AC" w:rsidRDefault="00DB64AC" w14:paraId="54384DAA" w14:textId="77777777">
      <w:pPr>
        <w:jc w:val="center"/>
        <w:rPr>
          <w:color w:val="000000" w:themeColor="text1"/>
        </w:rPr>
      </w:pPr>
    </w:p>
    <w:p w:rsidRPr="004E5F62" w:rsidR="00DB64AC" w:rsidP="00DB64AC" w:rsidRDefault="00DB64AC" w14:paraId="0F084675" w14:textId="77777777">
      <w:pPr>
        <w:jc w:val="center"/>
        <w:rPr>
          <w:color w:val="000000" w:themeColor="text1"/>
        </w:rPr>
      </w:pPr>
    </w:p>
    <w:p w:rsidRPr="004E5F62" w:rsidR="00DB64AC" w:rsidP="00DB64AC" w:rsidRDefault="00DB64AC" w14:paraId="4B83A5DC" w14:textId="77777777">
      <w:pPr>
        <w:rPr>
          <w:color w:val="000000" w:themeColor="text1"/>
        </w:rPr>
      </w:pPr>
    </w:p>
    <w:p w:rsidRPr="004E5F62" w:rsidR="00DB64AC" w:rsidP="00DB64AC" w:rsidRDefault="00DB64AC" w14:paraId="147EBAF9" w14:textId="77777777">
      <w:pPr>
        <w:rPr>
          <w:color w:val="000000" w:themeColor="text1"/>
        </w:rPr>
      </w:pPr>
    </w:p>
    <w:p w:rsidRPr="004E5F62" w:rsidR="00DB64AC" w:rsidP="00DB64AC" w:rsidRDefault="00DB64AC" w14:paraId="5CD791F6" w14:textId="77777777">
      <w:pPr>
        <w:jc w:val="center"/>
        <w:rPr>
          <w:color w:val="000000" w:themeColor="text1"/>
        </w:rPr>
      </w:pPr>
    </w:p>
    <w:p w:rsidRPr="004E5F62" w:rsidR="00DB64AC" w:rsidP="00DB64AC" w:rsidRDefault="00DB64AC" w14:paraId="55076A59" w14:textId="77777777">
      <w:pPr>
        <w:jc w:val="center"/>
        <w:rPr>
          <w:color w:val="000000" w:themeColor="text1"/>
        </w:rPr>
      </w:pPr>
      <w:r>
        <w:rPr>
          <w:noProof/>
          <w:color w:val="000000" w:themeColor="text1"/>
        </w:rPr>
        <w:drawing>
          <wp:inline distT="0" distB="0" distL="0" distR="0" wp14:anchorId="5C059F9F" wp14:editId="5EC97698">
            <wp:extent cx="4127500" cy="1104900"/>
            <wp:effectExtent l="0" t="0" r="0" b="0"/>
            <wp:docPr id="1" name="Picture 1" descr="Manipal Academy of Higher Education - We are happy to announce that @MAHE  Manipal has been selected as one of the 9 Cochrane Affiliate Centres in  India. We are committed to work"/>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Manipal Academy of Higher Education - We are happy to announce that @MAHE  Manipal has been selected as one of the 9 Cochrane Affiliate Centres in  India. We are committed to work"/>
                    <pic:cNvPicPr>
                      <a:picLocks/>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27500" cy="1104900"/>
                    </a:xfrm>
                    <a:prstGeom prst="rect">
                      <a:avLst/>
                    </a:prstGeom>
                    <a:noFill/>
                    <a:ln>
                      <a:noFill/>
                    </a:ln>
                  </pic:spPr>
                </pic:pic>
              </a:graphicData>
            </a:graphic>
          </wp:inline>
        </w:drawing>
      </w:r>
    </w:p>
    <w:p w:rsidRPr="004E5F62" w:rsidR="00DB64AC" w:rsidP="00DB64AC" w:rsidRDefault="00DB64AC" w14:paraId="1887CC53" w14:textId="77777777">
      <w:pPr>
        <w:rPr>
          <w:color w:val="000000" w:themeColor="text1"/>
        </w:rPr>
      </w:pPr>
    </w:p>
    <w:p w:rsidRPr="004E5F62" w:rsidR="00DB64AC" w:rsidP="00DB64AC" w:rsidRDefault="00DB64AC" w14:paraId="2CB64686" w14:textId="77777777">
      <w:pPr>
        <w:rPr>
          <w:color w:val="000000" w:themeColor="text1"/>
        </w:rPr>
      </w:pPr>
    </w:p>
    <w:p w:rsidRPr="004E5F62" w:rsidR="00DB64AC" w:rsidP="00DB64AC" w:rsidRDefault="00DB64AC" w14:paraId="34D395AA" w14:textId="77777777">
      <w:pPr>
        <w:rPr>
          <w:color w:val="000000" w:themeColor="text1"/>
        </w:rPr>
      </w:pPr>
    </w:p>
    <w:p w:rsidRPr="004E5F62" w:rsidR="00DB64AC" w:rsidP="00DB64AC" w:rsidRDefault="00DB64AC" w14:paraId="67BC4943" w14:textId="77777777">
      <w:pPr>
        <w:rPr>
          <w:color w:val="000000" w:themeColor="text1"/>
        </w:rPr>
      </w:pPr>
    </w:p>
    <w:p w:rsidRPr="004E5F62" w:rsidR="00DB64AC" w:rsidP="00DB64AC" w:rsidRDefault="00DB64AC" w14:paraId="3D536D3A" w14:textId="77777777">
      <w:pPr>
        <w:rPr>
          <w:color w:val="000000" w:themeColor="text1"/>
          <w:sz w:val="28"/>
          <w:szCs w:val="28"/>
        </w:rPr>
      </w:pPr>
    </w:p>
    <w:p w:rsidRPr="004E5F62" w:rsidR="00DB64AC" w:rsidP="00DB64AC" w:rsidRDefault="00DB64AC" w14:paraId="44921466" w14:textId="77777777">
      <w:pPr>
        <w:tabs>
          <w:tab w:val="left" w:pos="4455"/>
        </w:tabs>
        <w:jc w:val="center"/>
        <w:rPr>
          <w:b/>
          <w:color w:val="000000" w:themeColor="text1"/>
          <w:sz w:val="28"/>
          <w:szCs w:val="28"/>
        </w:rPr>
      </w:pPr>
      <w:r>
        <w:rPr>
          <w:b/>
          <w:color w:val="000000" w:themeColor="text1"/>
          <w:sz w:val="28"/>
          <w:szCs w:val="28"/>
        </w:rPr>
        <w:t>SCHOOL OF COMPUTER ENGINEERING</w:t>
      </w:r>
    </w:p>
    <w:p w:rsidRPr="004E5F62" w:rsidR="00DB64AC" w:rsidP="00DB64AC" w:rsidRDefault="00DB64AC" w14:paraId="33256E17" w14:textId="77777777">
      <w:pPr>
        <w:tabs>
          <w:tab w:val="left" w:pos="4455"/>
        </w:tabs>
        <w:jc w:val="center"/>
        <w:rPr>
          <w:b/>
          <w:color w:val="000000" w:themeColor="text1"/>
          <w:sz w:val="28"/>
          <w:szCs w:val="28"/>
        </w:rPr>
      </w:pPr>
      <w:r>
        <w:rPr>
          <w:b/>
          <w:color w:val="000000" w:themeColor="text1"/>
          <w:sz w:val="28"/>
          <w:szCs w:val="28"/>
        </w:rPr>
        <w:t xml:space="preserve">MANIPAL INSTITUTE OF TECHNOLOGY, </w:t>
      </w:r>
    </w:p>
    <w:p w:rsidRPr="004E5F62" w:rsidR="00DB64AC" w:rsidP="00DB64AC" w:rsidRDefault="00DB64AC" w14:paraId="3DFD2473" w14:textId="77777777">
      <w:pPr>
        <w:tabs>
          <w:tab w:val="left" w:pos="4455"/>
        </w:tabs>
        <w:jc w:val="center"/>
        <w:rPr>
          <w:b/>
          <w:color w:val="000000" w:themeColor="text1"/>
        </w:rPr>
      </w:pPr>
      <w:r>
        <w:rPr>
          <w:b/>
          <w:color w:val="000000" w:themeColor="text1"/>
          <w:sz w:val="28"/>
          <w:szCs w:val="28"/>
        </w:rPr>
        <w:t>MANIPAL ACADEMY OF HIGHER EDUCATION</w:t>
      </w:r>
    </w:p>
    <w:p w:rsidRPr="004E5F62" w:rsidR="00DB64AC" w:rsidP="00DB64AC" w:rsidRDefault="00DB64AC" w14:paraId="4270813E" w14:textId="77777777">
      <w:pPr>
        <w:jc w:val="center"/>
        <w:rPr>
          <w:b/>
          <w:color w:val="000000" w:themeColor="text1"/>
          <w:sz w:val="22"/>
          <w:szCs w:val="22"/>
        </w:rPr>
      </w:pPr>
    </w:p>
    <w:p w:rsidRPr="004E5F62" w:rsidR="00BD1C77" w:rsidP="00DB64AC" w:rsidRDefault="00DB64AC" w14:paraId="270CB657" w14:textId="390A17D2">
      <w:pPr>
        <w:jc w:val="center"/>
        <w:rPr>
          <w:b/>
          <w:color w:val="000000" w:themeColor="text1"/>
          <w:sz w:val="22"/>
          <w:szCs w:val="22"/>
        </w:rPr>
      </w:pPr>
      <w:r>
        <w:rPr>
          <w:b/>
          <w:color w:val="000000" w:themeColor="text1"/>
          <w:sz w:val="22"/>
          <w:szCs w:val="22"/>
        </w:rPr>
        <w:t>August 2026</w:t>
      </w:r>
      <w:r>
        <w:rPr>
          <w:b/>
          <w:bCs/>
          <w:color w:val="000000" w:themeColor="text1"/>
        </w:rPr>
        <w:br w:type="page"/>
      </w:r>
    </w:p>
    <w:p w:rsidRPr="004E5F62" w:rsidR="00936A11" w:rsidRDefault="00000000" w14:paraId="35EC9C66" w14:textId="352EB0FC">
      <w:pPr>
        <w:pStyle w:val="Heading1"/>
        <w:spacing w:before="280" w:after="120"/>
        <w:rPr>
          <w:color w:val="000000" w:themeColor="text1"/>
        </w:rPr>
      </w:pPr>
      <w:r>
        <w:rPr>
          <w:b/>
          <w:bCs/>
          <w:color w:val="000000" w:themeColor="text1"/>
        </w:rPr>
        <w:lastRenderedPageBreak/>
        <w:t xml:space="preserve">PART A : SYNOPSIS TEMPLATE  (Phase 1, due Tue, 25 Aug 2026)</w:t>
      </w:r>
    </w:p>
    <w:p w:rsidRPr="004E5F62" w:rsidR="00936A11" w:rsidRDefault="00000000" w14:paraId="5138BAD0" w14:textId="77777777">
      <w:pPr>
        <w:spacing w:after="100"/>
        <w:rPr>
          <w:color w:val="000000" w:themeColor="text1"/>
        </w:rPr>
      </w:pPr>
      <w:r>
        <w:rPr>
          <w:color w:val="000000" w:themeColor="text1"/>
          <w:sz w:val="21"/>
          <w:szCs w:val="21"/>
        </w:rPr>
        <w:t>Fill in every field below. Keep the synopsis to 1–2 pages.</w:t>
      </w:r>
    </w:p>
    <w:p w:rsidRPr="004E5F62" w:rsidR="00936A11" w:rsidP="00D2661A" w:rsidRDefault="00000000" w14:paraId="08639B87" w14:textId="77777777">
      <w:pPr>
        <w:spacing w:after="140" w:line="360" w:lineRule="auto"/>
        <w:rPr>
          <w:color w:val="000000" w:themeColor="text1"/>
          <w:sz w:val="22"/>
          <w:szCs w:val="22"/>
        </w:rPr>
      </w:pPr>
      <w:r>
        <w:rPr>
          <w:b/>
          <w:bCs/>
          <w:color w:val="000000" w:themeColor="text1"/>
          <w:sz w:val="24"/>
          <w:szCs w:val="24"/>
        </w:rPr>
        <w:t>Team No. and Names (with Registration Numbers):</w:t>
      </w:r>
    </w:p>
    <w:p>
      <w:pPr>
        <w:spacing w:after="140" w:line="360" w:lineRule="auto"/>
        <w:rPr>
          <w:color w:val="000000" w:themeColor="text1"/>
          <w:sz w:val="22"/>
          <w:szCs w:val="22"/>
        </w:rPr>
      </w:pPr>
      <w:r>
        <w:rPr>
          <w:color w:val="000000" w:themeColor="text1"/>
          <w:sz w:val="22"/>
          <w:szCs w:val="22"/>
        </w:rPr>
        <w:t xml:space="preserve">Team No.: [__]   |   Members: [Your Name &amp; Reg. No.], [Teammate 2 Name &amp; Reg. No.], [Teammate 3 Name &amp; Reg. No.], [Teammate 4 Name &amp; Reg. No.]</w:t>
      </w:r>
    </w:p>
    <w:p w:rsidRPr="004E5F62" w:rsidR="00936A11" w:rsidP="00D2661A" w:rsidRDefault="00000000" w14:paraId="705234F9" w14:textId="77777777">
      <w:pPr>
        <w:spacing w:after="140" w:line="360" w:lineRule="auto"/>
        <w:rPr>
          <w:color w:val="000000" w:themeColor="text1"/>
          <w:sz w:val="22"/>
          <w:szCs w:val="22"/>
        </w:rPr>
      </w:pPr>
      <w:r>
        <w:rPr>
          <w:b/>
          <w:bCs/>
          <w:color w:val="000000" w:themeColor="text1"/>
          <w:sz w:val="24"/>
          <w:szCs w:val="24"/>
        </w:rPr>
        <w:t>Title of the Project:</w:t>
      </w:r>
    </w:p>
    <w:p>
      <w:pPr>
        <w:spacing w:after="140" w:line="360" w:lineRule="auto"/>
        <w:rPr>
          <w:color w:val="000000" w:themeColor="text1"/>
          <w:sz w:val="22"/>
          <w:szCs w:val="22"/>
        </w:rPr>
      </w:pPr>
      <w:r>
        <w:rPr>
          <w:color w:val="000000" w:themeColor="text1"/>
          <w:sz w:val="22"/>
          <w:szCs w:val="22"/>
        </w:rPr>
        <w:t xml:space="preserve">Robustness of Deep Learning Architectures to Joint Adversarial-Evasion and Concept-Drift Attacks in Network Intrusion Detection</w:t>
      </w:r>
    </w:p>
    <w:p w:rsidRPr="004E5F62" w:rsidR="00936A11" w:rsidP="00D2661A" w:rsidRDefault="00000000" w14:paraId="1CC737BC" w14:textId="77777777">
      <w:pPr>
        <w:spacing w:after="140" w:line="360" w:lineRule="auto"/>
        <w:rPr>
          <w:color w:val="000000" w:themeColor="text1"/>
          <w:sz w:val="22"/>
          <w:szCs w:val="22"/>
        </w:rPr>
      </w:pPr>
      <w:r>
        <w:rPr>
          <w:b/>
          <w:bCs/>
          <w:color w:val="000000" w:themeColor="text1"/>
          <w:sz w:val="24"/>
          <w:szCs w:val="24"/>
        </w:rPr>
        <w:t>Brief Description of the Project (not more than 500 words):</w:t>
      </w:r>
    </w:p>
    <w:p>
      <w:pPr>
        <w:spacing w:after="140" w:line="360" w:lineRule="auto"/>
        <w:rPr>
          <w:color w:val="000000" w:themeColor="text1"/>
          <w:sz w:val="22"/>
          <w:szCs w:val="22"/>
        </w:rPr>
      </w:pPr>
      <w:r>
        <w:rPr>
          <w:color w:val="000000" w:themeColor="text1"/>
          <w:sz w:val="22"/>
          <w:szCs w:val="22"/>
        </w:rPr>
        <w:t xml:space="preserve">Machine-learning-based Network Intrusion Detection Systems (NIDS) degrade under concept drift and separately face adversarial evasion, where attackers craft perturbations to slip malicious traffic past the classifier. Prior work treats these as two separate problems: Kuppa &amp; Le-Khac (2022) build a drift-robust detector but evade it using two decoupled attack stages (a classifier attack, then a separate manifold-constraint step) rather than one unified attack. Separately, Xu et al. (2022) show that general statistical two-sample tests (the class of test underlying most drift detectors) can be attacked with a single differentiable, jointly optimized loss, but this was never applied under the strict problem-space constraints of real network traffic (non-negative counts, immutable protocol fields), as formalized by Pierazzi et al. (2020).</w:t>
      </w:r>
    </w:p>
    <w:p>
      <w:pPr>
        <w:spacing w:after="140" w:line="360" w:lineRule="auto"/>
        <w:rPr>
          <w:color w:val="000000" w:themeColor="text1"/>
          <w:sz w:val="22"/>
          <w:szCs w:val="22"/>
        </w:rPr>
      </w:pPr>
      <w:r>
        <w:rPr>
          <w:color w:val="000000" w:themeColor="text1"/>
          <w:sz w:val="22"/>
          <w:szCs w:val="22"/>
        </w:rPr>
        <w:t xml:space="preserve">This project adapts Xu et al.'s joint attack framework to NIDS problem-space constraints, producing a single differentiable objective (classifier loss + λ · drift-proxy loss, optimized jointly) that simultaneously pushes a sample past the classifier and past a statistical drift detector, in one optimization pass rather than two decoupled stages. We construct a decoupled baseline that mirrors Kuppa &amp; Le-Khac's own two-stage evaluation methodology (a classifier-evasion PGD step, then a separate manifold-constrained drift step) and benchmark our joint attack against it as a common adversarial stress-test to compare four deep learning architecture families for NIDS classification: a feedforward MLP baseline, a 1D-CNN over flow features, an LSTM over sequential flow statistics, and an attention-based (Transformer) classifier, evaluated on CIC-IDS2018.</w:t>
      </w:r>
    </w:p>
    <w:p w:rsidRPr="004E5F62" w:rsidR="00936A11" w:rsidP="00D2661A" w:rsidRDefault="00000000" w14:paraId="21B1E3C4" w14:textId="274239CF">
      <w:pPr>
        <w:spacing w:after="140" w:line="360" w:lineRule="auto"/>
        <w:rPr>
          <w:color w:val="000000" w:themeColor="text1"/>
          <w:sz w:val="22"/>
          <w:szCs w:val="22"/>
        </w:rPr>
      </w:pPr>
      <w:r>
        <w:rPr>
          <w:b/>
          <w:bCs/>
          <w:color w:val="000000" w:themeColor="text1"/>
          <w:sz w:val="24"/>
          <w:szCs w:val="24"/>
        </w:rPr>
        <w:t>Dataset(s) Identified (with details of the dataset):</w:t>
      </w:r>
    </w:p>
    <w:p>
      <w:pPr>
        <w:spacing w:after="140" w:line="360" w:lineRule="auto"/>
        <w:rPr>
          <w:color w:val="000000" w:themeColor="text1"/>
          <w:sz w:val="22"/>
          <w:szCs w:val="22"/>
        </w:rPr>
      </w:pPr>
      <w:r>
        <w:rPr>
          <w:color w:val="000000" w:themeColor="text1"/>
          <w:sz w:val="22"/>
          <w:szCs w:val="22"/>
        </w:rPr>
        <w:t xml:space="preserve">CSE-CIC-IDS2018 (jointly developed by the Canadian Institute for Cybersecurity and Canada's Communications Security Establishment): labeled network traffic covering benign and multiple attack categories (DoS, DDoS, brute force, infiltration, botnet, web attacks), extracted via CICFlowMeter into ~80 flow-level features (duration, byte/packet counts, inter-arrival statistics, flag counts, etc.). Widely used NIDS benchmark, large enough to support clean training and drift/adversarial evaluation splits. Known label-corruption issues (~7.5% of flows) documented by Liu et al. (2022); we'll use their corrected release rather than the raw original.</w:t>
      </w:r>
    </w:p>
    <w:p w:rsidRPr="004E5F62" w:rsidR="00936A11" w:rsidP="00D2661A" w:rsidRDefault="00000000" w14:paraId="407BA015" w14:textId="435659AE">
      <w:pPr>
        <w:spacing w:after="140" w:line="360" w:lineRule="auto"/>
        <w:rPr>
          <w:color w:val="000000" w:themeColor="text1"/>
          <w:sz w:val="22"/>
          <w:szCs w:val="22"/>
        </w:rPr>
      </w:pPr>
      <w:r>
        <w:rPr>
          <w:b/>
          <w:bCs/>
          <w:color w:val="000000" w:themeColor="text1"/>
          <w:sz w:val="24"/>
          <w:szCs w:val="24"/>
        </w:rPr>
        <w:t>Proposed Models for Comparison (3–4, spanning different architecture families, e.g., a classical/MLP baseline, a CNN variant, an RNN/LSTM variant, or an attention-based model):</w:t>
      </w:r>
    </w:p>
    <w:p>
      <w:pPr>
        <w:pStyle w:val="ListParagraph"/>
        <w:numPr>
          <w:ilvl w:val="0"/>
          <w:numId w:val="3"/>
        </w:numPr>
        <w:spacing w:after="80"/>
        <w:rPr>
          <w:color w:val="000000" w:themeColor="text1"/>
          <w:sz w:val="22"/>
          <w:szCs w:val="22"/>
        </w:rPr>
      </w:pPr>
      <w:r>
        <w:rPr>
          <w:color w:val="000000" w:themeColor="text1"/>
          <w:sz w:val="22"/>
          <w:szCs w:val="22"/>
        </w:rPr>
        <w:t xml:space="preserve">Model 1: MLP baseline (classical / feedforward)</w:t>
      </w:r>
    </w:p>
    <w:p>
      <w:pPr>
        <w:pStyle w:val="ListParagraph"/>
        <w:numPr>
          <w:ilvl w:val="0"/>
          <w:numId w:val="3"/>
        </w:numPr>
        <w:spacing w:after="80"/>
        <w:rPr>
          <w:color w:val="000000" w:themeColor="text1"/>
          <w:sz w:val="22"/>
          <w:szCs w:val="22"/>
        </w:rPr>
      </w:pPr>
      <w:r>
        <w:rPr>
          <w:color w:val="000000" w:themeColor="text1"/>
          <w:sz w:val="22"/>
          <w:szCs w:val="22"/>
        </w:rPr>
        <w:t xml:space="preserve">Model 2: 1D-CNN over flow features (convolutional)</w:t>
      </w:r>
    </w:p>
    <w:p>
      <w:pPr>
        <w:pStyle w:val="ListParagraph"/>
        <w:numPr>
          <w:ilvl w:val="0"/>
          <w:numId w:val="3"/>
        </w:numPr>
        <w:spacing w:after="80"/>
        <w:rPr>
          <w:color w:val="000000" w:themeColor="text1"/>
          <w:sz w:val="22"/>
          <w:szCs w:val="22"/>
        </w:rPr>
      </w:pPr>
      <w:r>
        <w:rPr>
          <w:color w:val="000000" w:themeColor="text1"/>
          <w:sz w:val="22"/>
          <w:szCs w:val="22"/>
        </w:rPr>
        <w:t xml:space="preserve">Model 3: LSTM over sequential flow statistics (recurrent)</w:t>
      </w:r>
    </w:p>
    <w:p>
      <w:pPr>
        <w:pStyle w:val="ListParagraph"/>
        <w:numPr>
          <w:ilvl w:val="0"/>
          <w:numId w:val="3"/>
        </w:numPr>
        <w:spacing w:after="80"/>
        <w:rPr>
          <w:color w:val="000000" w:themeColor="text1"/>
          <w:sz w:val="22"/>
          <w:szCs w:val="22"/>
        </w:rPr>
      </w:pPr>
      <w:r>
        <w:rPr>
          <w:color w:val="000000" w:themeColor="text1"/>
          <w:sz w:val="22"/>
          <w:szCs w:val="22"/>
        </w:rPr>
        <w:t xml:space="preserve">Model 4: Transformer / self-attention classifier (attention-based)</w:t>
      </w:r>
    </w:p>
    <w:p>
      <w:pPr>
        <w:spacing w:after="140" w:line="360" w:lineRule="auto"/>
        <w:rPr>
          <w:color w:val="000000" w:themeColor="text1"/>
          <w:sz w:val="22"/>
          <w:szCs w:val="22"/>
        </w:rPr>
      </w:pPr>
      <w:r>
        <w:rPr>
          <w:color w:val="000000" w:themeColor="text1"/>
          <w:sz w:val="22"/>
          <w:szCs w:val="22"/>
        </w:rPr>
        <w:t xml:space="preserve">All four trained and evaluated under an identical protocol: same train/val/test split, same clean metrics (accuracy, precision/recall/macro-F1), then the same adversarial stress-test (decoupled vs. joint attack) with Classifier Evasion Rate, Drift Detection Rate, and Constraint Violation Rate (attack success = higher Classifier Evasion Rate and lower Drift Detection Rate; Constraint Violation Rate must be 0% for a sample to count as valid). The drift detector under attack is a KS-test-based (or MMD-based) statistic over per-window feature/score distributions; a constraint violation is any sample that alters an immutable feature (e.g., destination port, protocol) or takes a logically invalid value (e.g., negative packet count). All three adversarial metrics reported as mean ± standard deviation over multiple random seeds.</w:t>
      </w:r>
    </w:p>
    <w:p w:rsidRPr="004E5F62" w:rsidR="00936A11" w:rsidP="00D2661A" w:rsidRDefault="00000000" w14:paraId="61B92336" w14:textId="77777777">
      <w:pPr>
        <w:spacing w:after="140" w:line="360" w:lineRule="auto"/>
        <w:rPr>
          <w:color w:val="000000" w:themeColor="text1"/>
          <w:sz w:val="22"/>
          <w:szCs w:val="22"/>
        </w:rPr>
      </w:pPr>
      <w:r>
        <w:rPr>
          <w:b/>
          <w:bCs/>
          <w:color w:val="000000" w:themeColor="text1"/>
          <w:sz w:val="24"/>
          <w:szCs w:val="24"/>
        </w:rPr>
        <w:t>Model-to-Member Assignment (one model/task per member):</w:t>
      </w:r>
    </w:p>
    <w:p>
      <w:pPr>
        <w:pStyle w:val="ListParagraph"/>
        <w:numPr>
          <w:ilvl w:val="0"/>
          <w:numId w:val="3"/>
        </w:numPr>
        <w:spacing w:after="80"/>
        <w:rPr>
          <w:color w:val="000000" w:themeColor="text1"/>
          <w:sz w:val="22"/>
          <w:szCs w:val="22"/>
        </w:rPr>
      </w:pPr>
      <w:r>
        <w:rPr>
          <w:color w:val="000000" w:themeColor="text1"/>
          <w:sz w:val="22"/>
          <w:szCs w:val="22"/>
        </w:rPr>
        <w:t xml:space="preserve">Model 1 (MLP baseline): [Member 1 Name]</w:t>
      </w:r>
    </w:p>
    <w:p>
      <w:pPr>
        <w:pStyle w:val="ListParagraph"/>
        <w:numPr>
          <w:ilvl w:val="0"/>
          <w:numId w:val="3"/>
        </w:numPr>
        <w:spacing w:after="80"/>
        <w:rPr>
          <w:color w:val="000000" w:themeColor="text1"/>
          <w:sz w:val="22"/>
          <w:szCs w:val="22"/>
        </w:rPr>
      </w:pPr>
      <w:r>
        <w:rPr>
          <w:color w:val="000000" w:themeColor="text1"/>
          <w:sz w:val="22"/>
          <w:szCs w:val="22"/>
        </w:rPr>
        <w:t xml:space="preserve">Model 2 (1D-CNN): [Member 2 Name]</w:t>
      </w:r>
    </w:p>
    <w:p>
      <w:pPr>
        <w:pStyle w:val="ListParagraph"/>
        <w:numPr>
          <w:ilvl w:val="0"/>
          <w:numId w:val="3"/>
        </w:numPr>
        <w:spacing w:after="80"/>
        <w:rPr>
          <w:color w:val="000000" w:themeColor="text1"/>
          <w:sz w:val="22"/>
          <w:szCs w:val="22"/>
        </w:rPr>
      </w:pPr>
      <w:r>
        <w:rPr>
          <w:color w:val="000000" w:themeColor="text1"/>
          <w:sz w:val="22"/>
          <w:szCs w:val="22"/>
        </w:rPr>
        <w:t xml:space="preserve">Model 3 (LSTM): [Member 3 Name]</w:t>
      </w:r>
    </w:p>
    <w:p>
      <w:pPr>
        <w:pStyle w:val="ListParagraph"/>
        <w:numPr>
          <w:ilvl w:val="0"/>
          <w:numId w:val="3"/>
        </w:numPr>
        <w:spacing w:after="80"/>
        <w:rPr>
          <w:color w:val="000000" w:themeColor="text1"/>
          <w:sz w:val="22"/>
          <w:szCs w:val="22"/>
        </w:rPr>
      </w:pPr>
      <w:r>
        <w:rPr>
          <w:color w:val="000000" w:themeColor="text1"/>
          <w:sz w:val="22"/>
          <w:szCs w:val="22"/>
        </w:rPr>
        <w:t xml:space="preserve">Model 4 (Transformer): [Member 4 Name]</w:t>
      </w:r>
    </w:p>
    <w:p>
      <w:pPr>
        <w:pStyle w:val="ListParagraph"/>
        <w:numPr>
          <w:ilvl w:val="0"/>
          <w:numId w:val="3"/>
        </w:numPr>
        <w:spacing w:after="80"/>
        <w:rPr>
          <w:color w:val="000000" w:themeColor="text1"/>
          <w:sz w:val="22"/>
          <w:szCs w:val="22"/>
        </w:rPr>
      </w:pPr>
      <w:r>
        <w:rPr>
          <w:color w:val="000000" w:themeColor="text1"/>
          <w:sz w:val="22"/>
          <w:szCs w:val="22"/>
        </w:rPr>
        <w:t xml:space="preserve">Attack framework (decoupled baseline + joint attack implementation): co-owned by [assign 1–2 members explicitly]; this is the hardest single piece of work and should not be left as an unassigned "shared" task</w:t>
      </w:r>
    </w:p>
    <w:p w:rsidRPr="004E5F62" w:rsidR="00936A11" w:rsidP="00D2661A" w:rsidRDefault="00000000" w14:paraId="1688C9CD" w14:textId="77777777">
      <w:pPr>
        <w:spacing w:after="140" w:line="360" w:lineRule="auto"/>
        <w:rPr>
          <w:color w:val="000000" w:themeColor="text1"/>
          <w:sz w:val="22"/>
          <w:szCs w:val="22"/>
        </w:rPr>
      </w:pPr>
      <w:r>
        <w:rPr>
          <w:b/>
          <w:bCs/>
          <w:color w:val="000000" w:themeColor="text1"/>
          <w:sz w:val="24"/>
          <w:szCs w:val="24"/>
        </w:rPr>
        <w:t>Existing State-of-the-Art Method(s) Related to the Proposed Project:</w:t>
      </w:r>
    </w:p>
    <w:p>
      <w:pPr>
        <w:pStyle w:val="ListParagraph"/>
        <w:numPr>
          <w:ilvl w:val="0"/>
          <w:numId w:val="3"/>
        </w:numPr>
        <w:spacing w:after="80"/>
        <w:rPr>
          <w:color w:val="000000" w:themeColor="text1"/>
          <w:sz w:val="22"/>
          <w:szCs w:val="22"/>
        </w:rPr>
      </w:pPr>
      <w:r>
        <w:rPr>
          <w:color w:val="000000" w:themeColor="text1"/>
          <w:sz w:val="22"/>
          <w:szCs w:val="22"/>
        </w:rPr>
        <w:t xml:space="preserve">Pierazzi et al. (2020): formalizes problem-space vs. feature-space adversarial constraints</w:t>
      </w:r>
    </w:p>
    <w:p>
      <w:pPr>
        <w:pStyle w:val="ListParagraph"/>
        <w:numPr>
          <w:ilvl w:val="0"/>
          <w:numId w:val="3"/>
        </w:numPr>
        <w:spacing w:after="80"/>
        <w:rPr>
          <w:color w:val="000000" w:themeColor="text1"/>
          <w:sz w:val="22"/>
          <w:szCs w:val="22"/>
        </w:rPr>
      </w:pPr>
      <w:r>
        <w:rPr>
          <w:color w:val="000000" w:themeColor="text1"/>
          <w:sz w:val="22"/>
          <w:szCs w:val="22"/>
        </w:rPr>
        <w:t xml:space="preserve">Korycki &amp; Krawczyk (2020): formal distinction between ordinary and adversarial concept drift</w:t>
      </w:r>
    </w:p>
    <w:p>
      <w:pPr>
        <w:pStyle w:val="ListParagraph"/>
        <w:numPr>
          <w:ilvl w:val="0"/>
          <w:numId w:val="3"/>
        </w:numPr>
        <w:spacing w:after="80"/>
        <w:rPr>
          <w:color w:val="000000" w:themeColor="text1"/>
          <w:sz w:val="22"/>
          <w:szCs w:val="22"/>
        </w:rPr>
      </w:pPr>
      <w:r>
        <w:rPr>
          <w:color w:val="000000" w:themeColor="text1"/>
          <w:sz w:val="22"/>
          <w:szCs w:val="22"/>
        </w:rPr>
        <w:t xml:space="preserve">Kuppa &amp; Le-Khac (2022, Computers &amp; Electrical Engineering): drift-robust NIDS detector, decoupled dual-evasion threat model, evaluated on CIC-IDS2018</w:t>
      </w:r>
    </w:p>
    <w:p>
      <w:pPr>
        <w:pStyle w:val="ListParagraph"/>
        <w:numPr>
          <w:ilvl w:val="0"/>
          <w:numId w:val="3"/>
        </w:numPr>
        <w:spacing w:after="80"/>
        <w:rPr>
          <w:color w:val="000000" w:themeColor="text1"/>
          <w:sz w:val="22"/>
          <w:szCs w:val="22"/>
        </w:rPr>
      </w:pPr>
      <w:r>
        <w:rPr>
          <w:color w:val="000000" w:themeColor="text1"/>
          <w:sz w:val="22"/>
          <w:szCs w:val="22"/>
        </w:rPr>
        <w:t xml:space="preserve">Xu et al. (2022): joint/ensemble gradient-based attacks on non-parametric two-sample tests (general ML, not security-specific)</w:t>
      </w:r>
    </w:p>
    <w:p>
      <w:pPr>
        <w:pStyle w:val="ListParagraph"/>
        <w:numPr>
          <w:ilvl w:val="0"/>
          <w:numId w:val="3"/>
        </w:numPr>
        <w:spacing w:after="80"/>
        <w:rPr>
          <w:color w:val="000000" w:themeColor="text1"/>
          <w:sz w:val="22"/>
          <w:szCs w:val="22"/>
        </w:rPr>
      </w:pPr>
      <w:r>
        <w:rPr>
          <w:color w:val="000000" w:themeColor="text1"/>
          <w:sz w:val="22"/>
          <w:szCs w:val="22"/>
        </w:rPr>
        <w:t xml:space="preserve">Apruzzese, Fass &amp; Pierazzi (2024, AISec): blind adversarial perturbations against ML-NIDS under concept drift</w:t>
      </w:r>
    </w:p>
    <w:p>
      <w:pPr>
        <w:pStyle w:val="ListParagraph"/>
        <w:numPr>
          <w:ilvl w:val="0"/>
          <w:numId w:val="3"/>
        </w:numPr>
        <w:spacing w:after="80"/>
        <w:rPr>
          <w:color w:val="000000" w:themeColor="text1"/>
          <w:sz w:val="22"/>
          <w:szCs w:val="22"/>
        </w:rPr>
      </w:pPr>
      <w:r>
        <w:rPr>
          <w:color w:val="000000" w:themeColor="text1"/>
          <w:sz w:val="22"/>
          <w:szCs w:val="22"/>
        </w:rPr>
        <w:t xml:space="preserve">Hinder, Vaquet &amp; Hammer (2024/25): formal existence conditions for adversarial attacks against drift detectors, in a general theoretical setting that attacks the detector alone; this project differs by jointly attacking a downstream classifier and a drift detector simultaneously, under NIDS-specific problem-space constraints</w:t>
      </w:r>
    </w:p>
    <w:p w:rsidRPr="004E5F62" w:rsidR="00936A11" w:rsidP="00D2661A" w:rsidRDefault="00000000" w14:paraId="18B288A1" w14:textId="77777777">
      <w:pPr>
        <w:spacing w:after="140" w:line="360" w:lineRule="auto"/>
        <w:rPr>
          <w:color w:val="000000" w:themeColor="text1"/>
          <w:sz w:val="21"/>
          <w:szCs w:val="21"/>
        </w:rPr>
      </w:pPr>
      <w:r>
        <w:rPr>
          <w:b/>
          <w:bCs/>
          <w:color w:val="000000" w:themeColor="text1"/>
          <w:sz w:val="24"/>
          <w:szCs w:val="24"/>
        </w:rPr>
        <w:t xml:space="preserve">Objectives (crisp and clear, not more than 2–3; must </w:t>
      </w:r>
      <w:r>
        <w:rPr>
          <w:b/>
          <w:bCs/>
          <w:color w:val="000000" w:themeColor="text1"/>
          <w:sz w:val="22"/>
          <w:szCs w:val="22"/>
        </w:rPr>
        <w:t>not describe activities/steps):</w:t>
      </w:r>
    </w:p>
    <w:p>
      <w:pPr>
        <w:pStyle w:val="ListParagraph"/>
        <w:numPr>
          <w:ilvl w:val="0"/>
          <w:numId w:val="3"/>
        </w:numPr>
        <w:spacing w:after="80"/>
        <w:rPr>
          <w:color w:val="000000" w:themeColor="text1"/>
          <w:sz w:val="22"/>
          <w:szCs w:val="22"/>
        </w:rPr>
      </w:pPr>
      <w:r>
        <w:rPr>
          <w:color w:val="000000" w:themeColor="text1"/>
          <w:sz w:val="22"/>
          <w:szCs w:val="22"/>
        </w:rPr>
        <w:t xml:space="preserve">Determine which of four DL architecture families (MLP, CNN, LSTM, Transformer) is most robust to a joint adversarial-drift evasion attack on CIC-IDS2018 traffic.</w:t>
      </w:r>
    </w:p>
    <w:p>
      <w:pPr>
        <w:pStyle w:val="ListParagraph"/>
        <w:numPr>
          <w:ilvl w:val="0"/>
          <w:numId w:val="3"/>
        </w:numPr>
        <w:spacing w:after="80"/>
        <w:rPr>
          <w:color w:val="000000" w:themeColor="text1"/>
          <w:sz w:val="22"/>
          <w:szCs w:val="22"/>
        </w:rPr>
      </w:pPr>
      <w:r>
        <w:rPr>
          <w:color w:val="000000" w:themeColor="text1"/>
          <w:sz w:val="22"/>
          <w:szCs w:val="22"/>
        </w:rPr>
        <w:t xml:space="preserve">Establish whether a single joint differentiable attack objective defeats NIDS problem-space defenses more effectively than a decoupled two-stage attack (a Kuppa &amp; Le-Khac-style baseline).</w:t>
      </w:r>
    </w:p>
    <w:p>
      <w:pPr>
        <w:pStyle w:val="ListParagraph"/>
        <w:numPr>
          <w:ilvl w:val="0"/>
          <w:numId w:val="3"/>
        </w:numPr>
        <w:spacing w:after="80"/>
        <w:rPr>
          <w:color w:val="000000" w:themeColor="text1"/>
          <w:sz w:val="22"/>
          <w:szCs w:val="22"/>
        </w:rPr>
      </w:pPr>
      <w:r>
        <w:rPr>
          <w:color w:val="000000" w:themeColor="text1"/>
          <w:sz w:val="22"/>
          <w:szCs w:val="22"/>
        </w:rPr>
        <w:t xml:space="preserve">Quantify the evasion-rate / drift-detection-rate / constraint-validity trade-off achieved by each architecture under both attack strategies.</w:t>
      </w:r>
    </w:p>
    <w:p w:rsidRPr="004E5F62" w:rsidR="00936A11" w:rsidP="00D2661A" w:rsidRDefault="00000000" w14:paraId="14304316" w14:textId="77777777">
      <w:pPr>
        <w:spacing w:after="140" w:line="360" w:lineRule="auto"/>
        <w:rPr>
          <w:color w:val="000000" w:themeColor="text1"/>
          <w:sz w:val="22"/>
          <w:szCs w:val="22"/>
        </w:rPr>
      </w:pPr>
      <w:r>
        <w:rPr>
          <w:b/>
          <w:bCs/>
          <w:color w:val="000000" w:themeColor="text1"/>
          <w:sz w:val="24"/>
          <w:szCs w:val="24"/>
        </w:rPr>
        <w:t>Importance / Motivation of the Proposed Project:</w:t>
      </w:r>
    </w:p>
    <w:p>
      <w:pPr>
        <w:spacing w:after="140" w:line="360" w:lineRule="auto"/>
        <w:rPr>
          <w:color w:val="000000" w:themeColor="text1"/>
          <w:sz w:val="22"/>
          <w:szCs w:val="22"/>
        </w:rPr>
      </w:pPr>
      <w:r>
        <w:rPr>
          <w:color w:val="000000" w:themeColor="text1"/>
          <w:sz w:val="22"/>
          <w:szCs w:val="22"/>
        </w:rPr>
        <w:t xml:space="preserve">Deployed NIDS are routinely evaluated against adversarial evasion and against natural concept drift separately; real attackers can exploit the gap between the two by crafting perturbations that evade both simultaneously. Understanding which architectures are most resilient to this joint threat, under realistic network-flow constraints, directly informs which model families are safe to deploy in adversarial, non-stationary environments. This project scopes its threat model to a white-box, gradient-access adversary, appropriate for robustness certification and red-team evaluation, not a claim about prevailing in-the-wild attacker behavior (cf. Apruzzese et al., 2023, on the gap between adversarial ML research and practice).</w:t>
      </w:r>
    </w:p>
    <w:p w:rsidR="004E5F62" w:rsidP="00D2661A" w:rsidRDefault="00000000" w14:paraId="10ADE5B2" w14:textId="29B6FD5F">
      <w:pPr>
        <w:spacing w:after="140" w:line="360" w:lineRule="auto"/>
        <w:rPr>
          <w:b/>
          <w:bCs/>
          <w:color w:val="000000" w:themeColor="text1"/>
          <w:sz w:val="24"/>
          <w:szCs w:val="24"/>
        </w:rPr>
      </w:pPr>
      <w:r>
        <w:rPr>
          <w:b/>
          <w:bCs/>
          <w:color w:val="000000" w:themeColor="text1"/>
          <w:sz w:val="24"/>
          <w:szCs w:val="24"/>
        </w:rPr>
        <w:t>Preliminary Reference List (minimum 5 papers):</w:t>
      </w:r>
    </w:p>
    <w:p>
      <w:pPr>
        <w:pStyle w:val="ListParagraph"/>
        <w:numPr>
          <w:ilvl w:val="0"/>
          <w:numId w:val="3"/>
        </w:numPr>
        <w:spacing w:after="80"/>
        <w:rPr>
          <w:color w:val="000000" w:themeColor="text1"/>
          <w:sz w:val="22"/>
          <w:szCs w:val="22"/>
        </w:rPr>
      </w:pPr>
      <w:r>
        <w:rPr>
          <w:color w:val="000000" w:themeColor="text1"/>
          <w:sz w:val="22"/>
          <w:szCs w:val="22"/>
        </w:rPr>
        <w:t xml:space="preserve">Pierazzi, F., Pendlebury, F., Cortellazzi, J., &amp; Cavallaro, L. (2020). Intriguing Properties of Adversarial ML Attacks in the Problem Space. IEEE S&amp;P.</w:t>
      </w:r>
    </w:p>
    <w:p>
      <w:pPr>
        <w:pStyle w:val="ListParagraph"/>
        <w:numPr>
          <w:ilvl w:val="0"/>
          <w:numId w:val="3"/>
        </w:numPr>
        <w:spacing w:after="80"/>
        <w:rPr>
          <w:color w:val="000000" w:themeColor="text1"/>
          <w:sz w:val="22"/>
          <w:szCs w:val="22"/>
        </w:rPr>
      </w:pPr>
      <w:r>
        <w:rPr>
          <w:color w:val="000000" w:themeColor="text1"/>
          <w:sz w:val="22"/>
          <w:szCs w:val="22"/>
        </w:rPr>
        <w:t xml:space="preserve">Korycki, Ł., &amp; Krawczyk, B. (2020). Adversarial Concept Drift Detection under Poisoning Attacks for Robust Data Stream Mining. Machine Learning.</w:t>
      </w:r>
    </w:p>
    <w:p>
      <w:pPr>
        <w:pStyle w:val="ListParagraph"/>
        <w:numPr>
          <w:ilvl w:val="0"/>
          <w:numId w:val="3"/>
        </w:numPr>
        <w:spacing w:after="80"/>
        <w:rPr>
          <w:color w:val="000000" w:themeColor="text1"/>
          <w:sz w:val="22"/>
          <w:szCs w:val="22"/>
        </w:rPr>
      </w:pPr>
      <w:r>
        <w:rPr>
          <w:color w:val="000000" w:themeColor="text1"/>
          <w:sz w:val="22"/>
          <w:szCs w:val="22"/>
        </w:rPr>
        <w:t xml:space="preserve">Kuppa, A., &amp; Le-Khac, N.-A. (2022). Learn to Adapt: Robust Drift Detection in Security Domain. Computers &amp; Electrical Engineering.</w:t>
      </w:r>
    </w:p>
    <w:p>
      <w:pPr>
        <w:pStyle w:val="ListParagraph"/>
        <w:numPr>
          <w:ilvl w:val="0"/>
          <w:numId w:val="3"/>
        </w:numPr>
        <w:spacing w:after="80"/>
        <w:rPr>
          <w:color w:val="000000" w:themeColor="text1"/>
          <w:sz w:val="22"/>
          <w:szCs w:val="22"/>
        </w:rPr>
      </w:pPr>
      <w:r>
        <w:rPr>
          <w:color w:val="000000" w:themeColor="text1"/>
          <w:sz w:val="22"/>
          <w:szCs w:val="22"/>
        </w:rPr>
        <w:t xml:space="preserve">Liu, L., Engelen, G., Lynar, T., Essam, D., &amp; Joosen, W. (2022). Error Prevalence in NIDS Datasets: A Case Study on CIC-IDS-2017 and CSE-CIC-IDS-2018. IEEE CNS 2022, pp. 254–262.</w:t>
      </w:r>
    </w:p>
    <w:p>
      <w:pPr>
        <w:pStyle w:val="ListParagraph"/>
        <w:numPr>
          <w:ilvl w:val="0"/>
          <w:numId w:val="3"/>
        </w:numPr>
        <w:spacing w:after="80"/>
        <w:rPr>
          <w:color w:val="000000" w:themeColor="text1"/>
          <w:sz w:val="22"/>
          <w:szCs w:val="22"/>
        </w:rPr>
      </w:pPr>
      <w:r>
        <w:rPr>
          <w:color w:val="000000" w:themeColor="text1"/>
          <w:sz w:val="22"/>
          <w:szCs w:val="22"/>
        </w:rPr>
        <w:t xml:space="preserve">Xu, X., Zhang, J., Liu, F., Sugiyama, M., &amp; Kankanhalli, M. (2022). Adversarial Attack and Defense for Non-Parametric Two-Sample Tests.</w:t>
      </w:r>
    </w:p>
    <w:p>
      <w:pPr>
        <w:pStyle w:val="ListParagraph"/>
        <w:numPr>
          <w:ilvl w:val="0"/>
          <w:numId w:val="3"/>
        </w:numPr>
        <w:spacing w:after="80"/>
        <w:rPr>
          <w:color w:val="000000" w:themeColor="text1"/>
          <w:sz w:val="22"/>
          <w:szCs w:val="22"/>
        </w:rPr>
      </w:pPr>
      <w:r>
        <w:rPr>
          <w:color w:val="000000" w:themeColor="text1"/>
          <w:sz w:val="22"/>
          <w:szCs w:val="22"/>
        </w:rPr>
        <w:t xml:space="preserve">Apruzzese, G., Fass, A., &amp; Pierazzi, F. (2024). When Adversarial Perturbations meet Concept Drift: An Exploratory Analysis on ML-NIDS. AISec 2024.</w:t>
      </w:r>
    </w:p>
    <w:p>
      <w:pPr>
        <w:pStyle w:val="ListParagraph"/>
        <w:numPr>
          <w:ilvl w:val="0"/>
          <w:numId w:val="3"/>
        </w:numPr>
        <w:spacing w:after="80"/>
        <w:rPr>
          <w:color w:val="000000" w:themeColor="text1"/>
          <w:sz w:val="22"/>
          <w:szCs w:val="22"/>
        </w:rPr>
      </w:pPr>
      <w:r>
        <w:rPr>
          <w:color w:val="000000" w:themeColor="text1"/>
          <w:sz w:val="22"/>
          <w:szCs w:val="22"/>
        </w:rPr>
        <w:t xml:space="preserve">Hinder, F., Vaquet, V., &amp; Hammer, B. (2024/25). Adversarial Attacks for Drift Detection.</w:t>
      </w:r>
    </w:p>
    <w:p>
      <w:pPr>
        <w:pStyle w:val="ListParagraph"/>
        <w:numPr>
          <w:ilvl w:val="0"/>
          <w:numId w:val="3"/>
        </w:numPr>
        <w:spacing w:after="80"/>
        <w:rPr>
          <w:color w:val="000000" w:themeColor="text1"/>
          <w:sz w:val="22"/>
          <w:szCs w:val="22"/>
        </w:rPr>
      </w:pPr>
      <w:r>
        <w:rPr>
          <w:color w:val="000000" w:themeColor="text1"/>
          <w:sz w:val="22"/>
          <w:szCs w:val="22"/>
        </w:rPr>
        <w:t xml:space="preserve">Apruzzese, G., Anderson, H. S., Dambra, S., Freeman, D., Pierazzi, F., &amp; Roundy, K. A. (2023). “Real Attackers Don’t Compute Gradients”: Bridging the Gap between Adversarial ML Research and Practice. IEEE SaTML 2023, pp. 339–364.</w:t>
      </w:r>
    </w:p>
    <w:p w:rsidRPr="004E5F62" w:rsidR="00936A11" w:rsidRDefault="00000000" w14:paraId="4863486C" w14:textId="7790FFAF">
      <w:pPr>
        <w:spacing w:after="100"/>
        <w:rPr>
          <w:color w:val="000000" w:themeColor="text1"/>
          <w:sz w:val="24"/>
          <w:szCs w:val="24"/>
        </w:rPr>
      </w:pPr>
      <w:r>
        <w:rPr>
          <w:b/>
          <w:bCs/>
          <w:color w:val="000000" w:themeColor="text1"/>
          <w:sz w:val="24"/>
          <w:szCs w:val="24"/>
        </w:rPr>
        <w:t>Work Plan:</w:t>
      </w:r>
    </w:p>
    <w:tbl>
      <w:tblPr>
        <w:tblW w:w="9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200"/>
        <w:gridCol w:w="5940"/>
        <w:gridCol w:w="2500"/>
      </w:tblGrid>
      <w:tr>
        <w:trPr>
          <w:tblHeader/>
        </w:trPr>
        <w:tc>
          <w:tcPr>
            <w:tcW w:w="1200" w:type="dxa"/>
            <w:shd w:val="clear" w:color="auto" w:fill="1F4E78"/>
          </w:tcPr>
          <w:p>
            <w:pPr>
              <w:jc w:val="center"/>
              <w:rPr>
                <w:color w:val="FFFFFF" w:themeColor="background1"/>
              </w:rPr>
            </w:pPr>
            <w:r>
              <w:rPr>
                <w:b/>
                <w:bCs/>
                <w:color w:val="FFFFFF" w:themeColor="background1"/>
              </w:rPr>
              <w:t xml:space="preserve">Sl. No.</w:t>
            </w:r>
          </w:p>
        </w:tc>
        <w:tc>
          <w:tcPr>
            <w:tcW w:w="5940" w:type="dxa"/>
            <w:shd w:val="clear" w:color="auto" w:fill="1F4E78"/>
          </w:tcPr>
          <w:p>
            <w:pPr>
              <w:jc w:val="center"/>
              <w:rPr>
                <w:color w:val="FFFFFF" w:themeColor="background1"/>
              </w:rPr>
            </w:pPr>
            <w:r>
              <w:rPr>
                <w:b/>
                <w:bCs/>
                <w:color w:val="FFFFFF" w:themeColor="background1"/>
              </w:rPr>
              <w:t xml:space="preserve">Component / Work Element / Milestone</w:t>
            </w:r>
          </w:p>
        </w:tc>
        <w:tc>
          <w:tcPr>
            <w:tcW w:w="2500" w:type="dxa"/>
            <w:shd w:val="clear" w:color="auto" w:fill="1F4E78"/>
          </w:tcPr>
          <w:p>
            <w:pPr>
              <w:jc w:val="center"/>
              <w:rPr>
                <w:color w:val="FFFFFF" w:themeColor="background1"/>
              </w:rPr>
            </w:pPr>
            <w:r>
              <w:rPr>
                <w:b/>
                <w:bCs/>
                <w:color w:val="FFFFFF" w:themeColor="background1"/>
              </w:rPr>
              <w:t xml:space="preserve">Expected Completion (Day/Month)</w:t>
            </w:r>
          </w:p>
        </w:tc>
      </w:tr>
      <w:tr>
        <w:tc>
          <w:tcPr>
            <w:tcW w:w="1200" w:type="dxa"/>
          </w:tcPr>
          <w:p>
            <w:pPr>
              <w:jc w:val="center"/>
              <w:rPr>
                <w:color w:val="000000" w:themeColor="text1"/>
              </w:rPr>
            </w:pPr>
            <w:r>
              <w:rPr>
                <w:color w:val="000000" w:themeColor="text1"/>
              </w:rPr>
              <w:t xml:space="preserve">1</w:t>
            </w:r>
          </w:p>
        </w:tc>
        <w:tc>
          <w:tcPr>
            <w:tcW w:w="5940" w:type="dxa"/>
          </w:tcPr>
          <w:p>
            <w:pPr>
              <w:rPr>
                <w:color w:val="000000" w:themeColor="text1"/>
              </w:rPr>
            </w:pPr>
            <w:r>
              <w:rPr>
                <w:color w:val="000000" w:themeColor="text1"/>
              </w:rPr>
              <w:t xml:space="preserve">Dataset acquisition &amp; preprocessing pipeline (shared, all members)</w:t>
            </w:r>
          </w:p>
        </w:tc>
        <w:tc>
          <w:tcPr>
            <w:tcW w:w="2500" w:type="dxa"/>
          </w:tcPr>
          <w:p>
            <w:pPr>
              <w:jc w:val="center"/>
              <w:rPr>
                <w:color w:val="000000" w:themeColor="text1"/>
              </w:rPr>
            </w:pPr>
            <w:r>
              <w:rPr>
                <w:color w:val="000000" w:themeColor="text1"/>
              </w:rPr>
              <w:t xml:space="preserve">5 Sep 2026</w:t>
            </w:r>
          </w:p>
        </w:tc>
      </w:tr>
      <w:tr>
        <w:tc>
          <w:tcPr>
            <w:tcW w:w="1200" w:type="dxa"/>
          </w:tcPr>
          <w:p>
            <w:pPr>
              <w:jc w:val="center"/>
              <w:rPr>
                <w:color w:val="000000" w:themeColor="text1"/>
              </w:rPr>
            </w:pPr>
            <w:r>
              <w:rPr>
                <w:color w:val="000000" w:themeColor="text1"/>
              </w:rPr>
              <w:t xml:space="preserve">2</w:t>
            </w:r>
          </w:p>
        </w:tc>
        <w:tc>
          <w:tcPr>
            <w:tcW w:w="5940" w:type="dxa"/>
          </w:tcPr>
          <w:p>
            <w:pPr>
              <w:rPr>
                <w:color w:val="000000" w:themeColor="text1"/>
              </w:rPr>
            </w:pPr>
            <w:r>
              <w:rPr>
                <w:color w:val="000000" w:themeColor="text1"/>
              </w:rPr>
              <w:t xml:space="preserve">Each member: clean training of assigned architecture (target macro-F1 &gt; 0.90 on classes with ≥1,000 samples; report per-class F1 separately for rare classes, e.g. SQL-Injection, XSS)</w:t>
            </w:r>
          </w:p>
        </w:tc>
        <w:tc>
          <w:tcPr>
            <w:tcW w:w="2500" w:type="dxa"/>
          </w:tcPr>
          <w:p>
            <w:pPr>
              <w:jc w:val="center"/>
              <w:rPr>
                <w:color w:val="000000" w:themeColor="text1"/>
              </w:rPr>
            </w:pPr>
            <w:r>
              <w:rPr>
                <w:color w:val="000000" w:themeColor="text1"/>
              </w:rPr>
              <w:t xml:space="preserve">15 Sep 2026</w:t>
            </w:r>
          </w:p>
        </w:tc>
      </w:tr>
      <w:tr>
        <w:tc>
          <w:tcPr>
            <w:tcW w:w="1200" w:type="dxa"/>
          </w:tcPr>
          <w:p>
            <w:pPr>
              <w:jc w:val="center"/>
              <w:rPr>
                <w:color w:val="000000" w:themeColor="text1"/>
              </w:rPr>
            </w:pPr>
            <w:r>
              <w:rPr>
                <w:color w:val="000000" w:themeColor="text1"/>
              </w:rPr>
              <w:t xml:space="preserve">3</w:t>
            </w:r>
          </w:p>
        </w:tc>
        <w:tc>
          <w:tcPr>
            <w:tcW w:w="5940" w:type="dxa"/>
          </w:tcPr>
          <w:p>
            <w:pPr>
              <w:rPr>
                <w:color w:val="000000" w:themeColor="text1"/>
              </w:rPr>
            </w:pPr>
            <w:r>
              <w:rPr>
                <w:color w:val="000000" w:themeColor="text1"/>
              </w:rPr>
              <w:t xml:space="preserve">Attack framework: decoupled baseline + joint attack (begins in parallel with Milestone 2, from Week 1, not sequential)</w:t>
            </w:r>
          </w:p>
        </w:tc>
        <w:tc>
          <w:tcPr>
            <w:tcW w:w="2500" w:type="dxa"/>
          </w:tcPr>
          <w:p>
            <w:pPr>
              <w:jc w:val="center"/>
              <w:rPr>
                <w:color w:val="000000" w:themeColor="text1"/>
              </w:rPr>
            </w:pPr>
            <w:r>
              <w:rPr>
                <w:color w:val="000000" w:themeColor="text1"/>
              </w:rPr>
              <w:t xml:space="preserve">15 Sep 2026</w:t>
            </w:r>
          </w:p>
        </w:tc>
      </w:tr>
      <w:tr>
        <w:tc>
          <w:tcPr>
            <w:tcW w:w="1200" w:type="dxa"/>
          </w:tcPr>
          <w:p>
            <w:pPr>
              <w:jc w:val="center"/>
              <w:rPr>
                <w:color w:val="000000" w:themeColor="text1"/>
              </w:rPr>
            </w:pPr>
            <w:r>
              <w:rPr>
                <w:color w:val="000000" w:themeColor="text1"/>
              </w:rPr>
              <w:t xml:space="preserve">4</w:t>
            </w:r>
          </w:p>
        </w:tc>
        <w:tc>
          <w:tcPr>
            <w:tcW w:w="5940" w:type="dxa"/>
          </w:tcPr>
          <w:p>
            <w:pPr>
              <w:rPr>
                <w:color w:val="000000" w:themeColor="text1"/>
              </w:rPr>
            </w:pPr>
            <w:r>
              <w:rPr>
                <w:color w:val="000000" w:themeColor="text1"/>
              </w:rPr>
              <w:t xml:space="preserve">Consolidate ≥2 models' preliminary results, draft Interim report</w:t>
            </w:r>
          </w:p>
        </w:tc>
        <w:tc>
          <w:tcPr>
            <w:tcW w:w="2500" w:type="dxa"/>
          </w:tcPr>
          <w:p>
            <w:pPr>
              <w:jc w:val="center"/>
              <w:rPr>
                <w:color w:val="000000" w:themeColor="text1"/>
              </w:rPr>
            </w:pPr>
            <w:r>
              <w:rPr>
                <w:color w:val="000000" w:themeColor="text1"/>
              </w:rPr>
              <w:t xml:space="preserve">25 Sep 2026</w:t>
            </w:r>
          </w:p>
        </w:tc>
      </w:tr>
      <w:tr>
        <w:tc>
          <w:tcPr>
            <w:tcW w:w="1200" w:type="dxa"/>
          </w:tcPr>
          <w:p>
            <w:pPr>
              <w:jc w:val="center"/>
              <w:rPr>
                <w:color w:val="000000" w:themeColor="text1"/>
              </w:rPr>
            </w:pPr>
            <w:r>
              <w:rPr>
                <w:color w:val="000000" w:themeColor="text1"/>
              </w:rPr>
              <w:t xml:space="preserve">5</w:t>
            </w:r>
          </w:p>
        </w:tc>
        <w:tc>
          <w:tcPr>
            <w:tcW w:w="5940" w:type="dxa"/>
          </w:tcPr>
          <w:p>
            <w:pPr>
              <w:rPr>
                <w:color w:val="000000" w:themeColor="text1"/>
              </w:rPr>
            </w:pPr>
            <w:r>
              <w:rPr>
                <w:color w:val="000000" w:themeColor="text1"/>
              </w:rPr>
              <w:t xml:space="preserve">Remaining models: clean training + attack evaluation</w:t>
            </w:r>
          </w:p>
        </w:tc>
        <w:tc>
          <w:tcPr>
            <w:tcW w:w="2500" w:type="dxa"/>
          </w:tcPr>
          <w:p>
            <w:pPr>
              <w:jc w:val="center"/>
              <w:rPr>
                <w:color w:val="000000" w:themeColor="text1"/>
              </w:rPr>
            </w:pPr>
            <w:r>
              <w:rPr>
                <w:color w:val="000000" w:themeColor="text1"/>
              </w:rPr>
              <w:t xml:space="preserve">10 Oct 2026</w:t>
            </w:r>
          </w:p>
        </w:tc>
      </w:tr>
      <w:tr>
        <w:tc>
          <w:tcPr>
            <w:tcW w:w="1200" w:type="dxa"/>
          </w:tcPr>
          <w:p>
            <w:pPr>
              <w:jc w:val="center"/>
              <w:rPr>
                <w:color w:val="000000" w:themeColor="text1"/>
              </w:rPr>
            </w:pPr>
            <w:r>
              <w:rPr>
                <w:color w:val="000000" w:themeColor="text1"/>
              </w:rPr>
              <w:t xml:space="preserve">6</w:t>
            </w:r>
          </w:p>
        </w:tc>
        <w:tc>
          <w:tcPr>
            <w:tcW w:w="5940" w:type="dxa"/>
          </w:tcPr>
          <w:p>
            <w:pPr>
              <w:rPr>
                <w:color w:val="000000" w:themeColor="text1"/>
              </w:rPr>
            </w:pPr>
            <w:r>
              <w:rPr>
                <w:color w:val="000000" w:themeColor="text1"/>
              </w:rPr>
              <w:t xml:space="preserve">Full comparative results, error analysis, ablation (λ weighting, drift-proxy representation choice)</w:t>
            </w:r>
          </w:p>
        </w:tc>
        <w:tc>
          <w:tcPr>
            <w:tcW w:w="2500" w:type="dxa"/>
          </w:tcPr>
          <w:p>
            <w:pPr>
              <w:jc w:val="center"/>
              <w:rPr>
                <w:color w:val="000000" w:themeColor="text1"/>
              </w:rPr>
            </w:pPr>
            <w:r>
              <w:rPr>
                <w:color w:val="000000" w:themeColor="text1"/>
              </w:rPr>
              <w:t xml:space="preserve">20 Oct 2026</w:t>
            </w:r>
          </w:p>
        </w:tc>
      </w:tr>
      <w:tr>
        <w:tc>
          <w:tcPr>
            <w:tcW w:w="1200" w:type="dxa"/>
          </w:tcPr>
          <w:p>
            <w:pPr>
              <w:jc w:val="center"/>
              <w:rPr>
                <w:color w:val="000000" w:themeColor="text1"/>
              </w:rPr>
            </w:pPr>
            <w:r>
              <w:rPr>
                <w:color w:val="000000" w:themeColor="text1"/>
              </w:rPr>
              <w:t xml:space="preserve">7</w:t>
            </w:r>
          </w:p>
        </w:tc>
        <w:tc>
          <w:tcPr>
            <w:tcW w:w="5940" w:type="dxa"/>
          </w:tcPr>
          <w:p>
            <w:pPr>
              <w:rPr>
                <w:color w:val="000000" w:themeColor="text1"/>
              </w:rPr>
            </w:pPr>
            <w:r>
              <w:rPr>
                <w:color w:val="000000" w:themeColor="text1"/>
              </w:rPr>
              <w:t xml:space="preserve">Final report writing, presentations, code repo (hard deadline)</w:t>
            </w:r>
          </w:p>
        </w:tc>
        <w:tc>
          <w:tcPr>
            <w:tcW w:w="2500" w:type="dxa"/>
          </w:tcPr>
          <w:p>
            <w:pPr>
              <w:jc w:val="center"/>
              <w:rPr>
                <w:color w:val="000000" w:themeColor="text1"/>
              </w:rPr>
            </w:pPr>
            <w:r>
              <w:rPr>
                <w:color w:val="000000" w:themeColor="text1"/>
              </w:rPr>
              <w:t xml:space="preserve">31 Oct 2026</w:t>
            </w:r>
          </w:p>
        </w:tc>
      </w:tr>
    </w:tbl>
    <w:sectPr w:rsidRPr="004E5F62" w:rsidR="00936A11">
      <w:pgSz w:w="12240" w:h="15840" w:orient="portrait"/>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A9C0ADD"/>
    <w:multiLevelType w:val="hybridMultilevel"/>
    <w:tmpl w:val="8E5E10A6"/>
    <w:lvl w:ilvl="0" w:tplc="2378FFF0">
      <w:start w:val="1"/>
      <w:numFmt w:val="bullet"/>
      <w:lvlText w:val="●"/>
      <w:lvlJc w:val="left"/>
      <w:pPr>
        <w:ind w:left="720" w:hanging="360"/>
      </w:pPr>
    </w:lvl>
    <w:lvl w:ilvl="1" w:tplc="2392ED14">
      <w:start w:val="1"/>
      <w:numFmt w:val="bullet"/>
      <w:lvlText w:val="○"/>
      <w:lvlJc w:val="left"/>
      <w:pPr>
        <w:ind w:left="1440" w:hanging="360"/>
      </w:pPr>
    </w:lvl>
    <w:lvl w:ilvl="2" w:tplc="95D81A54">
      <w:start w:val="1"/>
      <w:numFmt w:val="bullet"/>
      <w:lvlText w:val="■"/>
      <w:lvlJc w:val="left"/>
      <w:pPr>
        <w:ind w:left="2160" w:hanging="360"/>
      </w:pPr>
    </w:lvl>
    <w:lvl w:ilvl="3" w:tplc="923CB65A">
      <w:start w:val="1"/>
      <w:numFmt w:val="bullet"/>
      <w:lvlText w:val="●"/>
      <w:lvlJc w:val="left"/>
      <w:pPr>
        <w:ind w:left="2880" w:hanging="360"/>
      </w:pPr>
    </w:lvl>
    <w:lvl w:ilvl="4" w:tplc="2CE00830">
      <w:start w:val="1"/>
      <w:numFmt w:val="bullet"/>
      <w:lvlText w:val="○"/>
      <w:lvlJc w:val="left"/>
      <w:pPr>
        <w:ind w:left="3600" w:hanging="360"/>
      </w:pPr>
    </w:lvl>
    <w:lvl w:ilvl="5" w:tplc="919CB6AA">
      <w:start w:val="1"/>
      <w:numFmt w:val="bullet"/>
      <w:lvlText w:val="■"/>
      <w:lvlJc w:val="left"/>
      <w:pPr>
        <w:ind w:left="4320" w:hanging="360"/>
      </w:pPr>
    </w:lvl>
    <w:lvl w:ilvl="6" w:tplc="3A182900">
      <w:start w:val="1"/>
      <w:numFmt w:val="bullet"/>
      <w:lvlText w:val="●"/>
      <w:lvlJc w:val="left"/>
      <w:pPr>
        <w:ind w:left="5040" w:hanging="360"/>
      </w:pPr>
    </w:lvl>
    <w:lvl w:ilvl="7" w:tplc="62105FC8">
      <w:start w:val="1"/>
      <w:numFmt w:val="bullet"/>
      <w:lvlText w:val="●"/>
      <w:lvlJc w:val="left"/>
      <w:pPr>
        <w:ind w:left="5760" w:hanging="360"/>
      </w:pPr>
    </w:lvl>
    <w:lvl w:ilvl="8" w:tplc="04A6CE9E">
      <w:start w:val="1"/>
      <w:numFmt w:val="bullet"/>
      <w:lvlText w:val="●"/>
      <w:lvlJc w:val="left"/>
      <w:pPr>
        <w:ind w:left="6480" w:hanging="360"/>
      </w:pPr>
    </w:lvl>
  </w:abstractNum>
  <w:abstractNum w:abstractNumId="1" w15:restartNumberingAfterBreak="0">
    <w:nsid w:val="5EDD7F49"/>
    <w:multiLevelType w:val="hybridMultilevel"/>
    <w:tmpl w:val="ADC87B72"/>
    <w:lvl w:ilvl="0" w:tplc="4A12F3A4">
      <w:start w:val="1"/>
      <w:numFmt w:val="bullet"/>
      <w:lvlText w:val="•"/>
      <w:lvlJc w:val="left"/>
      <w:pPr>
        <w:ind w:left="504" w:hanging="288"/>
      </w:pPr>
    </w:lvl>
    <w:lvl w:ilvl="1" w:tplc="9752D29A">
      <w:start w:val="1"/>
      <w:numFmt w:val="bullet"/>
      <w:lvlText w:val="◦"/>
      <w:lvlJc w:val="left"/>
      <w:pPr>
        <w:ind w:left="936" w:hanging="288"/>
      </w:pPr>
    </w:lvl>
    <w:lvl w:ilvl="2" w:tplc="19A672D6">
      <w:numFmt w:val="decimal"/>
      <w:lvlText w:val=""/>
      <w:lvlJc w:val="left"/>
    </w:lvl>
    <w:lvl w:ilvl="3" w:tplc="08EC98E4">
      <w:numFmt w:val="decimal"/>
      <w:lvlText w:val=""/>
      <w:lvlJc w:val="left"/>
    </w:lvl>
    <w:lvl w:ilvl="4" w:tplc="F0688F0C">
      <w:numFmt w:val="decimal"/>
      <w:lvlText w:val=""/>
      <w:lvlJc w:val="left"/>
    </w:lvl>
    <w:lvl w:ilvl="5" w:tplc="521C7B8C">
      <w:numFmt w:val="decimal"/>
      <w:lvlText w:val=""/>
      <w:lvlJc w:val="left"/>
    </w:lvl>
    <w:lvl w:ilvl="6" w:tplc="23EEEBD8">
      <w:numFmt w:val="decimal"/>
      <w:lvlText w:val=""/>
      <w:lvlJc w:val="left"/>
    </w:lvl>
    <w:lvl w:ilvl="7" w:tplc="7E3C6002">
      <w:numFmt w:val="decimal"/>
      <w:lvlText w:val=""/>
      <w:lvlJc w:val="left"/>
    </w:lvl>
    <w:lvl w:ilvl="8" w:tplc="92CAE74C">
      <w:numFmt w:val="decimal"/>
      <w:lvlText w:val=""/>
      <w:lvlJc w:val="left"/>
    </w:lvl>
  </w:abstractNum>
  <w:abstractNum w:abstractNumId="2" w15:restartNumberingAfterBreak="0">
    <w:nsid w:val="74081B44"/>
    <w:multiLevelType w:val="hybridMultilevel"/>
    <w:tmpl w:val="8EDCF04E"/>
    <w:lvl w:ilvl="0" w:tplc="A8D229BA">
      <w:start w:val="1"/>
      <w:numFmt w:val="decimal"/>
      <w:lvlText w:val="%1."/>
      <w:lvlJc w:val="left"/>
      <w:pPr>
        <w:ind w:left="504" w:hanging="360"/>
      </w:pPr>
    </w:lvl>
    <w:lvl w:ilvl="1" w:tplc="114045FE">
      <w:numFmt w:val="decimal"/>
      <w:lvlText w:val=""/>
      <w:lvlJc w:val="left"/>
    </w:lvl>
    <w:lvl w:ilvl="2" w:tplc="B058A4AE">
      <w:numFmt w:val="decimal"/>
      <w:lvlText w:val=""/>
      <w:lvlJc w:val="left"/>
    </w:lvl>
    <w:lvl w:ilvl="3" w:tplc="43B600D2">
      <w:numFmt w:val="decimal"/>
      <w:lvlText w:val=""/>
      <w:lvlJc w:val="left"/>
    </w:lvl>
    <w:lvl w:ilvl="4" w:tplc="EEEECBA6">
      <w:numFmt w:val="decimal"/>
      <w:lvlText w:val=""/>
      <w:lvlJc w:val="left"/>
    </w:lvl>
    <w:lvl w:ilvl="5" w:tplc="2E224BE0">
      <w:numFmt w:val="decimal"/>
      <w:lvlText w:val=""/>
      <w:lvlJc w:val="left"/>
    </w:lvl>
    <w:lvl w:ilvl="6" w:tplc="236C6BEC">
      <w:numFmt w:val="decimal"/>
      <w:lvlText w:val=""/>
      <w:lvlJc w:val="left"/>
    </w:lvl>
    <w:lvl w:ilvl="7" w:tplc="D37AA020">
      <w:numFmt w:val="decimal"/>
      <w:lvlText w:val=""/>
      <w:lvlJc w:val="left"/>
    </w:lvl>
    <w:lvl w:ilvl="8" w:tplc="84BA3234">
      <w:numFmt w:val="decimal"/>
      <w:lvlText w:val=""/>
      <w:lvlJc w:val="left"/>
    </w:lvl>
  </w:abstractNum>
  <w:num w:numId="1" w16cid:durableId="588780826">
    <w:abstractNumId w:val="0"/>
    <w:lvlOverride w:ilvl="0">
      <w:startOverride w:val="1"/>
    </w:lvlOverride>
  </w:num>
  <w:num w:numId="2" w16cid:durableId="1057780711">
    <w:abstractNumId w:val="2"/>
    <w:lvlOverride w:ilvl="0">
      <w:startOverride w:val="1"/>
    </w:lvlOverride>
  </w:num>
  <w:num w:numId="3" w16cid:durableId="1411806229">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displayBackgroundShape/>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6A11"/>
    <w:rsid w:val="00000000"/>
    <w:rsid w:val="00451D64"/>
    <w:rsid w:val="004E5F62"/>
    <w:rsid w:val="00936A11"/>
    <w:rsid w:val="009B25C7"/>
    <w:rsid w:val="00BD1C77"/>
    <w:rsid w:val="00BF3110"/>
    <w:rsid w:val="00CB06B9"/>
    <w:rsid w:val="00D2661A"/>
    <w:rsid w:val="00DB64AC"/>
    <w:rsid w:val="00E70882"/>
    <w:rsid w:val="00F103BA"/>
    <w:rsid w:val="238B2FA3"/>
    <w:rsid w:val="3B205C64"/>
    <w:rsid w:val="696981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F8DA4"/>
  <w15:docId w15:val="{93917914-215C-734B-A2D8-14CA8178C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hAnsi="Times New Roman" w:eastAsia="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png" Id="rId5" /><Relationship Type="http://schemas.openxmlformats.org/officeDocument/2006/relationships/customXml" Target="../customXml/item3.xml" Id="rId10" /><Relationship Type="http://schemas.openxmlformats.org/officeDocument/2006/relationships/webSettings" Target="webSettings.xml" Id="rId4" /><Relationship Type="http://schemas.openxmlformats.org/officeDocument/2006/relationships/customXml" Target="../customXml/item2.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80EEA2C9E08E145A5621469373A0240" ma:contentTypeVersion="3" ma:contentTypeDescription="Create a new document." ma:contentTypeScope="" ma:versionID="c9629a3e45a6bc6041fc46c7196f1d48">
  <xsd:schema xmlns:xsd="http://www.w3.org/2001/XMLSchema" xmlns:xs="http://www.w3.org/2001/XMLSchema" xmlns:p="http://schemas.microsoft.com/office/2006/metadata/properties" xmlns:ns2="c6301d07-6ec6-4e10-b667-c2b3a085ca1a" targetNamespace="http://schemas.microsoft.com/office/2006/metadata/properties" ma:root="true" ma:fieldsID="a93dff08731395ae0b5a2827868862e0" ns2:_="">
    <xsd:import namespace="c6301d07-6ec6-4e10-b667-c2b3a085ca1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301d07-6ec6-4e10-b667-c2b3a085ca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C63B1B0-6D24-4C8D-8EAE-FB93E99C3133}"/>
</file>

<file path=customXml/itemProps2.xml><?xml version="1.0" encoding="utf-8"?>
<ds:datastoreItem xmlns:ds="http://schemas.openxmlformats.org/officeDocument/2006/customXml" ds:itemID="{990DB2C0-511E-4131-8022-F46EC8386FB1}"/>
</file>

<file path=customXml/itemProps3.xml><?xml version="1.0" encoding="utf-8"?>
<ds:datastoreItem xmlns:ds="http://schemas.openxmlformats.org/officeDocument/2006/customXml" ds:itemID="{EC078B6F-E219-43AA-ACA5-42C8DDDE03C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K V APARNA - 123126928 - MITMPL</lastModifiedBy>
  <revision>10</revision>
  <dcterms:created xsi:type="dcterms:W3CDTF">2026-08-08T13:39:00.0000000Z</dcterms:created>
  <dcterms:modified xsi:type="dcterms:W3CDTF">2026-08-24T05:23:09.4733356Z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0x010100280EEA2C9E08E145A5621469373A0240</vt:lpwstr>
  </property>
</Properties>
</file>