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Cape Verity Export Terminal</w:t>
            </w:r>
          </w:p>
        </w:tc>
        <w:tc>
          <w:tcPr>
            <w:tcW w:w="3555" w:type="dxa"/>
            <w:shd w:val="clear" w:color="auto" w:fill="FFFFFF"/>
          </w:tcPr>
          <w:p>
            <w:pPr>
              <w:pStyle w:val="KestrelMeta"/>
              <w:jc w:val="right"/>
            </w:pPr>
            <w:r>
              <w:rPr>
                <w:b/>
              </w:rPr>
              <w:t xml:space="preserve">MANAGEMENT OF CHANGE RECORD</w:t>
            </w:r>
          </w:p>
          <w:p>
            <w:pPr>
              <w:pStyle w:val="KestrelMeta"/>
              <w:jc w:val="right"/>
            </w:pPr>
            <w:r>
              <w:t xml:space="preserve">Document </w:t>
            </w:r>
            <w:r>
              <w:t xml:space="preserve">MOC-2014-0087</w:t>
            </w:r>
          </w:p>
          <w:p>
            <w:pPr>
              <w:pStyle w:val="KestrelMeta"/>
              <w:jc w:val="right"/>
            </w:pPr>
            <w:r>
              <w:t xml:space="preserve">Revision </w:t>
            </w:r>
            <w:r>
              <w:t xml:space="preserve">001</w:t>
            </w:r>
            <w:r>
              <w:t xml:space="preserve">  ·  Effective </w:t>
            </w:r>
            <w:r>
              <w:t xml:space="preserve">2014-04-09</w:t>
            </w:r>
          </w:p>
        </w:tc>
      </w:tr>
    </w:tbl>
    <w:p>
      <w:pPr>
        <w:pStyle w:val="KestrelMeta"/>
      </w:pPr>
    </w:p>
    <w:p>
      <w:pPr>
        <w:pStyle w:val="KestrelTitle"/>
        <w:pBdr>
          <w:bottom w:val="single" w:sz="12" w:space="4" w:color="404040"/>
        </w:pBdr>
      </w:pPr>
      <w:r>
        <w:t xml:space="preserve">Replacement of Jetty Emergency Shutdown Valve Actuators</w:t>
      </w:r>
    </w:p>
    <w:p>
      <w:pPr>
        <w:pStyle w:val="KestrelSubtitle"/>
      </w:pPr>
      <w:r>
        <w:t xml:space="preserve">MOC-2014-0087</w:t>
      </w:r>
      <w:r>
        <w:t xml:space="preserve">  ·  revision </w:t>
      </w:r>
      <w:r>
        <w:t xml:space="preserve">001</w:t>
      </w:r>
      <w:r>
        <w:t xml:space="preserve">  ·  effective </w:t>
      </w:r>
      <w:r>
        <w:t xml:space="preserve">9 April 2014</w:t>
      </w:r>
      <w:r>
        <w:t xml:space="preserve">  ·  </w:t>
      </w:r>
      <w:r>
        <w:t xml:space="preserve">Cape Verity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MOC-2014-0087</w:t>
            </w:r>
          </w:p>
        </w:tc>
      </w:tr>
      <w:tr>
        <w:tc>
          <w:tcPr>
            <w:tcW w:w="2806" w:type="dxa"/>
          </w:tcPr>
          <w:p>
            <w:pPr>
              <w:pStyle w:val="KestrelTableHead"/>
            </w:pPr>
            <w:r>
              <w:t xml:space="preserve">Revision</w:t>
            </w:r>
          </w:p>
        </w:tc>
        <w:tc>
          <w:tcPr>
            <w:tcW w:w="6548" w:type="dxa"/>
          </w:tcPr>
          <w:p>
            <w:pPr>
              <w:pStyle w:val="KestrelTableCell"/>
            </w:pPr>
            <w:r>
              <w:t xml:space="preserve">001</w:t>
            </w:r>
          </w:p>
        </w:tc>
      </w:tr>
      <w:tr>
        <w:tc>
          <w:tcPr>
            <w:tcW w:w="2806" w:type="dxa"/>
          </w:tcPr>
          <w:p>
            <w:pPr>
              <w:pStyle w:val="KestrelTableHead"/>
            </w:pPr>
            <w:r>
              <w:t xml:space="preserve">Effective</w:t>
            </w:r>
          </w:p>
        </w:tc>
        <w:tc>
          <w:tcPr>
            <w:tcW w:w="6548" w:type="dxa"/>
          </w:tcPr>
          <w:p>
            <w:pPr>
              <w:pStyle w:val="KestrelTableCell"/>
            </w:pPr>
            <w:r>
              <w:t xml:space="preserve">9 April 2014</w:t>
            </w:r>
          </w:p>
        </w:tc>
      </w:tr>
      <w:tr>
        <w:tc>
          <w:tcPr>
            <w:tcW w:w="2806" w:type="dxa"/>
          </w:tcPr>
          <w:p>
            <w:pPr>
              <w:pStyle w:val="KestrelTableHead"/>
            </w:pPr>
            <w:r>
              <w:t xml:space="preserve">Site</w:t>
            </w:r>
          </w:p>
        </w:tc>
        <w:tc>
          <w:tcPr>
            <w:tcW w:w="6548" w:type="dxa"/>
          </w:tcPr>
          <w:p>
            <w:pPr>
              <w:pStyle w:val="KestrelTableCell"/>
            </w:pPr>
            <w:r>
              <w:t xml:space="preserve">Cape Verity (CVY)</w:t>
            </w:r>
          </w:p>
        </w:tc>
      </w:tr>
      <w:tr>
        <w:tc>
          <w:tcPr>
            <w:tcW w:w="2806" w:type="dxa"/>
          </w:tcPr>
          <w:p>
            <w:pPr>
              <w:pStyle w:val="KestrelTableHead"/>
            </w:pPr>
            <w:r>
              <w:t xml:space="preserve">Material unwanted event</w:t>
            </w:r>
          </w:p>
        </w:tc>
        <w:tc>
          <w:tcPr>
            <w:tcW w:w="6548" w:type="dxa"/>
          </w:tcPr>
          <w:p>
            <w:pPr>
              <w:pStyle w:val="KestrelTableCell"/>
            </w:pPr>
            <w:r>
              <w:t xml:space="preserve">Containment of hydrocarbons</w:t>
            </w:r>
          </w:p>
        </w:tc>
      </w:tr>
      <w:tr>
        <w:tc>
          <w:tcPr>
            <w:tcW w:w="2806" w:type="dxa"/>
          </w:tcPr>
          <w:p>
            <w:pPr>
              <w:pStyle w:val="KestrelTableHead"/>
            </w:pPr>
            <w:r>
              <w:t xml:space="preserve">Intent</w:t>
            </w:r>
          </w:p>
        </w:tc>
        <w:tc>
          <w:tcPr>
            <w:tcW w:w="6548" w:type="dxa"/>
          </w:tcPr>
          <w:p>
            <w:pPr>
              <w:pStyle w:val="KestrelTableCell"/>
            </w:pPr>
            <w:r>
              <w:t xml:space="preserve">replace</w:t>
            </w:r>
          </w:p>
        </w:tc>
      </w:tr>
      <w:tr>
        <w:tc>
          <w:tcPr>
            <w:tcW w:w="2806" w:type="dxa"/>
          </w:tcPr>
          <w:p>
            <w:pPr>
              <w:pStyle w:val="KestrelTableHead"/>
            </w:pPr>
            <w:r>
              <w:t xml:space="preserve">Change reference</w:t>
            </w:r>
          </w:p>
        </w:tc>
        <w:tc>
          <w:tcPr>
            <w:tcW w:w="6548" w:type="dxa"/>
          </w:tcPr>
          <w:p>
            <w:pPr>
              <w:pStyle w:val="KestrelTableCell"/>
            </w:pPr>
            <w:r>
              <w:t xml:space="preserve">cr/MOC-2014-0087</w:t>
            </w:r>
          </w:p>
        </w:tc>
      </w:tr>
      <w:tr>
        <w:tc>
          <w:tcPr>
            <w:tcW w:w="2806" w:type="dxa"/>
          </w:tcPr>
          <w:p>
            <w:pPr>
              <w:pStyle w:val="KestrelTableHead"/>
            </w:pPr>
            <w:r>
              <w:t xml:space="preserve">Target reference</w:t>
            </w:r>
          </w:p>
        </w:tc>
        <w:tc>
          <w:tcPr>
            <w:tcW w:w="6548" w:type="dxa"/>
          </w:tcPr>
          <w:p>
            <w:pPr>
              <w:pStyle w:val="KestrelTableCell"/>
            </w:pPr>
            <w:r>
              <w:t xml:space="preserve">site/cape-verity/main</w:t>
            </w:r>
          </w:p>
        </w:tc>
      </w:tr>
      <w:tr>
        <w:tc>
          <w:tcPr>
            <w:tcW w:w="2806" w:type="dxa"/>
          </w:tcPr>
          <w:p>
            <w:pPr>
              <w:pStyle w:val="KestrelTableHead"/>
            </w:pPr>
            <w:r>
              <w:t xml:space="preserve">Raised by</w:t>
            </w:r>
          </w:p>
        </w:tc>
        <w:tc>
          <w:tcPr>
            <w:tcW w:w="6548" w:type="dxa"/>
          </w:tcPr>
          <w:p>
            <w:pPr>
              <w:pStyle w:val="KestrelTableCell"/>
            </w:pPr>
            <w:r>
              <w:t xml:space="preserve">N. Molteno (kestrel:molteno.n)</w:t>
            </w:r>
          </w:p>
        </w:tc>
      </w:tr>
      <w:tr>
        <w:tc>
          <w:tcPr>
            <w:tcW w:w="2806" w:type="dxa"/>
          </w:tcPr>
          <w:p>
            <w:pPr>
              <w:pStyle w:val="KestrelTableHead"/>
            </w:pPr>
            <w:r>
              <w:t xml:space="preserve">Status at issue</w:t>
            </w:r>
          </w:p>
        </w:tc>
        <w:tc>
          <w:tcPr>
            <w:tcW w:w="6548" w:type="dxa"/>
          </w:tcPr>
          <w:p>
            <w:pPr>
              <w:pStyle w:val="KestrelTableCell"/>
            </w:pPr>
            <w:r>
              <w:t xml:space="preserve">merged</w:t>
            </w:r>
          </w:p>
        </w:tc>
      </w:tr>
    </w:tbl>
    <w:p>
      <w:pPr>
        <w:pStyle w:val="KestrelMeta"/>
      </w:pPr>
    </w:p>
    <w:p>
      <w:pPr>
        <w:pStyle w:val="KestrelHeading"/>
      </w:pPr>
      <w:r>
        <w:t xml:space="preserve">1  Purpose of this record</w:t>
      </w:r>
    </w:p>
    <w:p>
      <w:r>
        <w:t xml:space="preserve">This record documents a proposed change affecting Containment of hydrocarbons at Cape Verity Export Terminal, the clauses it declares, and the basis on which the change was raised. It is not an authority to proceed.</w:t>
      </w:r>
    </w:p>
    <w:p>
      <w:pPr>
        <w:pStyle w:val="KestrelHeading"/>
      </w:pPr>
      <w:r>
        <w:t xml:space="preserve">2  Change declared</w:t>
      </w:r>
    </w:p>
    <w:p>
      <w:r>
        <w:t xml:space="preserve">This document applies to the plant and equipment listed in the register maintained for Cape Verity Export Terminal. Where a clause states a setpoint, that setpoint is a control requirement and not a guideline; where a clause requires a record, the record is part of the control.</w:t>
      </w:r>
    </w:p>
    <w:p>
      <w:pPr>
        <w:pStyle w:val="KestrelHeading"/>
      </w:pPr>
      <w:r>
        <w:t xml:space="preserve">3  Terms used in this record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alarm setpoint</w:t>
            </w:r>
          </w:p>
        </w:tc>
        <w:tc>
          <w:tcPr>
            <w:tcW w:w="6361" w:type="dxa"/>
          </w:tcPr>
          <w:p>
            <w:pPr>
              <w:pStyle w:val="KestrelTableCell"/>
            </w:pPr>
            <w:r>
              <w:t xml:space="preserve">As used in this revision. Revisions issued before 2010 refer to the same control as 'alarm setting'.</w:t>
            </w:r>
          </w:p>
        </w:tc>
      </w:tr>
      <w:tr>
        <w:tc>
          <w:tcPr>
            <w:tcW w:w="2993" w:type="dxa"/>
          </w:tcPr>
          <w:p>
            <w:pPr>
              <w:pStyle w:val="KestrelTableHead"/>
            </w:pPr>
            <w:r>
              <w:t xml:space="preserve">critical safeguard</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seal flush plan</w:t>
            </w:r>
          </w:p>
        </w:tc>
        <w:tc>
          <w:tcPr>
            <w:tcW w:w="6361"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Clauses affected</w:t>
      </w:r>
    </w:p>
    <w:p>
      <w:pPr>
        <w:pStyle w:val="KestrelHeading"/>
      </w:pPr>
      <w:r>
        <w:t xml:space="preserve">SECTION </w:t>
      </w:r>
      <w:r>
        <w:t xml:space="preserve">1</w:t>
      </w:r>
      <w:r>
        <w:t xml:space="preserve">  -  </w:t>
      </w:r>
      <w:r>
        <w:t xml:space="preserve">Purpose and scope of the task</w:t>
      </w:r>
    </w:p>
    <w:p>
      <w:pPr>
        <w:pStyle w:val="KestrelClause"/>
      </w:pPr>
      <w:r>
        <w:rPr>
          <w:b/>
        </w:rPr>
        <w:t xml:space="preserve">1.1</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1.2</w:t>
      </w:r>
      <w:r>
        <w:tab/>
      </w:r>
      <w:r>
        <w:t xml:space="preserve">The secondary containment by bund and drainage shall be proven at the interval set by the responsible engineer, and the result of each proof shall be recorded against the equipment tag.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1.3</w:t>
      </w:r>
      <w:r>
        <w:tab/>
      </w:r>
      <w:r>
        <w:t xml:space="preserve">The seal-face high-temperature alarm and trip shall be available and functional for the duration of the task; loss of function shall stop the work and place the plant in a safe state. In this revision the control is administered under the site's alarm setpoint arrangements. The completed record shall be retained on the MOC-2014-0087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1.4</w:t>
      </w:r>
      <w:r>
        <w:tab/>
      </w:r>
      <w:r>
        <w:t xml:space="preserve">The emergency isolation and depressuring on loss of containment shall be available and functional for the duration of the task; loss of function shall stop the work and place the plant in a safe state.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SECTION </w:t>
      </w:r>
      <w:r>
        <w:t xml:space="preserve">2</w:t>
      </w:r>
      <w:r>
        <w:t xml:space="preserve">  -  </w:t>
      </w:r>
      <w:r>
        <w:t xml:space="preserve">Preparation and planning</w:t>
      </w:r>
    </w:p>
    <w:p>
      <w:pPr>
        <w:pStyle w:val="KestrelClause"/>
      </w:pPr>
      <w:r>
        <w:rPr>
          <w:b/>
        </w:rPr>
        <w:t xml:space="preserve">2.1</w:t>
      </w:r>
      <w:r>
        <w:tab/>
      </w:r>
      <w:r>
        <w:t xml:space="preserve">The secondary containment by bund and drainage shall be proven at the interval set by the responsible engineer, and the result of each proof shall be recorded against the equipment tag. In this revision the control is administered under the site's critical safeguard arrangements. The completed record shall be retained on the MOC-2014-0087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2.2</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2.3</w:t>
      </w:r>
      <w:r>
        <w:tab/>
      </w:r>
      <w:r>
        <w:t xml:space="preserve">No person shall commence the task until the integrity of the mechanical seal support system has been completed and confirmed by the person in charge of the work. In this revision the control is administered under the site's seal flush plan arrangements. The completed record shall be retained on the MOC-2014-0087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2.4.1(d)</w:t>
      </w:r>
      <w:r>
        <w:tab/>
      </w:r>
      <w:r>
        <w:t xml:space="preserve">The seal-face high-temperature alarm and trip shall be available and functional for the duration of the task; loss of function shall stop the work and place the plant in a safe state. In this revision the control is administered under the site's alarm setpoint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9 April 2014</w:t>
            </w:r>
          </w:p>
        </w:tc>
        <w:tc>
          <w:tcPr>
            <w:tcW w:w="1590" w:type="dxa"/>
          </w:tcPr>
          <w:p>
            <w:pPr>
              <w:pStyle w:val="KestrelTableCell"/>
            </w:pPr>
            <w:r>
              <w:t xml:space="preserve">Clause introduced</w:t>
            </w:r>
          </w:p>
        </w:tc>
        <w:tc>
          <w:tcPr>
            <w:tcW w:w="3460" w:type="dxa"/>
          </w:tcPr>
          <w:p>
            <w:pPr>
              <w:pStyle w:val="KestrelTableCell"/>
            </w:pPr>
            <w:r>
              <w:t xml:space="preserve">Issued following INC-2013-017.</w:t>
            </w:r>
          </w:p>
        </w:tc>
        <w:tc>
          <w:tcPr>
            <w:tcW w:w="1873" w:type="dxa"/>
          </w:tcPr>
          <w:p>
            <w:pPr>
              <w:pStyle w:val="KestrelTableCell"/>
            </w:pPr>
            <w:r>
              <w:t xml:space="preserve">N. Molteno (kestrel:molteno.n)</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moc_g1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MOC-2014-0087 - Replacement of Jetty Emergency Shutdown Valve Actuators</dc:title>
  <dc:subject>Cape Verity Export Terminal; revision 001; effective 2014-04-09</dc:subject>
  <dc:creator>N. Molteno (kestrel:molteno.n)</dc:creator>
  <cp:lastModifiedBy>N. Molteno (kestrel:molteno.n)</cp:lastModifiedBy>
  <cp:revision>001</cp:revision>
  <dcterms:created xsi:type="dcterms:W3CDTF">2014-04-09T00:00:00Z</dcterms:created>
  <dcterms:modified xsi:type="dcterms:W3CDTF">2014-04-09T00:00:00Z</dcterms:modified>
  <cp:category>Kestrel controlled document (MOC)</cp:category>
  <cp:contentStatus>Issued</cp:contentStatus>
</cp:coreProperties>
</file>