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2" Type="http://schemas.openxmlformats.org/officeDocument/2006/relationships/officeDocument" Target="word/document.xml"/><Relationship Id="rId3"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5799"/>
        <w:gridCol w:w="3555"/>
      </w:tblGrid>
      <w:tr>
        <w:tc>
          <w:tcPr>
            <w:tcW w:w="5799" w:type="dxa"/>
            <w:shd w:val="clear" w:color="auto" w:fill="FFFFFF"/>
          </w:tcPr>
          <w:p>
            <w:pPr>
              <w:spacing w:after="0"/>
            </w:pPr>
            <w:r>
              <w:rPr>
                <w:b/>
                <w:caps/>
                <w:color w:val="000000"/>
                <w:sz w:val="20"/>
                <w:szCs w:val="20"/>
              </w:rPr>
              <w:t xml:space="preserve">KESTREL RESOURCES PTY LTD</w:t>
            </w:r>
          </w:p>
          <w:p>
            <w:pPr>
              <w:pStyle w:val="KestrelMeta"/>
            </w:pPr>
            <w:r>
              <w:t xml:space="preserve">Cape Verity Export Terminal</w:t>
            </w:r>
          </w:p>
        </w:tc>
        <w:tc>
          <w:tcPr>
            <w:tcW w:w="3555" w:type="dxa"/>
            <w:shd w:val="clear" w:color="auto" w:fill="FFFFFF"/>
          </w:tcPr>
          <w:p>
            <w:pPr>
              <w:pStyle w:val="KestrelMeta"/>
              <w:jc w:val="right"/>
            </w:pPr>
            <w:r>
              <w:rPr>
                <w:b/>
              </w:rPr>
              <w:t xml:space="preserve">CONTROLLED PROCEDURE</w:t>
            </w:r>
          </w:p>
          <w:p>
            <w:pPr>
              <w:pStyle w:val="KestrelMeta"/>
              <w:jc w:val="right"/>
            </w:pPr>
            <w:r>
              <w:t xml:space="preserve">Document </w:t>
            </w:r>
            <w:r>
              <w:t xml:space="preserve">PRO-HSE-012</w:t>
            </w:r>
          </w:p>
          <w:p>
            <w:pPr>
              <w:pStyle w:val="KestrelMeta"/>
              <w:jc w:val="right"/>
            </w:pPr>
            <w:r>
              <w:t xml:space="preserve">Revision </w:t>
            </w:r>
            <w:r>
              <w:t xml:space="preserve">005</w:t>
            </w:r>
            <w:r>
              <w:t xml:space="preserve">  ·  Effective </w:t>
            </w:r>
            <w:r>
              <w:t xml:space="preserve">2015-04-10</w:t>
            </w:r>
          </w:p>
        </w:tc>
      </w:tr>
    </w:tbl>
    <w:p>
      <w:pPr>
        <w:pStyle w:val="KestrelMeta"/>
      </w:pPr>
    </w:p>
    <w:p>
      <w:pPr>
        <w:pStyle w:val="KestrelTitle"/>
        <w:pBdr>
          <w:bottom w:val="single" w:sz="12" w:space="4" w:color="404040"/>
        </w:pBdr>
      </w:pPr>
      <w:r>
        <w:t xml:space="preserve">Confined Space Entry</w:t>
      </w:r>
    </w:p>
    <w:p>
      <w:pPr>
        <w:pStyle w:val="KestrelSubtitle"/>
      </w:pPr>
      <w:r>
        <w:t xml:space="preserve">PRO-HSE-012</w:t>
      </w:r>
      <w:r>
        <w:t xml:space="preserve">  ·  revision </w:t>
      </w:r>
      <w:r>
        <w:t xml:space="preserve">005</w:t>
      </w:r>
      <w:r>
        <w:t xml:space="preserve">  ·  effective </w:t>
      </w:r>
      <w:r>
        <w:t xml:space="preserve">10 April 2015</w:t>
      </w:r>
      <w:r>
        <w:t xml:space="preserve">  ·  </w:t>
      </w:r>
      <w:r>
        <w:t xml:space="preserve">Cape Verity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806"/>
        <w:gridCol w:w="6548"/>
      </w:tblGrid>
      <w:tr>
        <w:trPr>
          <w:tblHeader/>
        </w:trPr>
        <w:tc>
          <w:tcPr>
            <w:tcW w:w="2806" w:type="dxa"/>
            <w:shd w:val="clear" w:color="auto" w:fill="FFFFFF"/>
          </w:tcPr>
          <w:p>
            <w:pPr>
              <w:pStyle w:val="KestrelTableHead"/>
            </w:pPr>
            <w:r>
              <w:t xml:space="preserve">Document control</w:t>
            </w:r>
          </w:p>
        </w:tc>
        <w:tc>
          <w:tcPr>
            <w:tcW w:w="6548" w:type="dxa"/>
            <w:shd w:val="clear" w:color="auto" w:fill="FFFFFF"/>
          </w:tcPr>
          <w:p>
            <w:pPr>
              <w:pStyle w:val="KestrelTableHead"/>
            </w:pPr>
            <w:r>
              <w:t xml:space="preserve"/>
            </w:r>
          </w:p>
        </w:tc>
      </w:tr>
      <w:tr>
        <w:tc>
          <w:tcPr>
            <w:tcW w:w="2806" w:type="dxa"/>
          </w:tcPr>
          <w:p>
            <w:pPr>
              <w:pStyle w:val="KestrelTableHead"/>
            </w:pPr>
            <w:r>
              <w:t xml:space="preserve">Document</w:t>
            </w:r>
          </w:p>
        </w:tc>
        <w:tc>
          <w:tcPr>
            <w:tcW w:w="6548" w:type="dxa"/>
          </w:tcPr>
          <w:p>
            <w:pPr>
              <w:pStyle w:val="KestrelTableCell"/>
            </w:pPr>
            <w:r>
              <w:t xml:space="preserve">PRO-HSE-012</w:t>
            </w:r>
          </w:p>
        </w:tc>
      </w:tr>
      <w:tr>
        <w:tc>
          <w:tcPr>
            <w:tcW w:w="2806" w:type="dxa"/>
          </w:tcPr>
          <w:p>
            <w:pPr>
              <w:pStyle w:val="KestrelTableHead"/>
            </w:pPr>
            <w:r>
              <w:t xml:space="preserve">Revision</w:t>
            </w:r>
          </w:p>
        </w:tc>
        <w:tc>
          <w:tcPr>
            <w:tcW w:w="6548" w:type="dxa"/>
          </w:tcPr>
          <w:p>
            <w:pPr>
              <w:pStyle w:val="KestrelTableCell"/>
            </w:pPr>
            <w:r>
              <w:t xml:space="preserve">005</w:t>
            </w:r>
          </w:p>
        </w:tc>
      </w:tr>
      <w:tr>
        <w:tc>
          <w:tcPr>
            <w:tcW w:w="2806" w:type="dxa"/>
          </w:tcPr>
          <w:p>
            <w:pPr>
              <w:pStyle w:val="KestrelTableHead"/>
            </w:pPr>
            <w:r>
              <w:t xml:space="preserve">Effective</w:t>
            </w:r>
          </w:p>
        </w:tc>
        <w:tc>
          <w:tcPr>
            <w:tcW w:w="6548" w:type="dxa"/>
          </w:tcPr>
          <w:p>
            <w:pPr>
              <w:pStyle w:val="KestrelTableCell"/>
            </w:pPr>
            <w:r>
              <w:t xml:space="preserve">10 April 2015</w:t>
            </w:r>
          </w:p>
        </w:tc>
      </w:tr>
      <w:tr>
        <w:tc>
          <w:tcPr>
            <w:tcW w:w="2806" w:type="dxa"/>
          </w:tcPr>
          <w:p>
            <w:pPr>
              <w:pStyle w:val="KestrelTableHead"/>
            </w:pPr>
            <w:r>
              <w:t xml:space="preserve">Site</w:t>
            </w:r>
          </w:p>
        </w:tc>
        <w:tc>
          <w:tcPr>
            <w:tcW w:w="6548" w:type="dxa"/>
          </w:tcPr>
          <w:p>
            <w:pPr>
              <w:pStyle w:val="KestrelTableCell"/>
            </w:pPr>
            <w:r>
              <w:t xml:space="preserve">Cape Verity (CVY)</w:t>
            </w:r>
          </w:p>
        </w:tc>
      </w:tr>
      <w:tr>
        <w:tc>
          <w:tcPr>
            <w:tcW w:w="2806" w:type="dxa"/>
          </w:tcPr>
          <w:p>
            <w:pPr>
              <w:pStyle w:val="KestrelTableHead"/>
            </w:pPr>
            <w:r>
              <w:t xml:space="preserve">Material unwanted event</w:t>
            </w:r>
          </w:p>
        </w:tc>
        <w:tc>
          <w:tcPr>
            <w:tcW w:w="6548" w:type="dxa"/>
          </w:tcPr>
          <w:p>
            <w:pPr>
              <w:pStyle w:val="KestrelTableCell"/>
            </w:pPr>
            <w:r>
              <w:t xml:space="preserve">Confined space entry</w:t>
            </w:r>
          </w:p>
        </w:tc>
      </w:tr>
      <w:tr>
        <w:tc>
          <w:tcPr>
            <w:tcW w:w="2806" w:type="dxa"/>
          </w:tcPr>
          <w:p>
            <w:pPr>
              <w:pStyle w:val="KestrelTableHead"/>
            </w:pPr>
            <w:r>
              <w:t xml:space="preserve">Owner</w:t>
            </w:r>
          </w:p>
        </w:tc>
        <w:tc>
          <w:tcPr>
            <w:tcW w:w="6548" w:type="dxa"/>
          </w:tcPr>
          <w:p>
            <w:pPr>
              <w:pStyle w:val="KestrelTableCell"/>
            </w:pPr>
            <w:r>
              <w:t xml:space="preserve">R. Fitzgibbon (kestrel:fitzgibbon.r)</w:t>
            </w:r>
          </w:p>
        </w:tc>
      </w:tr>
      <w:tr>
        <w:tc>
          <w:tcPr>
            <w:tcW w:w="2806" w:type="dxa"/>
          </w:tcPr>
          <w:p>
            <w:pPr>
              <w:pStyle w:val="KestrelTableHead"/>
            </w:pPr>
            <w:r>
              <w:t xml:space="preserve">Approved by</w:t>
            </w:r>
          </w:p>
        </w:tc>
        <w:tc>
          <w:tcPr>
            <w:tcW w:w="6548" w:type="dxa"/>
          </w:tcPr>
          <w:p>
            <w:pPr>
              <w:pStyle w:val="KestrelTableCell"/>
            </w:pPr>
            <w:r>
              <w:t xml:space="preserve">N. Molteno (kestrel:molteno.n)</w:t>
            </w:r>
          </w:p>
        </w:tc>
      </w:tr>
      <w:tr>
        <w:tc>
          <w:tcPr>
            <w:tcW w:w="2806" w:type="dxa"/>
          </w:tcPr>
          <w:p>
            <w:pPr>
              <w:pStyle w:val="KestrelTableHead"/>
            </w:pPr>
            <w:r>
              <w:t xml:space="preserve">Custodian</w:t>
            </w:r>
          </w:p>
        </w:tc>
        <w:tc>
          <w:tcPr>
            <w:tcW w:w="6548" w:type="dxa"/>
          </w:tcPr>
          <w:p>
            <w:pPr>
              <w:pStyle w:val="KestrelTableCell"/>
            </w:pPr>
            <w:r>
              <w:t xml:space="preserve">Site document control, Cape Verity</w:t>
            </w:r>
          </w:p>
        </w:tc>
      </w:tr>
      <w:tr>
        <w:tc>
          <w:tcPr>
            <w:tcW w:w="2806" w:type="dxa"/>
          </w:tcPr>
          <w:p>
            <w:pPr>
              <w:pStyle w:val="KestrelTableHead"/>
            </w:pPr>
            <w:r>
              <w:t xml:space="preserve">Classification</w:t>
            </w:r>
          </w:p>
        </w:tc>
        <w:tc>
          <w:tcPr>
            <w:tcW w:w="6548" w:type="dxa"/>
          </w:tcPr>
          <w:p>
            <w:pPr>
              <w:pStyle w:val="KestrelTableCell"/>
            </w:pPr>
            <w:r>
              <w:t xml:space="preserve">Controlled document - uncontrolled when printed</w:t>
            </w:r>
          </w:p>
        </w:tc>
      </w:tr>
    </w:tbl>
    <w:p>
      <w:pPr>
        <w:pStyle w:val="KestrelMeta"/>
      </w:pPr>
    </w:p>
    <w:p>
      <w:pPr>
        <w:pStyle w:val="KestrelHeading"/>
      </w:pPr>
      <w:r>
        <w:t xml:space="preserve">1  Purpose</w:t>
      </w:r>
    </w:p>
    <w:p>
      <w:r>
        <w:t xml:space="preserve">This procedure sets out how the task named above is to be planned, controlled and verified at Cape Verity Export Terminal. It applies to every person who performs, supervises or authorises that task, including contractors.</w:t>
      </w:r>
    </w:p>
    <w:p>
      <w:pPr>
        <w:pStyle w:val="KestrelHeading"/>
      </w:pPr>
      <w:r>
        <w:t xml:space="preserve">2  Scope</w:t>
      </w:r>
    </w:p>
    <w:p>
      <w:r>
        <w:t xml:space="preserve">This document applies to the plant and equipment listed in the register maintained for Cape Verity Export Terminal. Where a clause states a setpoint, that setpoint is a control requirement and not a guideline; where a clause requires a record, the record is part of the control.</w:t>
      </w:r>
    </w:p>
    <w:p>
      <w:pPr>
        <w:pStyle w:val="KestrelHeading"/>
      </w:pPr>
      <w:r>
        <w:t xml:space="preserve">3  Terms used in this revision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2993"/>
        <w:gridCol w:w="6361"/>
      </w:tblGrid>
      <w:tr>
        <w:trPr>
          <w:tblHeader/>
        </w:trPr>
        <w:tc>
          <w:tcPr>
            <w:tcW w:w="2993" w:type="dxa"/>
            <w:shd w:val="clear" w:color="auto" w:fill="FFFFFF"/>
          </w:tcPr>
          <w:p>
            <w:pPr>
              <w:pStyle w:val="KestrelTableHead"/>
            </w:pPr>
            <w:r>
              <w:t xml:space="preserve">Term</w:t>
            </w:r>
          </w:p>
        </w:tc>
        <w:tc>
          <w:tcPr>
            <w:tcW w:w="6361" w:type="dxa"/>
            <w:shd w:val="clear" w:color="auto" w:fill="FFFFFF"/>
          </w:tcPr>
          <w:p>
            <w:pPr>
              <w:pStyle w:val="KestrelTableHead"/>
            </w:pPr>
            <w:r>
              <w:t xml:space="preserve">Meaning in this revision</w:t>
            </w:r>
          </w:p>
        </w:tc>
      </w:tr>
      <w:tr>
        <w:tc>
          <w:tcPr>
            <w:tcW w:w="2993" w:type="dxa"/>
          </w:tcPr>
          <w:p>
            <w:pPr>
              <w:pStyle w:val="KestrelTableHead"/>
            </w:pPr>
            <w:r>
              <w:t xml:space="preserve">critical safeguard</w:t>
            </w:r>
          </w:p>
        </w:tc>
        <w:tc>
          <w:tcPr>
            <w:tcW w:w="6361" w:type="dxa"/>
          </w:tcPr>
          <w:p>
            <w:pPr>
              <w:pStyle w:val="KestrelTableCell"/>
            </w:pPr>
            <w:r>
              <w:t xml:space="preserve">As used in this revision. Revisions issued before 2010 refer to the same control as 'key safeguard'.</w:t>
            </w:r>
          </w:p>
        </w:tc>
      </w:tr>
      <w:tr>
        <w:tc>
          <w:tcPr>
            <w:tcW w:w="2993" w:type="dxa"/>
          </w:tcPr>
          <w:p>
            <w:pPr>
              <w:pStyle w:val="KestrelTableHead"/>
            </w:pPr>
            <w:r>
              <w:t xml:space="preserve">atmospheric test</w:t>
            </w:r>
          </w:p>
        </w:tc>
        <w:tc>
          <w:tcPr>
            <w:tcW w:w="6361" w:type="dxa"/>
          </w:tcPr>
          <w:p>
            <w:pPr>
              <w:pStyle w:val="KestrelTableCell"/>
            </w:pPr>
            <w:r>
              <w:t xml:space="preserve">As used in this revision. Revisions issued before 2010 refer to the same control as 'sniff test'.</w:t>
            </w:r>
          </w:p>
        </w:tc>
      </w:tr>
      <w:tr>
        <w:tc>
          <w:tcPr>
            <w:tcW w:w="2993" w:type="dxa"/>
          </w:tcPr>
          <w:p>
            <w:pPr>
              <w:pStyle w:val="KestrelTableHead"/>
            </w:pPr>
            <w:r>
              <w:t xml:space="preserve">work permit</w:t>
            </w:r>
          </w:p>
        </w:tc>
        <w:tc>
          <w:tcPr>
            <w:tcW w:w="6361" w:type="dxa"/>
          </w:tcPr>
          <w:p>
            <w:pPr>
              <w:pStyle w:val="KestrelTableCell"/>
            </w:pPr>
            <w:r>
              <w:t xml:space="preserve">As used in this revision. Revisions issued before 2010 refer to the same control as 'work clearance'.</w:t>
            </w:r>
          </w:p>
        </w:tc>
      </w:tr>
    </w:tbl>
    <w:p>
      <w:pPr>
        <w:pStyle w:val="KestrelMeta"/>
      </w:pPr>
    </w:p>
    <w:p>
      <w:pPr>
        <w:pStyle w:val="KestrelHeading"/>
      </w:pPr>
      <w:r>
        <w:t xml:space="preserve">4  Requirements</w:t>
      </w:r>
    </w:p>
    <w:p>
      <w:pPr>
        <w:pStyle w:val="KestrelHeading"/>
      </w:pPr>
      <w:r>
        <w:t xml:space="preserve">SECTION </w:t>
      </w:r>
      <w:r>
        <w:t xml:space="preserve">1</w:t>
      </w:r>
      <w:r>
        <w:t xml:space="preserve">  -  </w:t>
      </w:r>
      <w:r>
        <w:t xml:space="preserve">Purpose and scope of the task</w:t>
      </w:r>
    </w:p>
    <w:p>
      <w:pPr>
        <w:pStyle w:val="KestrelClause"/>
      </w:pPr>
      <w:r>
        <w:rPr>
          <w:b/>
        </w:rPr>
        <w:t xml:space="preserve">1.1</w:t>
      </w:r>
      <w:r>
        <w:tab/>
      </w:r>
      <w:r>
        <w:t xml:space="preserve">No person shall commence the task until the atmospheric gas testing before and during hot work has been completed and confirmed by the person in charge of the work. In this revision the control is administered under the site's atmospheric test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gas test revalidation interval during hot work: 240 min. Any departure requires an approved change request before the change is made.</w:t>
      </w:r>
    </w:p>
    <w:p>
      <w:pPr>
        <w:pStyle w:val="KestrelMeta"/>
      </w:pPr>
      <w:r>
        <w:rPr>
          <w:i/>
        </w:rPr>
        <w:t xml:space="preserve">Reference: </w:t>
      </w:r>
      <w:r>
        <w:rPr>
          <w:i/>
        </w:rPr>
        <w:t xml:space="preserve">AS 2865 (confined spaces)</w:t>
      </w:r>
    </w:p>
    <w:p>
      <w:pPr>
        <w:pStyle w:val="KestrelClause"/>
      </w:pPr>
      <w:r>
        <w:rPr>
          <w:b/>
        </w:rPr>
        <w:t xml:space="preserve">1.2</w:t>
      </w:r>
      <w:r>
        <w:tab/>
      </w:r>
      <w:r>
        <w:t xml:space="preserve">The continuous atmospheric monitoring during occupancy shall be applied in accordance with AS 2865 (confined spaces) and independently confirmed by a second competent person before work proceeds. In this revision the control is administered under the site's atmospheric test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minimum oxygen concentration for entry: 20 %vol. Any departure requires an approved change request before the change is made.</w:t>
      </w:r>
    </w:p>
    <w:p>
      <w:pPr>
        <w:pStyle w:val="KestrelMeta"/>
      </w:pPr>
      <w:r>
        <w:rPr>
          <w:i/>
        </w:rPr>
        <w:t xml:space="preserve">Reference: </w:t>
      </w:r>
      <w:r>
        <w:rPr>
          <w:i/>
        </w:rPr>
        <w:t xml:space="preserve">AS 2865 (confined spaces)</w:t>
      </w:r>
    </w:p>
    <w:p>
      <w:pPr>
        <w:pStyle w:val="KestrelClause"/>
      </w:pPr>
      <w:r>
        <w:rPr>
          <w:b/>
        </w:rPr>
        <w:t xml:space="preserve">1.3</w:t>
      </w:r>
      <w:r>
        <w:tab/>
      </w:r>
      <w:r>
        <w:t xml:space="preserve">On activation of the standby attendance and non-entry rescue capability, the operator shall isolate the source, account for all persons, and record the event before any attempt at restoration.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1.4</w:t>
      </w:r>
      <w:r>
        <w:tab/>
      </w:r>
      <w:r>
        <w:t xml:space="preserve">The standby attendance and non-entry rescue capability shall be proven at the interval set by the responsible engineer, and the result of each proof shall be recorded against the equipment tag.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1.5</w:t>
      </w:r>
      <w:r>
        <w:tab/>
      </w:r>
      <w:r>
        <w:t xml:space="preserve">The continuous atmospheric monitoring during occupancy shall be established and confirmed in place before the task begins, and shall remain in place until the work is complete and the area has been handed back. In this revision the control is administered under the site's atmospheric test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1.6</w:t>
      </w:r>
      <w:r>
        <w:tab/>
      </w:r>
      <w:r>
        <w:t xml:space="preserve">The supervisor shall not authorise the task unless the continuous atmospheric monitoring during occupancy has been carried out for every energy source and every item of plant within the declared boundary. In this revision the control is administered under the site's atmospheric test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Heading"/>
      </w:pPr>
      <w:r>
        <w:t xml:space="preserve">SECTION </w:t>
      </w:r>
      <w:r>
        <w:t xml:space="preserve">2</w:t>
      </w:r>
      <w:r>
        <w:t xml:space="preserve">  -  </w:t>
      </w:r>
      <w:r>
        <w:t xml:space="preserve">Preparation and planning</w:t>
      </w:r>
    </w:p>
    <w:p>
      <w:pPr>
        <w:pStyle w:val="KestrelClause"/>
      </w:pPr>
      <w:r>
        <w:rPr>
          <w:b/>
        </w:rPr>
        <w:t xml:space="preserve">2.1</w:t>
      </w:r>
      <w:r>
        <w:tab/>
      </w:r>
      <w:r>
        <w:t xml:space="preserve">The supervisor shall not authorise the task unless the classification of a space and issue of an entry permit has been carried out for every energy source and every item of plant within the declared boundary. In this revision the control is administered under the site's work permit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2.2</w:t>
      </w:r>
      <w:r>
        <w:tab/>
      </w:r>
      <w:r>
        <w:t xml:space="preserve">No person shall commence the task until the classification of a space and issue of an entry permit has been completed and confirmed by the person in charge of the work. In this revision the control is administered under the site's work permit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2.3</w:t>
      </w:r>
      <w:r>
        <w:tab/>
      </w:r>
      <w:r>
        <w:t xml:space="preserve">No person shall commence the task until the continuous atmospheric monitoring during occupancy has been completed and confirmed by the person in charge of the work. In this revision the control is administered under the site's atmospheric test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2.4</w:t>
      </w:r>
      <w:r>
        <w:tab/>
      </w:r>
      <w:r>
        <w:t xml:space="preserve">No person shall commence the task until the atmospheric gas testing before and during hot work has been completed and confirmed by the person in charge of the work. In this revision the control is administered under the site's atmospheric test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Heading"/>
      </w:pPr>
      <w:r>
        <w:t xml:space="preserve">SECTION </w:t>
      </w:r>
      <w:r>
        <w:t xml:space="preserve">3</w:t>
      </w:r>
      <w:r>
        <w:t xml:space="preserve">  -  </w:t>
      </w:r>
      <w:r>
        <w:t xml:space="preserve">Isolation and making safe</w:t>
      </w:r>
    </w:p>
    <w:p>
      <w:pPr>
        <w:pStyle w:val="KestrelClause"/>
      </w:pPr>
      <w:r>
        <w:rPr>
          <w:b/>
        </w:rPr>
        <w:t xml:space="preserve">3.1.2(d)</w:t>
      </w:r>
      <w:r>
        <w:tab/>
      </w:r>
      <w:r>
        <w:t xml:space="preserve">No person shall commence the task until the atmospheric gas testing before and during hot work has been completed and confirmed by the person in charge of the work. In this revision the control is administered under the site's atmospheric test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3.2</w:t>
      </w:r>
      <w:r>
        <w:tab/>
      </w:r>
      <w:r>
        <w:t xml:space="preserve">The supervisor shall not authorise the task unless the continuous atmospheric monitoring during occupancy has been carried out for every energy source and every item of plant within the declared boundary. In this revision the control is administered under the site's atmospheric test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3.3</w:t>
      </w:r>
      <w:r>
        <w:tab/>
      </w:r>
      <w:r>
        <w:t xml:space="preserve">No person shall commence the task until the classification of a space and issue of an entry permit has been completed and confirmed by the person in charge of the work. In this revision the control is administered under the site's work permit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3.5</w:t>
      </w:r>
      <w:r>
        <w:tab/>
      </w:r>
      <w:r>
        <w:t xml:space="preserve">No person shall commence the task until the continuous atmospheric monitoring during occupancy has been completed and confirmed by the person in charge of the work. In this revision the control is administered under the site's atmospheric test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hydrogen sulfide alarm threshold: 15 ppm. Any departure requires an approved change request before the change is made.</w:t>
      </w:r>
    </w:p>
    <w:p>
      <w:pPr>
        <w:pStyle w:val="KestrelMeta"/>
      </w:pPr>
      <w:r>
        <w:rPr>
          <w:i/>
        </w:rPr>
        <w:t xml:space="preserve">Reference: </w:t>
      </w:r>
      <w:r>
        <w:rPr>
          <w:i/>
        </w:rPr>
        <w:t xml:space="preserve">WHS Reg r.66 (confined space entry permit)</w:t>
      </w:r>
    </w:p>
    <w:p>
      <w:pPr>
        <w:pStyle w:val="KestrelClause"/>
      </w:pPr>
      <w:r>
        <w:rPr>
          <w:b/>
        </w:rPr>
        <w:t xml:space="preserve">3.4</w:t>
      </w:r>
      <w:r>
        <w:tab/>
      </w:r>
      <w:r>
        <w:t xml:space="preserve">Where the standby attendance and non-entry rescue capability is unavailable or has been overridden, the task shall be suspended and the area made safe before work resumes.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Heading"/>
      </w:pPr>
      <w:r>
        <w:t xml:space="preserve">SECTION </w:t>
      </w:r>
      <w:r>
        <w:t xml:space="preserve">4</w:t>
      </w:r>
      <w:r>
        <w:t xml:space="preserve">  -  </w:t>
      </w:r>
      <w:r>
        <w:t xml:space="preserve">Access, entry and atmosphere</w:t>
      </w:r>
    </w:p>
    <w:p>
      <w:pPr>
        <w:pStyle w:val="KestrelClause"/>
      </w:pPr>
      <w:r>
        <w:rPr>
          <w:b/>
        </w:rPr>
        <w:t xml:space="preserve">4.4</w:t>
      </w:r>
      <w:r>
        <w:tab/>
      </w:r>
      <w:r>
        <w:t xml:space="preserve">The standby attendance and non-entry rescue capability shall be available and functional for the duration of the task; loss of function shall stop the work and place the plant in a safe state. In this revision the control is administered under the site's critical safeguard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4.6</w:t>
      </w:r>
      <w:r>
        <w:tab/>
      </w:r>
      <w:r>
        <w:t xml:space="preserve">The supervisor shall not authorise the task unless the continuous atmospheric monitoring during occupancy has been carried out for every energy source and every item of plant within the declared boundary. In this revision the control is administered under the site's atmospheric test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4.1</w:t>
      </w:r>
      <w:r>
        <w:tab/>
      </w:r>
      <w:r>
        <w:t xml:space="preserve">On activation of the standby attendance and non-entry rescue capability, the operator shall isolate the source, account for all persons, and record the event before any attempt at restoration.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Heading"/>
      </w:pPr>
      <w:r>
        <w:t xml:space="preserve">SECTION </w:t>
      </w:r>
      <w:r>
        <w:t xml:space="preserve">5</w:t>
      </w:r>
      <w:r>
        <w:t xml:space="preserve">  -  </w:t>
      </w:r>
      <w:r>
        <w:t xml:space="preserve">Execution of the work</w:t>
      </w:r>
    </w:p>
    <w:p>
      <w:pPr>
        <w:pStyle w:val="KestrelClause"/>
      </w:pPr>
      <w:r>
        <w:rPr>
          <w:b/>
        </w:rPr>
        <w:t xml:space="preserve">5.2</w:t>
      </w:r>
      <w:r>
        <w:tab/>
      </w:r>
      <w:r>
        <w:t xml:space="preserve">The classification of a space and issue of an entry permit shall be applied in accordance with WHS Reg r.66 (confined space entry permit) and independently confirmed by a second competent person before work proceeds. In this revision the control is administered under the site's work permit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5.3</w:t>
      </w:r>
      <w:r>
        <w:tab/>
      </w:r>
      <w:r>
        <w:t xml:space="preserve">The classification of a space and issue of an entry permit shall be applied in accordance with AS 2865 (confined spaces) and independently confirmed by a second competent person before work proceeds. In this revision the control is administered under the site's work permit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5.4</w:t>
      </w:r>
      <w:r>
        <w:tab/>
      </w:r>
      <w:r>
        <w:t xml:space="preserve">The standby attendance and non-entry rescue capability shall be available and functional for the duration of the task; loss of function shall stop the work and place the plant in a safe state. In this revision the control is administered under the site's critical safeguard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5.1</w:t>
      </w:r>
      <w:r>
        <w:tab/>
      </w:r>
      <w:r>
        <w:t xml:space="preserve">No person shall commence the task until the atmospheric gas testing before and during hot work has been completed and confirmed by the person in charge of the work. In this revision the control is administered under the site's atmospheric test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5.5</w:t>
      </w:r>
      <w:r>
        <w:tab/>
      </w:r>
      <w:r>
        <w:t xml:space="preserve">The classification of a space and issue of an entry permit shall be established and confirmed in place before the task begins, and shall remain in place until the work is complete and the area has been handed back. In this revision the control is administered under the site's work permit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Heading"/>
      </w:pPr>
      <w:r>
        <w:t xml:space="preserve">SECTION </w:t>
      </w:r>
      <w:r>
        <w:t xml:space="preserve">6</w:t>
      </w:r>
      <w:r>
        <w:t xml:space="preserve">  -  </w:t>
      </w:r>
      <w:r>
        <w:t xml:space="preserve">Verification and testing</w:t>
      </w:r>
    </w:p>
    <w:p>
      <w:pPr>
        <w:pStyle w:val="KestrelClause"/>
      </w:pPr>
      <w:r>
        <w:rPr>
          <w:b/>
        </w:rPr>
        <w:t xml:space="preserve">6.2</w:t>
      </w:r>
      <w:r>
        <w:tab/>
      </w:r>
      <w:r>
        <w:t xml:space="preserve">The atmospheric gas testing before and during hot work shall be established and confirmed in place before the task begins, and shall remain in place until the work is complete and the area has been handed back. In this revision the control is administered under the site's atmospheric test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6.1</w:t>
      </w:r>
      <w:r>
        <w:tab/>
      </w:r>
      <w:r>
        <w:t xml:space="preserve">The supervisor shall not authorise the task unless the atmospheric gas testing before and during hot work has been carried out for every energy source and every item of plant within the declared boundary. In this revision the control is administered under the site's atmospheric test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gas test revalidation interval during hot work: 240 min. Any departure requires an approved change request before the change is made.</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6.4</w:t>
      </w:r>
      <w:r>
        <w:tab/>
      </w:r>
      <w:r>
        <w:t xml:space="preserve">The supervisor shall not authorise the task unless the classification of a space and issue of an entry permit has been carried out for every energy source and every item of plant within the declared boundary. In this revision the control is administered under the site's work permit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6.5</w:t>
      </w:r>
      <w:r>
        <w:tab/>
      </w:r>
      <w:r>
        <w:t xml:space="preserve">No person shall commence the task until the classification of a space and issue of an entry permit has been completed and confirmed by the person in charge of the work. In this revision the control is administered under the site's work permit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6.6</w:t>
      </w:r>
      <w:r>
        <w:tab/>
      </w:r>
      <w:r>
        <w:t xml:space="preserve">The supervisor shall not authorise the task unless the atmospheric gas testing before and during hot work has been carried out for every energy source and every item of plant within the declared boundary. In this revision the control is administered under the site's atmospheric test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flammable gas alarm threshold: 25 %LEL. Any departure requires an approved change request before the change is made.</w:t>
      </w:r>
    </w:p>
    <w:p>
      <w:pPr>
        <w:pStyle w:val="KestrelMeta"/>
      </w:pPr>
      <w:r>
        <w:rPr>
          <w:i/>
        </w:rPr>
        <w:t xml:space="preserve">Reference: </w:t>
      </w:r>
      <w:r>
        <w:rPr>
          <w:i/>
        </w:rPr>
        <w:t xml:space="preserve">WHS Reg r.66 (confined space entry permit)</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7.2</w:t>
      </w:r>
      <w:r>
        <w:tab/>
      </w:r>
      <w:r>
        <w:t xml:space="preserve">No person shall commence the task until the classification of a space and issue of an entry permit has been completed and confirmed by the person in charge of the work. In this revision the control is administered under the site's work permit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 2865 (confined spaces)</w:t>
      </w:r>
    </w:p>
    <w:p>
      <w:pPr>
        <w:pStyle w:val="KestrelClause"/>
      </w:pPr>
      <w:r>
        <w:rPr>
          <w:b/>
        </w:rPr>
        <w:t xml:space="preserve">7.1</w:t>
      </w:r>
      <w:r>
        <w:tab/>
      </w:r>
      <w:r>
        <w:t xml:space="preserve">Where the standby attendance and non-entry rescue capability is unavailable or has been overridden, the task shall be suspended and the area made safe before work resumes. In this revision the control is administered under the site's critical safeguard arrangements. Any departure from this clause shall be raised as a change request before the work proceeds, and shall not be approved by the person performing the task.</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Clause"/>
      </w:pPr>
      <w:r>
        <w:rPr>
          <w:b/>
        </w:rPr>
        <w:t xml:space="preserve">7.5</w:t>
      </w:r>
      <w:r>
        <w:tab/>
      </w:r>
      <w:r>
        <w:t xml:space="preserve">The classification of a space and issue of an entry permit shall be established and confirmed in place before the task begins, and shall remain in place until the work is complete and the area has been handed back. In this revision the control is administered under the site's work permit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Heading"/>
      </w:pPr>
      <w:r>
        <w:t xml:space="preserve">SECTION </w:t>
      </w:r>
      <w:r>
        <w:t xml:space="preserve">8</w:t>
      </w:r>
      <w:r>
        <w:t xml:space="preserve">  -  </w:t>
      </w:r>
      <w:r>
        <w:t xml:space="preserve">Abnormal conditions and emergency response</w:t>
      </w:r>
    </w:p>
    <w:p>
      <w:pPr>
        <w:pStyle w:val="KestrelClause"/>
      </w:pPr>
      <w:r>
        <w:rPr>
          <w:b/>
        </w:rPr>
        <w:t xml:space="preserve">8.1.2(b)</w:t>
      </w:r>
      <w:r>
        <w:tab/>
      </w:r>
      <w:r>
        <w:t xml:space="preserve">The standby attendance and non-entry rescue capability shall be available and functional for the duration of the task; loss of function shall stop the work and place the plant in a safe state. In this revision the control is administered under the site's critical safeguard arrangements. Evidence of compliance shall be recorded at the time of the check, and shall name the person who made it.</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8.2</w:t>
      </w:r>
      <w:r>
        <w:tab/>
      </w:r>
      <w:r>
        <w:t xml:space="preserve">No person shall commence the task until the classification of a space and issue of an entry permit has been completed and confirmed by the person in charge of the work. In this revision the control is administered under the site's work permit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WHS Reg r.66 (confined space entry permit)</w:t>
      </w:r>
    </w:p>
    <w:p>
      <w:pPr>
        <w:pStyle w:val="KestrelHeading"/>
      </w:pPr>
      <w:r>
        <w:t xml:space="preserve">SECTION </w:t>
      </w:r>
      <w:r>
        <w:t xml:space="preserve">7</w:t>
      </w:r>
      <w:r>
        <w:t xml:space="preserve">  -  </w:t>
      </w:r>
      <w:r>
        <w:t xml:space="preserve">Monitoring, alarms and setpoints</w:t>
      </w:r>
    </w:p>
    <w:p>
      <w:pPr>
        <w:pStyle w:val="KestrelClause"/>
      </w:pPr>
      <w:r>
        <w:rPr>
          <w:b/>
        </w:rPr>
        <w:t xml:space="preserve">7.3</w:t>
      </w:r>
      <w:r>
        <w:tab/>
      </w:r>
      <w:r>
        <w:t xml:space="preserve">On activation of the standby attendance and non-entry rescue capability, the operator shall isolate the source, account for all persons, and record the event before any attempt at restoration. In this revision the control is administered under the site's critical safeguard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Meta"/>
      </w:pPr>
      <w:r>
        <w:rPr>
          <w:i/>
        </w:rPr>
        <w:t xml:space="preserve">Reference: </w:t>
      </w:r>
      <w:r>
        <w:rPr>
          <w:i/>
        </w:rPr>
        <w:t xml:space="preserve">AS/NZS 1715 (selection, use and maintenance of respiratory protective equipment)</w:t>
      </w:r>
    </w:p>
    <w:p>
      <w:pPr>
        <w:pStyle w:val="KestrelClause"/>
      </w:pPr>
      <w:r>
        <w:rPr>
          <w:b/>
        </w:rPr>
        <w:t xml:space="preserve">7.4</w:t>
      </w:r>
      <w:r>
        <w:tab/>
      </w:r>
      <w:r>
        <w:t xml:space="preserve">The continuous atmospheric monitoring during occupancy shall be applied in accordance with AS/NZS 1715 (selection, use and maintenance of respiratory protective equipment) and independently confirmed by a second competent person before work proceeds. In this revision the control is administered under the site's atmospheric test arrangements. The completed record shall be retained on the PRO-HSE-012 file under the site's change request arrangements.</w:t>
      </w:r>
    </w:p>
    <w:p>
      <w:pPr>
        <w:pStyle w:val="KestrelPoint"/>
      </w:pPr>
      <w:r>
        <w:t xml:space="preserve">confirm that the control is in place and effective before the task starts;</w:t>
      </w:r>
    </w:p>
    <w:p>
      <w:pPr>
        <w:pStyle w:val="KestrelPoint"/>
      </w:pPr>
      <w:r>
        <w:t xml:space="preserve">record the confirmation, the time it was made and the person who made it;</w:t>
      </w:r>
    </w:p>
    <w:p>
      <w:pPr>
        <w:pStyle w:val="KestrelPoint"/>
      </w:pPr>
      <w:r>
        <w:t xml:space="preserve">stop the task and notify the supervisor if the control cannot be confirmed.</w:t>
      </w:r>
    </w:p>
    <w:p>
      <w:pPr>
        <w:pStyle w:val="KestrelSetpoint"/>
      </w:pPr>
      <w:r>
        <w:t xml:space="preserve">Setpoint - hydrogen sulfide alarm threshold: 15 ppm. Any departure requires an approved change request before the change is made.</w:t>
      </w:r>
    </w:p>
    <w:p>
      <w:pPr>
        <w:pStyle w:val="KestrelMeta"/>
      </w:pPr>
      <w:r>
        <w:rPr>
          <w:i/>
        </w:rPr>
        <w:t xml:space="preserve">Reference: </w:t>
      </w:r>
      <w:r>
        <w:rPr>
          <w:i/>
        </w:rPr>
        <w:t xml:space="preserve">AS/NZS 1715 (selection, use and maintenance of respiratory protective equipment)</w:t>
      </w:r>
    </w:p>
    <w:p>
      <w:pPr>
        <w:pStyle w:val="KestrelHeading"/>
      </w:pPr>
      <w:r>
        <w:t xml:space="preserve">Revision history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841"/>
        <w:gridCol w:w="1590"/>
        <w:gridCol w:w="1590"/>
        <w:gridCol w:w="3460"/>
        <w:gridCol w:w="1873"/>
      </w:tblGrid>
      <w:tr>
        <w:trPr>
          <w:tblHeader/>
        </w:trPr>
        <w:tc>
          <w:tcPr>
            <w:tcW w:w="841" w:type="dxa"/>
            <w:shd w:val="clear" w:color="auto" w:fill="FFFFFF"/>
          </w:tcPr>
          <w:p>
            <w:pPr>
              <w:pStyle w:val="KestrelTableHead"/>
            </w:pPr>
            <w:r>
              <w:t xml:space="preserve">Rev</w:t>
            </w:r>
          </w:p>
        </w:tc>
        <w:tc>
          <w:tcPr>
            <w:tcW w:w="1590" w:type="dxa"/>
            <w:shd w:val="clear" w:color="auto" w:fill="FFFFFF"/>
          </w:tcPr>
          <w:p>
            <w:pPr>
              <w:pStyle w:val="KestrelTableHead"/>
            </w:pPr>
            <w:r>
              <w:t xml:space="preserve">Effective</w:t>
            </w:r>
          </w:p>
        </w:tc>
        <w:tc>
          <w:tcPr>
            <w:tcW w:w="1590" w:type="dxa"/>
            <w:shd w:val="clear" w:color="auto" w:fill="FFFFFF"/>
          </w:tcPr>
          <w:p>
            <w:pPr>
              <w:pStyle w:val="KestrelTableHead"/>
            </w:pPr>
            <w:r>
              <w:t xml:space="preserve">Change</w:t>
            </w:r>
          </w:p>
        </w:tc>
        <w:tc>
          <w:tcPr>
            <w:tcW w:w="3460" w:type="dxa"/>
            <w:shd w:val="clear" w:color="auto" w:fill="FFFFFF"/>
          </w:tcPr>
          <w:p>
            <w:pPr>
              <w:pStyle w:val="KestrelTableHead"/>
            </w:pPr>
            <w:r>
              <w:t xml:space="preserve">Reason for change</w:t>
            </w:r>
          </w:p>
        </w:tc>
        <w:tc>
          <w:tcPr>
            <w:tcW w:w="1873" w:type="dxa"/>
            <w:shd w:val="clear" w:color="auto" w:fill="FFFFFF"/>
          </w:tcPr>
          <w:p>
            <w:pPr>
              <w:pStyle w:val="KestrelTableHead"/>
            </w:pPr>
            <w:r>
              <w:t xml:space="preserve">Approved by</w:t>
            </w:r>
          </w:p>
        </w:tc>
      </w:tr>
      <w:tr>
        <w:tc>
          <w:tcPr>
            <w:tcW w:w="841" w:type="dxa"/>
          </w:tcPr>
          <w:p>
            <w:pPr>
              <w:pStyle w:val="KestrelTableCell"/>
            </w:pPr>
            <w:r>
              <w:t xml:space="preserve">001</w:t>
            </w:r>
          </w:p>
        </w:tc>
        <w:tc>
          <w:tcPr>
            <w:tcW w:w="1590" w:type="dxa"/>
          </w:tcPr>
          <w:p>
            <w:pPr>
              <w:pStyle w:val="KestrelTableCell"/>
            </w:pPr>
            <w:r>
              <w:t xml:space="preserve">8 October 2004</w:t>
            </w:r>
          </w:p>
        </w:tc>
        <w:tc>
          <w:tcPr>
            <w:tcW w:w="1590" w:type="dxa"/>
          </w:tcPr>
          <w:p>
            <w:pPr>
              <w:pStyle w:val="KestrelTableCell"/>
            </w:pPr>
            <w:r>
              <w:t xml:space="preserve">Clause introduced</w:t>
            </w:r>
          </w:p>
        </w:tc>
        <w:tc>
          <w:tcPr>
            <w:tcW w:w="3460" w:type="dxa"/>
          </w:tcPr>
          <w:p>
            <w:pPr>
              <w:pStyle w:val="KestrelTableCell"/>
            </w:pPr>
            <w:r>
              <w:t xml:space="preserve">Issued at scheduled review; 31 clause(s) revised.</w:t>
            </w:r>
          </w:p>
        </w:tc>
        <w:tc>
          <w:tcPr>
            <w:tcW w:w="1873" w:type="dxa"/>
          </w:tcPr>
          <w:p>
            <w:pPr>
              <w:pStyle w:val="KestrelTableCell"/>
            </w:pPr>
            <w:r>
              <w:t xml:space="preserve">R. Fitzgibbon (kestrel:fitzgibbon.r)</w:t>
            </w:r>
          </w:p>
        </w:tc>
      </w:tr>
      <w:tr>
        <w:tc>
          <w:tcPr>
            <w:tcW w:w="841" w:type="dxa"/>
          </w:tcPr>
          <w:p>
            <w:pPr>
              <w:pStyle w:val="KestrelTableCell"/>
            </w:pPr>
            <w:r>
              <w:t xml:space="preserve">002</w:t>
            </w:r>
          </w:p>
        </w:tc>
        <w:tc>
          <w:tcPr>
            <w:tcW w:w="1590" w:type="dxa"/>
          </w:tcPr>
          <w:p>
            <w:pPr>
              <w:pStyle w:val="KestrelTableCell"/>
            </w:pPr>
            <w:r>
              <w:t xml:space="preserve">5 December 2007</w:t>
            </w:r>
          </w:p>
        </w:tc>
        <w:tc>
          <w:tcPr>
            <w:tcW w:w="1590" w:type="dxa"/>
          </w:tcPr>
          <w:p>
            <w:pPr>
              <w:pStyle w:val="KestrelTableCell"/>
            </w:pPr>
            <w:r>
              <w:t xml:space="preserve">Clause introduced</w:t>
            </w:r>
          </w:p>
        </w:tc>
        <w:tc>
          <w:tcPr>
            <w:tcW w:w="3460" w:type="dxa"/>
          </w:tcPr>
          <w:p>
            <w:pPr>
              <w:pStyle w:val="KestrelTableCell"/>
            </w:pPr>
            <w:r>
              <w:t xml:space="preserve">Issued at scheduled review; 6 clause(s) revised.</w:t>
            </w:r>
          </w:p>
        </w:tc>
        <w:tc>
          <w:tcPr>
            <w:tcW w:w="1873" w:type="dxa"/>
          </w:tcPr>
          <w:p>
            <w:pPr>
              <w:pStyle w:val="KestrelTableCell"/>
            </w:pPr>
            <w:r>
              <w:t xml:space="preserve">H. Zubieta (kestrel:zubieta.h)</w:t>
            </w:r>
          </w:p>
        </w:tc>
      </w:tr>
      <w:tr>
        <w:tc>
          <w:tcPr>
            <w:tcW w:w="841" w:type="dxa"/>
          </w:tcPr>
          <w:p>
            <w:pPr>
              <w:pStyle w:val="KestrelTableCell"/>
            </w:pPr>
            <w:r>
              <w:t xml:space="preserve">003</w:t>
            </w:r>
          </w:p>
        </w:tc>
        <w:tc>
          <w:tcPr>
            <w:tcW w:w="1590" w:type="dxa"/>
          </w:tcPr>
          <w:p>
            <w:pPr>
              <w:pStyle w:val="KestrelTableCell"/>
            </w:pPr>
            <w:r>
              <w:t xml:space="preserve">4 September 2010</w:t>
            </w:r>
          </w:p>
        </w:tc>
        <w:tc>
          <w:tcPr>
            <w:tcW w:w="1590" w:type="dxa"/>
          </w:tcPr>
          <w:p>
            <w:pPr>
              <w:pStyle w:val="KestrelTableCell"/>
            </w:pPr>
            <w:r>
              <w:t xml:space="preserve">Control strengthened</w:t>
            </w:r>
          </w:p>
        </w:tc>
        <w:tc>
          <w:tcPr>
            <w:tcW w:w="3460" w:type="dxa"/>
          </w:tcPr>
          <w:p>
            <w:pPr>
              <w:pStyle w:val="KestrelTableCell"/>
            </w:pPr>
            <w:r>
              <w:t xml:space="preserve">Issued following CAPA-2010-001.</w:t>
            </w:r>
          </w:p>
        </w:tc>
        <w:tc>
          <w:tcPr>
            <w:tcW w:w="1873" w:type="dxa"/>
          </w:tcPr>
          <w:p>
            <w:pPr>
              <w:pStyle w:val="KestrelTableCell"/>
            </w:pPr>
            <w:r>
              <w:t xml:space="preserve">M. Sandoval (kestrel:sandoval.m)</w:t>
            </w:r>
          </w:p>
        </w:tc>
      </w:tr>
      <w:tr>
        <w:tc>
          <w:tcPr>
            <w:tcW w:w="841" w:type="dxa"/>
          </w:tcPr>
          <w:p>
            <w:pPr>
              <w:pStyle w:val="KestrelTableCell"/>
            </w:pPr>
            <w:r>
              <w:t xml:space="preserve">004</w:t>
            </w:r>
          </w:p>
        </w:tc>
        <w:tc>
          <w:tcPr>
            <w:tcW w:w="1590" w:type="dxa"/>
          </w:tcPr>
          <w:p>
            <w:pPr>
              <w:pStyle w:val="KestrelTableCell"/>
            </w:pPr>
            <w:r>
              <w:t xml:space="preserve">9 April 2013</w:t>
            </w:r>
          </w:p>
        </w:tc>
        <w:tc>
          <w:tcPr>
            <w:tcW w:w="1590" w:type="dxa"/>
          </w:tcPr>
          <w:p>
            <w:pPr>
              <w:pStyle w:val="KestrelTableCell"/>
            </w:pPr>
            <w:r>
              <w:t xml:space="preserve">Control strengthened</w:t>
            </w:r>
          </w:p>
        </w:tc>
        <w:tc>
          <w:tcPr>
            <w:tcW w:w="3460" w:type="dxa"/>
          </w:tcPr>
          <w:p>
            <w:pPr>
              <w:pStyle w:val="KestrelTableCell"/>
            </w:pPr>
            <w:r>
              <w:t xml:space="preserve">Issued at scheduled review; 8 clause(s) revised.</w:t>
            </w:r>
          </w:p>
        </w:tc>
        <w:tc>
          <w:tcPr>
            <w:tcW w:w="1873" w:type="dxa"/>
          </w:tcPr>
          <w:p>
            <w:pPr>
              <w:pStyle w:val="KestrelTableCell"/>
            </w:pPr>
            <w:r>
              <w:t xml:space="preserve">H. Zubieta (kestrel:zubieta.h)</w:t>
            </w:r>
          </w:p>
        </w:tc>
      </w:tr>
      <w:tr>
        <w:tc>
          <w:tcPr>
            <w:tcW w:w="841" w:type="dxa"/>
          </w:tcPr>
          <w:p>
            <w:pPr>
              <w:pStyle w:val="KestrelTableCell"/>
            </w:pPr>
            <w:r>
              <w:t xml:space="preserve">005</w:t>
            </w:r>
          </w:p>
        </w:tc>
        <w:tc>
          <w:tcPr>
            <w:tcW w:w="1590" w:type="dxa"/>
          </w:tcPr>
          <w:p>
            <w:pPr>
              <w:pStyle w:val="KestrelTableCell"/>
            </w:pPr>
            <w:r>
              <w:t xml:space="preserve">10 April 2015</w:t>
            </w:r>
          </w:p>
        </w:tc>
        <w:tc>
          <w:tcPr>
            <w:tcW w:w="1590" w:type="dxa"/>
          </w:tcPr>
          <w:p>
            <w:pPr>
              <w:pStyle w:val="KestrelTableCell"/>
            </w:pPr>
            <w:r>
              <w:t xml:space="preserve">Editorial restatement</w:t>
            </w:r>
          </w:p>
        </w:tc>
        <w:tc>
          <w:tcPr>
            <w:tcW w:w="3460" w:type="dxa"/>
          </w:tcPr>
          <w:p>
            <w:pPr>
              <w:pStyle w:val="KestrelTableCell"/>
            </w:pPr>
            <w:r>
              <w:t xml:space="preserve">Scheduled review. The basis of the control is unchanged.</w:t>
            </w:r>
          </w:p>
        </w:tc>
        <w:tc>
          <w:tcPr>
            <w:tcW w:w="1873" w:type="dxa"/>
          </w:tcPr>
          <w:p>
            <w:pPr>
              <w:pStyle w:val="KestrelTableCell"/>
            </w:pPr>
            <w:r>
              <w:t xml:space="preserve">N. Molteno (kestrel:molteno.n)</w:t>
            </w:r>
          </w:p>
        </w:tc>
      </w:tr>
    </w:tbl>
    <w:p>
      <w:pPr>
        <w:pStyle w:val="KestrelMeta"/>
      </w:pPr>
    </w:p>
    <w:p>
      <w:pPr>
        <w:pStyle w:val="KestrelMeta"/>
      </w:pPr>
      <w:r>
        <w:rPr>
          <w:i/>
        </w:rPr>
        <w:t xml:space="preserve">This document is controlled electronically. A printed copy is uncontrolled and is valid only on the day it was printed. The authoritative copy, its revision history and the identity of every clause are held in the site document register.</w:t>
      </w:r>
    </w:p>
    <w:sectPr>
      <w:pgSz w:w="11906" w:h="16838"/>
      <w:pgMar w:top="1134" w:right="1134" w:bottom="1134" w:left="1418" w:header="709" w:footer="709" w:gutter="0"/>
      <w:cols w:space="708"/>
      <w:docGrid w:linePitch="360"/>
    </w:sectPr>
  </w:body>
</w:document>
</file>

<file path=word/fontTable.xml><?xml version="1.0" encoding="utf-8"?>
<w:fonts xmlns:w="http://schemas.openxmlformats.org/wordprocessingml/2006/main" xmlns:r="http://schemas.openxmlformats.org/officeDocument/2006/relationships">
  <w:font w:name="Arial">
    <w:charset w:val="00"/>
    <w:family w:val="swiss"/>
    <w:pitch w:val="variable"/>
  </w:font>
</w:fonts>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lowerLetter"/>
      <w:lvlText w:val="(%1)"/>
      <w:lvlJc w:val="left"/>
      <w:pPr>
        <w:ind w:left="1191" w:hanging="340"/>
      </w:pPr>
    </w:lvl>
  </w:abstractNum>
  <w:num w:numId="1">
    <w:abstractNumId w:val="0"/>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themeFontLang w:val="en-AU"/>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Arial" w:hAnsi="Arial" w:cs="Arial"/>
        <w:sz w:val="20"/>
        <w:szCs w:val="20"/>
        <w:lang w:val="en-AU" w:eastAsia="en-AU" w:bidi="ar-SA"/>
      </w:rPr>
    </w:rPrDefault>
    <w:pPrDefault>
      <w:pPr>
        <w:spacing w:after="120" w:line="240" w:lineRule="auto"/>
      </w:pPr>
    </w:pPrDefault>
  </w:docDefaults>
  <w:style w:type="paragraph" w:default="1" w:styleId="Normal">
    <w:name w:val="Normal"/>
    <w:qFormat/>
  </w:style>
  <w:style w:type="paragraph" w:styleId="KestrelTitle">
    <w:name w:val="Kestrel Title"/>
    <w:basedOn w:val="Normal"/>
    <w:qFormat/>
    <w:pPr>
      <w:spacing w:before="120" w:after="60"/>
    </w:pPr>
    <w:rPr>
      <w:rFonts w:ascii="Arial" w:hAnsi="Arial"/>
      <w:b/>
      <w:caps/>
      <w:color w:val="000000"/>
      <w:sz w:val="28"/>
      <w:szCs w:val="28"/>
    </w:rPr>
  </w:style>
  <w:style w:type="paragraph" w:styleId="KestrelSubtitle">
    <w:name w:val="Kestrel Subtitle"/>
    <w:basedOn w:val="Normal"/>
    <w:qFormat/>
    <w:pPr>
      <w:spacing w:after="240"/>
    </w:pPr>
    <w:rPr>
      <w:rFonts w:ascii="Arial" w:hAnsi="Arial"/>
      <w:color w:val="000000"/>
      <w:sz w:val="20"/>
      <w:szCs w:val="20"/>
    </w:rPr>
  </w:style>
  <w:style w:type="paragraph" w:styleId="KestrelHeading">
    <w:name w:val="Kestrel Heading"/>
    <w:basedOn w:val="Normal"/>
    <w:qFormat/>
    <w:pPr>
      <w:keepNext/>
      <w:spacing w:before="280" w:after="120"/>
      <w:pBdr>
        <w:bottom w:val="single" w:sz="6" w:space="2" w:color="000000"/>
      </w:pBdr>
    </w:pPr>
    <w:rPr>
      <w:rFonts w:ascii="Arial" w:hAnsi="Arial"/>
      <w:b/>
      <w:caps/>
      <w:color w:val="000000"/>
      <w:sz w:val="24"/>
      <w:szCs w:val="24"/>
    </w:rPr>
  </w:style>
  <w:style w:type="paragraph" w:styleId="KestrelSubheading">
    <w:name w:val="Kestrel Subheading"/>
    <w:basedOn w:val="Normal"/>
    <w:qFormat/>
    <w:pPr>
      <w:keepNext/>
      <w:spacing w:before="160" w:after="80"/>
    </w:pPr>
    <w:rPr>
      <w:rFonts w:ascii="Arial" w:hAnsi="Arial"/>
      <w:b/>
      <w:i/>
      <w:sz w:val="20"/>
      <w:szCs w:val="20"/>
    </w:rPr>
  </w:style>
  <w:style w:type="paragraph" w:styleId="KestrelClause">
    <w:name w:val="Kestrel Clause"/>
    <w:basedOn w:val="Normal"/>
    <w:qFormat/>
    <w:pPr>
      <w:ind w:left="851" w:hanging="851"/>
      <w:spacing w:after="120"/>
      <w:jc w:val="both"/>
    </w:pPr>
  </w:style>
  <w:style w:type="paragraph" w:styleId="KestrelPoint">
    <w:name w:val="Kestrel Clause Point"/>
    <w:basedOn w:val="Normal"/>
    <w:qFormat/>
    <w:pPr>
      <w:numPr>
        <w:ilvl w:val="0"/>
        <w:numId w:val="1"/>
      </w:numPr>
      <w:ind w:left="1191" w:hanging="340"/>
      <w:spacing w:after="60"/>
    </w:pPr>
  </w:style>
  <w:style w:type="paragraph" w:styleId="KestrelSetpoint">
    <w:name w:val="Kestrel Setpoint"/>
    <w:basedOn w:val="Normal"/>
    <w:qFormat/>
    <w:pPr>
      <w:ind w:left="851"/>
      <w:spacing w:before="60" w:after="160"/>
    </w:pPr>
    <w:rPr>
      <w:b/>
    </w:rPr>
  </w:style>
  <w:style w:type="paragraph" w:styleId="KestrelMeta">
    <w:name w:val="Kestrel Meta"/>
    <w:basedOn w:val="Normal"/>
    <w:qFormat/>
    <w:pPr>
      <w:spacing w:after="0"/>
    </w:pPr>
    <w:rPr>
      <w:sz w:val="16"/>
      <w:szCs w:val="16"/>
    </w:rPr>
  </w:style>
  <w:style w:type="paragraph" w:styleId="KestrelTableHead">
    <w:name w:val="Kestrel Table Heading"/>
    <w:basedOn w:val="Normal"/>
    <w:qFormat/>
    <w:pPr>
      <w:spacing w:after="0"/>
    </w:pPr>
    <w:rPr>
      <w:b/>
      <w:sz w:val="16"/>
      <w:szCs w:val="16"/>
    </w:rPr>
  </w:style>
  <w:style w:type="paragraph" w:styleId="KestrelTableCell">
    <w:name w:val="Kestrel Table Cell"/>
    <w:basedOn w:val="Normal"/>
    <w:qFormat/>
    <w:pPr>
      <w:spacing w:after="0"/>
    </w:pPr>
    <w:rPr>
      <w:sz w:val="16"/>
      <w:szCs w:val="16"/>
    </w:rPr>
  </w:style>
</w:styles>
</file>

<file path=word/_rels/document.xml.rels><?xml version="1.0" encoding="UTF-8" standalone="yes"?>
<Relationships xmlns="http://schemas.openxmlformats.org/package/2006/relationships"><Relationship Id="rId4"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Template>pro_g1</Template>
  <Application>MAINLINE corpusgen docx 1.0.0</Application>
  <Company>Kestrel Resources Pty Ltd</Company>
  <AppVersion>1.0000</AppVersion>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PRO-HSE-012 - Confined Space Entry</dc:title>
  <dc:subject>Cape Verity Export Terminal; revision 005; effective 2015-04-10</dc:subject>
  <dc:creator>N. Molteno (kestrel:molteno.n)</dc:creator>
  <cp:lastModifiedBy>N. Molteno (kestrel:molteno.n)</cp:lastModifiedBy>
  <cp:revision>005</cp:revision>
  <dcterms:created xsi:type="dcterms:W3CDTF">2015-04-10T00:00:00Z</dcterms:created>
  <dcterms:modified xsi:type="dcterms:W3CDTF">2015-04-10T00:00:00Z</dcterms:modified>
  <cp:category>Kestrel controlled document (PRO)</cp:category>
  <cp:contentStatus>Issued</cp:contentStatus>
</cp:coreProperties>
</file>