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2" Type="http://schemas.openxmlformats.org/officeDocument/2006/relationships/officeDocument" Target="word/document.xml"/><Relationship Id="rId3" Type="http://schemas.openxmlformats.org/package/2006/relationships/metadata/core-properties" Target="docProps/core.xml"/><Relationship Id="rId1"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tbl>
      <w:tblPr>
        <w:tblW w:w="0" w:type="auto"/>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40" w:type="dxa"/>
          <w:left w:w="80" w:type="dxa"/>
          <w:bottom w:w="40" w:type="dxa"/>
          <w:right w:w="80" w:type="dxa"/>
        </w:tblCellMar>
      </w:tblPr>
      <w:tblGrid>
        <w:gridCol w:w="5975"/>
        <w:gridCol w:w="3663"/>
      </w:tblGrid>
      <w:tr>
        <w:tc>
          <w:tcPr>
            <w:tcW w:w="5975" w:type="dxa"/>
            <w:shd w:val="clear" w:color="auto" w:fill="EDF1F6"/>
          </w:tcPr>
          <w:p>
            <w:pPr>
              <w:spacing w:after="0"/>
            </w:pPr>
            <w:r>
              <w:rPr>
                <w:b/>
                <w:caps/>
                <w:color w:val="1F3864"/>
                <w:sz w:val="21"/>
                <w:szCs w:val="21"/>
              </w:rPr>
              <w:t xml:space="preserve">KESTREL RESOURCES PTY LTD</w:t>
            </w:r>
          </w:p>
          <w:p>
            <w:pPr>
              <w:pStyle w:val="KestrelMeta"/>
            </w:pPr>
            <w:r>
              <w:t xml:space="preserve">Cape Verity Export Terminal</w:t>
            </w:r>
          </w:p>
        </w:tc>
        <w:tc>
          <w:tcPr>
            <w:tcW w:w="3663" w:type="dxa"/>
            <w:shd w:val="clear" w:color="auto" w:fill="EDF1F6"/>
          </w:tcPr>
          <w:p>
            <w:pPr>
              <w:pStyle w:val="KestrelMeta"/>
              <w:jc w:val="right"/>
            </w:pPr>
            <w:r>
              <w:rPr>
                <w:b/>
              </w:rPr>
              <w:t xml:space="preserve">CONTROLLED PROCEDURE</w:t>
            </w:r>
          </w:p>
          <w:p>
            <w:pPr>
              <w:pStyle w:val="KestrelMeta"/>
              <w:jc w:val="right"/>
            </w:pPr>
            <w:r>
              <w:t xml:space="preserve">Document </w:t>
            </w:r>
            <w:r>
              <w:t xml:space="preserve">PRO-HSE-012</w:t>
            </w:r>
          </w:p>
          <w:p>
            <w:pPr>
              <w:pStyle w:val="KestrelMeta"/>
              <w:jc w:val="right"/>
            </w:pPr>
            <w:r>
              <w:t xml:space="preserve">Revision </w:t>
            </w:r>
            <w:r>
              <w:t xml:space="preserve">006</w:t>
            </w:r>
            <w:r>
              <w:t xml:space="preserve">  ·  Effective </w:t>
            </w:r>
            <w:r>
              <w:t xml:space="preserve">2016-11-21</w:t>
            </w:r>
          </w:p>
        </w:tc>
      </w:tr>
    </w:tbl>
    <w:p>
      <w:pPr>
        <w:pStyle w:val="KestrelMeta"/>
      </w:pPr>
    </w:p>
    <w:p>
      <w:pPr>
        <w:pStyle w:val="KestrelTitle"/>
        <w:pBdr>
          <w:bottom w:val="single" w:sz="12" w:space="4" w:color="404040"/>
        </w:pBdr>
      </w:pPr>
      <w:r>
        <w:t xml:space="preserve">Confined Space Entry</w:t>
      </w:r>
    </w:p>
    <w:p>
      <w:pPr>
        <w:pStyle w:val="KestrelSubtitle"/>
      </w:pPr>
      <w:r>
        <w:t xml:space="preserve">PRO-HSE-012</w:t>
      </w:r>
      <w:r>
        <w:t xml:space="preserve">  ·  revision </w:t>
      </w:r>
      <w:r>
        <w:t xml:space="preserve">006</w:t>
      </w:r>
      <w:r>
        <w:t xml:space="preserve">  ·  effective </w:t>
      </w:r>
      <w:r>
        <w:t xml:space="preserve">21 November 2016</w:t>
      </w:r>
      <w:r>
        <w:t xml:space="preserve">  ·  </w:t>
      </w:r>
      <w:r>
        <w:t xml:space="preserve">Cape Verity</w:t>
      </w:r>
    </w:p>
    <w:p>
      <w:pPr>
        <w:pStyle w:val="KestrelHeading"/>
      </w:pPr>
      <w:r>
        <w:t xml:space="preserve">Revision history</w:t>
      </w:r>
    </w:p>
    <w:tbl>
      <w:tblPr>
        <w:tblW w:w="0" w:type="auto"/>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40" w:type="dxa"/>
          <w:left w:w="80" w:type="dxa"/>
          <w:bottom w:w="40" w:type="dxa"/>
          <w:right w:w="80" w:type="dxa"/>
        </w:tblCellMar>
      </w:tblPr>
      <w:tblGrid>
        <w:gridCol w:w="867"/>
        <w:gridCol w:w="1638"/>
        <w:gridCol w:w="1638"/>
        <w:gridCol w:w="3566"/>
        <w:gridCol w:w="1929"/>
      </w:tblGrid>
      <w:tr>
        <w:trPr>
          <w:tblHeader/>
        </w:trPr>
        <w:tc>
          <w:tcPr>
            <w:tcW w:w="867" w:type="dxa"/>
            <w:shd w:val="clear" w:color="auto" w:fill="EDF1F6"/>
          </w:tcPr>
          <w:p>
            <w:pPr>
              <w:pStyle w:val="KestrelTableHead"/>
            </w:pPr>
            <w:r>
              <w:t xml:space="preserve">Rev</w:t>
            </w:r>
          </w:p>
        </w:tc>
        <w:tc>
          <w:tcPr>
            <w:tcW w:w="1638" w:type="dxa"/>
            <w:shd w:val="clear" w:color="auto" w:fill="EDF1F6"/>
          </w:tcPr>
          <w:p>
            <w:pPr>
              <w:pStyle w:val="KestrelTableHead"/>
            </w:pPr>
            <w:r>
              <w:t xml:space="preserve">Effective</w:t>
            </w:r>
          </w:p>
        </w:tc>
        <w:tc>
          <w:tcPr>
            <w:tcW w:w="1638" w:type="dxa"/>
            <w:shd w:val="clear" w:color="auto" w:fill="EDF1F6"/>
          </w:tcPr>
          <w:p>
            <w:pPr>
              <w:pStyle w:val="KestrelTableHead"/>
            </w:pPr>
            <w:r>
              <w:t xml:space="preserve">Change</w:t>
            </w:r>
          </w:p>
        </w:tc>
        <w:tc>
          <w:tcPr>
            <w:tcW w:w="3566" w:type="dxa"/>
            <w:shd w:val="clear" w:color="auto" w:fill="EDF1F6"/>
          </w:tcPr>
          <w:p>
            <w:pPr>
              <w:pStyle w:val="KestrelTableHead"/>
            </w:pPr>
            <w:r>
              <w:t xml:space="preserve">Reason for change</w:t>
            </w:r>
          </w:p>
        </w:tc>
        <w:tc>
          <w:tcPr>
            <w:tcW w:w="1929" w:type="dxa"/>
            <w:shd w:val="clear" w:color="auto" w:fill="EDF1F6"/>
          </w:tcPr>
          <w:p>
            <w:pPr>
              <w:pStyle w:val="KestrelTableHead"/>
            </w:pPr>
            <w:r>
              <w:t xml:space="preserve">Approved by</w:t>
            </w:r>
          </w:p>
        </w:tc>
      </w:tr>
      <w:tr>
        <w:tc>
          <w:tcPr>
            <w:tcW w:w="867" w:type="dxa"/>
          </w:tcPr>
          <w:p>
            <w:pPr>
              <w:pStyle w:val="KestrelTableCell"/>
            </w:pPr>
            <w:r>
              <w:t xml:space="preserve">001</w:t>
            </w:r>
          </w:p>
        </w:tc>
        <w:tc>
          <w:tcPr>
            <w:tcW w:w="1638" w:type="dxa"/>
          </w:tcPr>
          <w:p>
            <w:pPr>
              <w:pStyle w:val="KestrelTableCell"/>
            </w:pPr>
            <w:r>
              <w:t xml:space="preserve">8 October 2004</w:t>
            </w:r>
          </w:p>
        </w:tc>
        <w:tc>
          <w:tcPr>
            <w:tcW w:w="1638" w:type="dxa"/>
          </w:tcPr>
          <w:p>
            <w:pPr>
              <w:pStyle w:val="KestrelTableCell"/>
            </w:pPr>
            <w:r>
              <w:t xml:space="preserve">Clause introduced</w:t>
            </w:r>
          </w:p>
        </w:tc>
        <w:tc>
          <w:tcPr>
            <w:tcW w:w="3566" w:type="dxa"/>
          </w:tcPr>
          <w:p>
            <w:pPr>
              <w:pStyle w:val="KestrelTableCell"/>
            </w:pPr>
            <w:r>
              <w:t xml:space="preserve">Issued at scheduled review; 31 clause(s) revised.</w:t>
            </w:r>
          </w:p>
        </w:tc>
        <w:tc>
          <w:tcPr>
            <w:tcW w:w="1929" w:type="dxa"/>
          </w:tcPr>
          <w:p>
            <w:pPr>
              <w:pStyle w:val="KestrelTableCell"/>
            </w:pPr>
            <w:r>
              <w:t xml:space="preserve">R. Fitzgibbon (kestrel:fitzgibbon.r)</w:t>
            </w:r>
          </w:p>
        </w:tc>
      </w:tr>
      <w:tr>
        <w:tc>
          <w:tcPr>
            <w:tcW w:w="867" w:type="dxa"/>
          </w:tcPr>
          <w:p>
            <w:pPr>
              <w:pStyle w:val="KestrelTableCell"/>
            </w:pPr>
            <w:r>
              <w:t xml:space="preserve">002</w:t>
            </w:r>
          </w:p>
        </w:tc>
        <w:tc>
          <w:tcPr>
            <w:tcW w:w="1638" w:type="dxa"/>
          </w:tcPr>
          <w:p>
            <w:pPr>
              <w:pStyle w:val="KestrelTableCell"/>
            </w:pPr>
            <w:r>
              <w:t xml:space="preserve">5 December 2007</w:t>
            </w:r>
          </w:p>
        </w:tc>
        <w:tc>
          <w:tcPr>
            <w:tcW w:w="1638" w:type="dxa"/>
          </w:tcPr>
          <w:p>
            <w:pPr>
              <w:pStyle w:val="KestrelTableCell"/>
            </w:pPr>
            <w:r>
              <w:t xml:space="preserve">Clause introduced</w:t>
            </w:r>
          </w:p>
        </w:tc>
        <w:tc>
          <w:tcPr>
            <w:tcW w:w="3566" w:type="dxa"/>
          </w:tcPr>
          <w:p>
            <w:pPr>
              <w:pStyle w:val="KestrelTableCell"/>
            </w:pPr>
            <w:r>
              <w:t xml:space="preserve">Issued at scheduled review; 6 clause(s) revised.</w:t>
            </w:r>
          </w:p>
        </w:tc>
        <w:tc>
          <w:tcPr>
            <w:tcW w:w="1929" w:type="dxa"/>
          </w:tcPr>
          <w:p>
            <w:pPr>
              <w:pStyle w:val="KestrelTableCell"/>
            </w:pPr>
            <w:r>
              <w:t xml:space="preserve">H. Zubieta (kestrel:zubieta.h)</w:t>
            </w:r>
          </w:p>
        </w:tc>
      </w:tr>
      <w:tr>
        <w:tc>
          <w:tcPr>
            <w:tcW w:w="867" w:type="dxa"/>
          </w:tcPr>
          <w:p>
            <w:pPr>
              <w:pStyle w:val="KestrelTableCell"/>
            </w:pPr>
            <w:r>
              <w:t xml:space="preserve">003</w:t>
            </w:r>
          </w:p>
        </w:tc>
        <w:tc>
          <w:tcPr>
            <w:tcW w:w="1638" w:type="dxa"/>
          </w:tcPr>
          <w:p>
            <w:pPr>
              <w:pStyle w:val="KestrelTableCell"/>
            </w:pPr>
            <w:r>
              <w:t xml:space="preserve">4 September 2010</w:t>
            </w:r>
          </w:p>
        </w:tc>
        <w:tc>
          <w:tcPr>
            <w:tcW w:w="1638" w:type="dxa"/>
          </w:tcPr>
          <w:p>
            <w:pPr>
              <w:pStyle w:val="KestrelTableCell"/>
            </w:pPr>
            <w:r>
              <w:t xml:space="preserve">Control strengthened</w:t>
            </w:r>
          </w:p>
        </w:tc>
        <w:tc>
          <w:tcPr>
            <w:tcW w:w="3566" w:type="dxa"/>
          </w:tcPr>
          <w:p>
            <w:pPr>
              <w:pStyle w:val="KestrelTableCell"/>
            </w:pPr>
            <w:r>
              <w:t xml:space="preserve">Issued following CAPA-2010-001.</w:t>
            </w:r>
          </w:p>
        </w:tc>
        <w:tc>
          <w:tcPr>
            <w:tcW w:w="1929" w:type="dxa"/>
          </w:tcPr>
          <w:p>
            <w:pPr>
              <w:pStyle w:val="KestrelTableCell"/>
            </w:pPr>
            <w:r>
              <w:t xml:space="preserve">M. Sandoval (kestrel:sandoval.m)</w:t>
            </w:r>
          </w:p>
        </w:tc>
      </w:tr>
      <w:tr>
        <w:tc>
          <w:tcPr>
            <w:tcW w:w="867" w:type="dxa"/>
          </w:tcPr>
          <w:p>
            <w:pPr>
              <w:pStyle w:val="KestrelTableCell"/>
            </w:pPr>
            <w:r>
              <w:t xml:space="preserve">004</w:t>
            </w:r>
          </w:p>
        </w:tc>
        <w:tc>
          <w:tcPr>
            <w:tcW w:w="1638" w:type="dxa"/>
          </w:tcPr>
          <w:p>
            <w:pPr>
              <w:pStyle w:val="KestrelTableCell"/>
            </w:pPr>
            <w:r>
              <w:t xml:space="preserve">9 April 2013</w:t>
            </w:r>
          </w:p>
        </w:tc>
        <w:tc>
          <w:tcPr>
            <w:tcW w:w="1638" w:type="dxa"/>
          </w:tcPr>
          <w:p>
            <w:pPr>
              <w:pStyle w:val="KestrelTableCell"/>
            </w:pPr>
            <w:r>
              <w:t xml:space="preserve">Control strengthened</w:t>
            </w:r>
          </w:p>
        </w:tc>
        <w:tc>
          <w:tcPr>
            <w:tcW w:w="3566" w:type="dxa"/>
          </w:tcPr>
          <w:p>
            <w:pPr>
              <w:pStyle w:val="KestrelTableCell"/>
            </w:pPr>
            <w:r>
              <w:t xml:space="preserve">Issued at scheduled review; 8 clause(s) revised.</w:t>
            </w:r>
          </w:p>
        </w:tc>
        <w:tc>
          <w:tcPr>
            <w:tcW w:w="1929" w:type="dxa"/>
          </w:tcPr>
          <w:p>
            <w:pPr>
              <w:pStyle w:val="KestrelTableCell"/>
            </w:pPr>
            <w:r>
              <w:t xml:space="preserve">H. Zubieta (kestrel:zubieta.h)</w:t>
            </w:r>
          </w:p>
        </w:tc>
      </w:tr>
      <w:tr>
        <w:tc>
          <w:tcPr>
            <w:tcW w:w="867" w:type="dxa"/>
          </w:tcPr>
          <w:p>
            <w:pPr>
              <w:pStyle w:val="KestrelTableCell"/>
            </w:pPr>
            <w:r>
              <w:t xml:space="preserve">005</w:t>
            </w:r>
          </w:p>
        </w:tc>
        <w:tc>
          <w:tcPr>
            <w:tcW w:w="1638" w:type="dxa"/>
          </w:tcPr>
          <w:p>
            <w:pPr>
              <w:pStyle w:val="KestrelTableCell"/>
            </w:pPr>
            <w:r>
              <w:t xml:space="preserve">10 April 2015</w:t>
            </w:r>
          </w:p>
        </w:tc>
        <w:tc>
          <w:tcPr>
            <w:tcW w:w="1638" w:type="dxa"/>
          </w:tcPr>
          <w:p>
            <w:pPr>
              <w:pStyle w:val="KestrelTableCell"/>
            </w:pPr>
            <w:r>
              <w:t xml:space="preserve">Editorial restatement</w:t>
            </w:r>
          </w:p>
        </w:tc>
        <w:tc>
          <w:tcPr>
            <w:tcW w:w="3566" w:type="dxa"/>
          </w:tcPr>
          <w:p>
            <w:pPr>
              <w:pStyle w:val="KestrelTableCell"/>
            </w:pPr>
            <w:r>
              <w:t xml:space="preserve">Scheduled review. The basis of the control is unchanged.</w:t>
            </w:r>
          </w:p>
        </w:tc>
        <w:tc>
          <w:tcPr>
            <w:tcW w:w="1929" w:type="dxa"/>
          </w:tcPr>
          <w:p>
            <w:pPr>
              <w:pStyle w:val="KestrelTableCell"/>
            </w:pPr>
            <w:r>
              <w:t xml:space="preserve">N. Molteno (kestrel:molteno.n)</w:t>
            </w:r>
          </w:p>
        </w:tc>
      </w:tr>
      <w:tr>
        <w:tc>
          <w:tcPr>
            <w:tcW w:w="867" w:type="dxa"/>
          </w:tcPr>
          <w:p>
            <w:pPr>
              <w:pStyle w:val="KestrelTableCell"/>
            </w:pPr>
            <w:r>
              <w:t xml:space="preserve">006</w:t>
            </w:r>
          </w:p>
        </w:tc>
        <w:tc>
          <w:tcPr>
            <w:tcW w:w="1638" w:type="dxa"/>
          </w:tcPr>
          <w:p>
            <w:pPr>
              <w:pStyle w:val="KestrelTableCell"/>
            </w:pPr>
            <w:r>
              <w:t xml:space="preserve">21 November 2016</w:t>
            </w:r>
          </w:p>
        </w:tc>
        <w:tc>
          <w:tcPr>
            <w:tcW w:w="1638" w:type="dxa"/>
          </w:tcPr>
          <w:p>
            <w:pPr>
              <w:pStyle w:val="KestrelTableCell"/>
            </w:pPr>
            <w:r>
              <w:t xml:space="preserve">Clause introduced</w:t>
            </w:r>
          </w:p>
        </w:tc>
        <w:tc>
          <w:tcPr>
            <w:tcW w:w="3566" w:type="dxa"/>
          </w:tcPr>
          <w:p>
            <w:pPr>
              <w:pStyle w:val="KestrelTableCell"/>
            </w:pPr>
            <w:r>
              <w:t xml:space="preserve">Full retypeset to the 2016 house standard. Clause identity is unchanged; printed labels and clause ordering are revised throughout.</w:t>
            </w:r>
          </w:p>
        </w:tc>
        <w:tc>
          <w:tcPr>
            <w:tcW w:w="1929" w:type="dxa"/>
          </w:tcPr>
          <w:p>
            <w:pPr>
              <w:pStyle w:val="KestrelTableCell"/>
            </w:pPr>
            <w:r>
              <w:t xml:space="preserve">N. Toussaint (kestrel:toussaint.n)</w:t>
            </w:r>
          </w:p>
        </w:tc>
      </w:tr>
    </w:tbl>
    <w:p>
      <w:pPr>
        <w:pStyle w:val="KestrelMeta"/>
      </w:pPr>
    </w:p>
    <w:tbl>
      <w:tblPr>
        <w:tblW w:w="0" w:type="auto"/>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40" w:type="dxa"/>
          <w:left w:w="80" w:type="dxa"/>
          <w:bottom w:w="40" w:type="dxa"/>
          <w:right w:w="80" w:type="dxa"/>
        </w:tblCellMar>
      </w:tblPr>
      <w:tblGrid>
        <w:gridCol w:w="2891"/>
        <w:gridCol w:w="6747"/>
      </w:tblGrid>
      <w:tr>
        <w:trPr>
          <w:tblHeader/>
        </w:trPr>
        <w:tc>
          <w:tcPr>
            <w:tcW w:w="2891" w:type="dxa"/>
            <w:shd w:val="clear" w:color="auto" w:fill="EDF1F6"/>
          </w:tcPr>
          <w:p>
            <w:pPr>
              <w:pStyle w:val="KestrelTableHead"/>
            </w:pPr>
            <w:r>
              <w:t xml:space="preserve">Document control</w:t>
            </w:r>
          </w:p>
        </w:tc>
        <w:tc>
          <w:tcPr>
            <w:tcW w:w="6747" w:type="dxa"/>
            <w:shd w:val="clear" w:color="auto" w:fill="EDF1F6"/>
          </w:tcPr>
          <w:p>
            <w:pPr>
              <w:pStyle w:val="KestrelTableHead"/>
            </w:pPr>
            <w:r>
              <w:t xml:space="preserve"/>
            </w:r>
          </w:p>
        </w:tc>
      </w:tr>
      <w:tr>
        <w:tc>
          <w:tcPr>
            <w:tcW w:w="2891" w:type="dxa"/>
          </w:tcPr>
          <w:p>
            <w:pPr>
              <w:pStyle w:val="KestrelTableHead"/>
            </w:pPr>
            <w:r>
              <w:t xml:space="preserve">Document</w:t>
            </w:r>
          </w:p>
        </w:tc>
        <w:tc>
          <w:tcPr>
            <w:tcW w:w="6747" w:type="dxa"/>
          </w:tcPr>
          <w:p>
            <w:pPr>
              <w:pStyle w:val="KestrelTableCell"/>
            </w:pPr>
            <w:r>
              <w:t xml:space="preserve">PRO-HSE-012</w:t>
            </w:r>
          </w:p>
        </w:tc>
      </w:tr>
      <w:tr>
        <w:tc>
          <w:tcPr>
            <w:tcW w:w="2891" w:type="dxa"/>
          </w:tcPr>
          <w:p>
            <w:pPr>
              <w:pStyle w:val="KestrelTableHead"/>
            </w:pPr>
            <w:r>
              <w:t xml:space="preserve">Revision</w:t>
            </w:r>
          </w:p>
        </w:tc>
        <w:tc>
          <w:tcPr>
            <w:tcW w:w="6747" w:type="dxa"/>
          </w:tcPr>
          <w:p>
            <w:pPr>
              <w:pStyle w:val="KestrelTableCell"/>
            </w:pPr>
            <w:r>
              <w:t xml:space="preserve">006</w:t>
            </w:r>
          </w:p>
        </w:tc>
      </w:tr>
      <w:tr>
        <w:tc>
          <w:tcPr>
            <w:tcW w:w="2891" w:type="dxa"/>
          </w:tcPr>
          <w:p>
            <w:pPr>
              <w:pStyle w:val="KestrelTableHead"/>
            </w:pPr>
            <w:r>
              <w:t xml:space="preserve">Effective</w:t>
            </w:r>
          </w:p>
        </w:tc>
        <w:tc>
          <w:tcPr>
            <w:tcW w:w="6747" w:type="dxa"/>
          </w:tcPr>
          <w:p>
            <w:pPr>
              <w:pStyle w:val="KestrelTableCell"/>
            </w:pPr>
            <w:r>
              <w:t xml:space="preserve">21 November 2016</w:t>
            </w:r>
          </w:p>
        </w:tc>
      </w:tr>
      <w:tr>
        <w:tc>
          <w:tcPr>
            <w:tcW w:w="2891" w:type="dxa"/>
          </w:tcPr>
          <w:p>
            <w:pPr>
              <w:pStyle w:val="KestrelTableHead"/>
            </w:pPr>
            <w:r>
              <w:t xml:space="preserve">Site</w:t>
            </w:r>
          </w:p>
        </w:tc>
        <w:tc>
          <w:tcPr>
            <w:tcW w:w="6747" w:type="dxa"/>
          </w:tcPr>
          <w:p>
            <w:pPr>
              <w:pStyle w:val="KestrelTableCell"/>
            </w:pPr>
            <w:r>
              <w:t xml:space="preserve">Cape Verity (CVY)</w:t>
            </w:r>
          </w:p>
        </w:tc>
      </w:tr>
      <w:tr>
        <w:tc>
          <w:tcPr>
            <w:tcW w:w="2891" w:type="dxa"/>
          </w:tcPr>
          <w:p>
            <w:pPr>
              <w:pStyle w:val="KestrelTableHead"/>
            </w:pPr>
            <w:r>
              <w:t xml:space="preserve">Material unwanted event</w:t>
            </w:r>
          </w:p>
        </w:tc>
        <w:tc>
          <w:tcPr>
            <w:tcW w:w="6747" w:type="dxa"/>
          </w:tcPr>
          <w:p>
            <w:pPr>
              <w:pStyle w:val="KestrelTableCell"/>
            </w:pPr>
            <w:r>
              <w:t xml:space="preserve">Confined space entry</w:t>
            </w:r>
          </w:p>
        </w:tc>
      </w:tr>
      <w:tr>
        <w:tc>
          <w:tcPr>
            <w:tcW w:w="2891" w:type="dxa"/>
          </w:tcPr>
          <w:p>
            <w:pPr>
              <w:pStyle w:val="KestrelTableHead"/>
            </w:pPr>
            <w:r>
              <w:t xml:space="preserve">Owner</w:t>
            </w:r>
          </w:p>
        </w:tc>
        <w:tc>
          <w:tcPr>
            <w:tcW w:w="6747" w:type="dxa"/>
          </w:tcPr>
          <w:p>
            <w:pPr>
              <w:pStyle w:val="KestrelTableCell"/>
            </w:pPr>
            <w:r>
              <w:t xml:space="preserve">R. Fitzgibbon (kestrel:fitzgibbon.r)</w:t>
            </w:r>
          </w:p>
        </w:tc>
      </w:tr>
      <w:tr>
        <w:tc>
          <w:tcPr>
            <w:tcW w:w="2891" w:type="dxa"/>
          </w:tcPr>
          <w:p>
            <w:pPr>
              <w:pStyle w:val="KestrelTableHead"/>
            </w:pPr>
            <w:r>
              <w:t xml:space="preserve">Approved by</w:t>
            </w:r>
          </w:p>
        </w:tc>
        <w:tc>
          <w:tcPr>
            <w:tcW w:w="6747" w:type="dxa"/>
          </w:tcPr>
          <w:p>
            <w:pPr>
              <w:pStyle w:val="KestrelTableCell"/>
            </w:pPr>
            <w:r>
              <w:t xml:space="preserve">N. Toussaint (kestrel:toussaint.n)</w:t>
            </w:r>
          </w:p>
        </w:tc>
      </w:tr>
      <w:tr>
        <w:tc>
          <w:tcPr>
            <w:tcW w:w="2891" w:type="dxa"/>
          </w:tcPr>
          <w:p>
            <w:pPr>
              <w:pStyle w:val="KestrelTableHead"/>
            </w:pPr>
            <w:r>
              <w:t xml:space="preserve">Custodian</w:t>
            </w:r>
          </w:p>
        </w:tc>
        <w:tc>
          <w:tcPr>
            <w:tcW w:w="6747" w:type="dxa"/>
          </w:tcPr>
          <w:p>
            <w:pPr>
              <w:pStyle w:val="KestrelTableCell"/>
            </w:pPr>
            <w:r>
              <w:t xml:space="preserve">Site document control, Cape Verity</w:t>
            </w:r>
          </w:p>
        </w:tc>
      </w:tr>
      <w:tr>
        <w:tc>
          <w:tcPr>
            <w:tcW w:w="2891" w:type="dxa"/>
          </w:tcPr>
          <w:p>
            <w:pPr>
              <w:pStyle w:val="KestrelTableHead"/>
            </w:pPr>
            <w:r>
              <w:t xml:space="preserve">Classification</w:t>
            </w:r>
          </w:p>
        </w:tc>
        <w:tc>
          <w:tcPr>
            <w:tcW w:w="6747" w:type="dxa"/>
          </w:tcPr>
          <w:p>
            <w:pPr>
              <w:pStyle w:val="KestrelTableCell"/>
            </w:pPr>
            <w:r>
              <w:t xml:space="preserve">Controlled document - uncontrolled when printed</w:t>
            </w:r>
          </w:p>
        </w:tc>
      </w:tr>
    </w:tbl>
    <w:p>
      <w:pPr>
        <w:pStyle w:val="KestrelMeta"/>
      </w:pPr>
    </w:p>
    <w:p>
      <w:pPr>
        <w:pStyle w:val="KestrelHeading"/>
      </w:pPr>
      <w:r>
        <w:t xml:space="preserve">1  Purpose</w:t>
      </w:r>
    </w:p>
    <w:p>
      <w:r>
        <w:t xml:space="preserve">This procedure sets out how the task named above is to be planned, controlled and verified at Cape Verity Export Terminal. It applies to every person who performs, supervises or authorises that task, including contractors.</w:t>
      </w:r>
    </w:p>
    <w:p>
      <w:pPr>
        <w:pStyle w:val="KestrelHeading"/>
      </w:pPr>
      <w:r>
        <w:t xml:space="preserve">2  Scope</w:t>
      </w:r>
    </w:p>
    <w:p>
      <w:r>
        <w:t xml:space="preserve">This document applies to the plant and equipment listed in the register maintained for Cape Verity Export Terminal. Where a clause states a setpoint, that setpoint is a control requirement and not a guideline; where a clause requires a record, the record is part of the control.</w:t>
      </w:r>
    </w:p>
    <w:p>
      <w:pPr>
        <w:pStyle w:val="KestrelHeading"/>
      </w:pPr>
      <w:r>
        <w:t xml:space="preserve">3  Terms used in this revision</w:t>
      </w:r>
    </w:p>
    <w:tbl>
      <w:tblPr>
        <w:tblW w:w="0" w:type="auto"/>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40" w:type="dxa"/>
          <w:left w:w="80" w:type="dxa"/>
          <w:bottom w:w="40" w:type="dxa"/>
          <w:right w:w="80" w:type="dxa"/>
        </w:tblCellMar>
      </w:tblPr>
      <w:tblGrid>
        <w:gridCol w:w="3084"/>
        <w:gridCol w:w="6554"/>
      </w:tblGrid>
      <w:tr>
        <w:trPr>
          <w:tblHeader/>
        </w:trPr>
        <w:tc>
          <w:tcPr>
            <w:tcW w:w="3084" w:type="dxa"/>
            <w:shd w:val="clear" w:color="auto" w:fill="EDF1F6"/>
          </w:tcPr>
          <w:p>
            <w:pPr>
              <w:pStyle w:val="KestrelTableHead"/>
            </w:pPr>
            <w:r>
              <w:t xml:space="preserve">Term</w:t>
            </w:r>
          </w:p>
        </w:tc>
        <w:tc>
          <w:tcPr>
            <w:tcW w:w="6554" w:type="dxa"/>
            <w:shd w:val="clear" w:color="auto" w:fill="EDF1F6"/>
          </w:tcPr>
          <w:p>
            <w:pPr>
              <w:pStyle w:val="KestrelTableHead"/>
            </w:pPr>
            <w:r>
              <w:t xml:space="preserve">Meaning in this revision</w:t>
            </w:r>
          </w:p>
        </w:tc>
      </w:tr>
      <w:tr>
        <w:tc>
          <w:tcPr>
            <w:tcW w:w="3084" w:type="dxa"/>
          </w:tcPr>
          <w:p>
            <w:pPr>
              <w:pStyle w:val="KestrelTableHead"/>
            </w:pPr>
            <w:r>
              <w:t xml:space="preserve">critical control</w:t>
            </w:r>
          </w:p>
        </w:tc>
        <w:tc>
          <w:tcPr>
            <w:tcW w:w="6554" w:type="dxa"/>
          </w:tcPr>
          <w:p>
            <w:pPr>
              <w:pStyle w:val="KestrelTableCell"/>
            </w:pPr>
            <w:r>
              <w:t xml:space="preserve">As used in this revision. Revisions issued before 2010 refer to the same control as 'key safeguard'.</w:t>
            </w:r>
          </w:p>
        </w:tc>
      </w:tr>
      <w:tr>
        <w:tc>
          <w:tcPr>
            <w:tcW w:w="3084" w:type="dxa"/>
          </w:tcPr>
          <w:p>
            <w:pPr>
              <w:pStyle w:val="KestrelTableHead"/>
            </w:pPr>
            <w:r>
              <w:t xml:space="preserve">gas testing</w:t>
            </w:r>
          </w:p>
        </w:tc>
        <w:tc>
          <w:tcPr>
            <w:tcW w:w="6554" w:type="dxa"/>
          </w:tcPr>
          <w:p>
            <w:pPr>
              <w:pStyle w:val="KestrelTableCell"/>
            </w:pPr>
            <w:r>
              <w:t xml:space="preserve">As used in this revision. Revisions issued before 2010 refer to the same control as 'sniff test'.</w:t>
            </w:r>
          </w:p>
        </w:tc>
      </w:tr>
      <w:tr>
        <w:tc>
          <w:tcPr>
            <w:tcW w:w="3084" w:type="dxa"/>
          </w:tcPr>
          <w:p>
            <w:pPr>
              <w:pStyle w:val="KestrelTableHead"/>
            </w:pPr>
            <w:r>
              <w:t xml:space="preserve">permit to work</w:t>
            </w:r>
          </w:p>
        </w:tc>
        <w:tc>
          <w:tcPr>
            <w:tcW w:w="6554" w:type="dxa"/>
          </w:tcPr>
          <w:p>
            <w:pPr>
              <w:pStyle w:val="KestrelTableCell"/>
            </w:pPr>
            <w:r>
              <w:t xml:space="preserve">As used in this revision. Revisions issued before 2010 refer to the same control as 'work clearance'.</w:t>
            </w:r>
          </w:p>
        </w:tc>
      </w:tr>
    </w:tbl>
    <w:p>
      <w:pPr>
        <w:pStyle w:val="KestrelMeta"/>
      </w:pPr>
    </w:p>
    <w:p>
      <w:pPr>
        <w:pStyle w:val="KestrelHeading"/>
      </w:pPr>
      <w:r>
        <w:t xml:space="preserve">4  Requirements</w:t>
      </w:r>
    </w:p>
    <w:p>
      <w:pPr>
        <w:pStyle w:val="KestrelHeading"/>
      </w:pPr>
      <w:r>
        <w:t xml:space="preserve">CHAPTER </w:t>
      </w:r>
      <w:r>
        <w:t xml:space="preserve">1</w:t>
      </w:r>
      <w:r>
        <w:t xml:space="preserve">  -  </w:t>
      </w:r>
      <w:r>
        <w:t xml:space="preserve">classification of a space and issue of an entry permit</w:t>
      </w:r>
    </w:p>
    <w:p>
      <w:pPr>
        <w:pStyle w:val="KestrelSubheading"/>
      </w:pPr>
      <w:r>
        <w:t xml:space="preserve">Preventive controls</w:t>
      </w:r>
    </w:p>
    <w:p>
      <w:pPr>
        <w:pStyle w:val="KestrelClause"/>
      </w:pPr>
      <w:r>
        <w:rPr>
          <w:b/>
        </w:rPr>
        <w:t xml:space="preserve">1.1.1</w:t>
      </w:r>
      <w:r>
        <w:tab/>
      </w:r>
      <w:r>
        <w:t xml:space="preserve">The supervisor shall not authorise the task unless the classification of a space and issue of an entry permit has been carried out for every energy source and every item of plant within the declared boundary. In this revision the control is administered under the site's permit to work arrangements. The completed record shall be retained on the PRO-HSE-012 file under the site's management of change arrangements.</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2865 (confined spaces)</w:t>
      </w:r>
    </w:p>
    <w:p>
      <w:pPr>
        <w:pStyle w:val="KestrelClause"/>
      </w:pPr>
      <w:r>
        <w:rPr>
          <w:b/>
        </w:rPr>
        <w:t xml:space="preserve">1.1.2</w:t>
      </w:r>
      <w:r>
        <w:tab/>
      </w:r>
      <w:r>
        <w:t xml:space="preserve">No person shall commence the task until the classification of a space and issue of an entry permit has been completed and confirmed by the person in charge of the work. In this revision the control is administered under the site's permit to work arrangements. Any departure from this clause shall be raised as a management of change before the work proceeds, and shall not be approved by the person performing the task.</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AS/NZS 1715 (selection, use and maintenance of respiratory protective equipment)</w:t>
      </w:r>
    </w:p>
    <w:p>
      <w:pPr>
        <w:pStyle w:val="KestrelClause"/>
      </w:pPr>
      <w:r>
        <w:rPr>
          <w:b/>
        </w:rPr>
        <w:t xml:space="preserve">1.1.3</w:t>
      </w:r>
      <w:r>
        <w:tab/>
      </w:r>
      <w:r>
        <w:t xml:space="preserve">No person shall commence the task until the classification of a space and issue of an entry permit has been completed and confirmed by the person in charge of the work. In this revision the control is administered under the site's permit to work arrangements. The completed record shall be retained on the PRO-HSE-012 file under the site's management of change arrangements.</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2865 (confined spaces)</w:t>
      </w:r>
    </w:p>
    <w:p>
      <w:pPr>
        <w:pStyle w:val="KestrelClause"/>
      </w:pPr>
      <w:r>
        <w:rPr>
          <w:b/>
        </w:rPr>
        <w:t xml:space="preserve">1.1.4</w:t>
      </w:r>
      <w:r>
        <w:tab/>
      </w:r>
      <w:r>
        <w:t xml:space="preserve">The classification of a space and issue of an entry permit shall be applied in accordance with WHS Reg r.66 (confined space entry permit) and independently confirmed by a second competent person before work proceeds. In this revision the control is administered under the site's permit to work arrangements. Evidence of compliance shall be recorded at the time of the check, and shall name the person who made it.</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WHS Reg r.66 (confined space entry permit)</w:t>
      </w:r>
    </w:p>
    <w:p>
      <w:pPr>
        <w:pStyle w:val="KestrelClause"/>
      </w:pPr>
      <w:r>
        <w:rPr>
          <w:b/>
        </w:rPr>
        <w:t xml:space="preserve">1.1.5</w:t>
      </w:r>
      <w:r>
        <w:tab/>
      </w:r>
      <w:r>
        <w:t xml:space="preserve">The classification of a space and issue of an entry permit shall be applied in accordance with AS 2865 (confined spaces) and independently confirmed by a second competent person before work proceeds. In this revision the control is administered under the site's permit to work arrangements. Evidence of compliance shall be recorded at the time of the check, and shall name the person who made it.</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2865 (confined spaces)</w:t>
      </w:r>
    </w:p>
    <w:p>
      <w:pPr>
        <w:pStyle w:val="KestrelClause"/>
      </w:pPr>
      <w:r>
        <w:rPr>
          <w:b/>
        </w:rPr>
        <w:t xml:space="preserve">1.1.6</w:t>
      </w:r>
      <w:r>
        <w:tab/>
      </w:r>
      <w:r>
        <w:t xml:space="preserve">The classification of a space and issue of an entry permit shall be established and confirmed in place before the task begins, and shall remain in place until the work is complete and the area has been handed back. In this revision the control is administered under the site's permit to work arrangements. The completed record shall be retained on the PRO-HSE-012 file under the site's management of change arrangements.</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2865 (confined spaces)</w:t>
      </w:r>
    </w:p>
    <w:p>
      <w:pPr>
        <w:pStyle w:val="KestrelClause"/>
      </w:pPr>
      <w:r>
        <w:rPr>
          <w:b/>
        </w:rPr>
        <w:t xml:space="preserve">1.1.7</w:t>
      </w:r>
      <w:r>
        <w:tab/>
      </w:r>
      <w:r>
        <w:t xml:space="preserve">The supervisor shall not authorise the task unless the classification of a space and issue of an entry permit has been carried out for every energy source and every item of plant within the declared boundary. In this revision the control is administered under the site's permit to work arrangements. Any departure from this clause shall be raised as a management of change before the work proceeds, and shall not be approved by the person performing the task.</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AS/NZS 1715 (selection, use and maintenance of respiratory protective equipment)</w:t>
      </w:r>
    </w:p>
    <w:p>
      <w:pPr>
        <w:pStyle w:val="KestrelClause"/>
      </w:pPr>
      <w:r>
        <w:rPr>
          <w:b/>
        </w:rPr>
        <w:t xml:space="preserve">1.1.8</w:t>
      </w:r>
      <w:r>
        <w:tab/>
      </w:r>
      <w:r>
        <w:t xml:space="preserve">No person shall commence the task until the classification of a space and issue of an entry permit has been completed and confirmed by the person in charge of the work. In this revision the control is administered under the site's permit to work arrangements. Any departure from this clause shall be raised as a management of change before the work proceeds, and shall not be approved by the person performing the task.</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WHS Reg r.66 (confined space entry permit)</w:t>
      </w:r>
    </w:p>
    <w:p>
      <w:pPr>
        <w:pStyle w:val="KestrelClause"/>
      </w:pPr>
      <w:r>
        <w:rPr>
          <w:b/>
        </w:rPr>
        <w:t xml:space="preserve">1.1.9</w:t>
      </w:r>
      <w:r>
        <w:tab/>
      </w:r>
      <w:r>
        <w:t xml:space="preserve">No person shall commence the task until the classification of a space and issue of an entry permit has been completed and confirmed by the person in charge of the work. In this revision the control is administered under the site's permit to work arrangements. Evidence of compliance shall be recorded at the time of the check, and shall name the person who made it.</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2865 (confined spaces)</w:t>
      </w:r>
    </w:p>
    <w:p>
      <w:pPr>
        <w:pStyle w:val="KestrelClause"/>
      </w:pPr>
      <w:r>
        <w:rPr>
          <w:b/>
        </w:rPr>
        <w:t xml:space="preserve">1.1.10</w:t>
      </w:r>
      <w:r>
        <w:tab/>
      </w:r>
      <w:r>
        <w:t xml:space="preserve">The classification of a space and issue of an entry permit shall be established and confirmed in place before the task begins, and shall remain in place until the work is complete and the area has been handed back. In this revision the control is administered under the site's permit to work arrangements. Evidence of compliance shall be recorded at the time of the check, and shall name the person who made it.</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WHS Reg r.66 (confined space entry permit)</w:t>
      </w:r>
    </w:p>
    <w:p>
      <w:pPr>
        <w:pStyle w:val="KestrelClause"/>
      </w:pPr>
      <w:r>
        <w:rPr>
          <w:b/>
        </w:rPr>
        <w:t xml:space="preserve">1.1.11</w:t>
      </w:r>
      <w:r>
        <w:tab/>
      </w:r>
      <w:r>
        <w:t xml:space="preserve">No person shall commence the task until the classification of a space and issue of an entry permit has been completed and confirmed by the person in charge of the work. In this revision the control is administered under the site's permit to work arrangements. The completed record shall be retained on the PRO-HSE-012 file under the site's management of change arrangements.</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WHS Reg r.66 (confined space entry permit)</w:t>
      </w:r>
    </w:p>
    <w:p>
      <w:pPr>
        <w:pStyle w:val="KestrelHeading"/>
      </w:pPr>
      <w:r>
        <w:t xml:space="preserve">CHAPTER </w:t>
      </w:r>
      <w:r>
        <w:t xml:space="preserve">2</w:t>
      </w:r>
      <w:r>
        <w:t xml:space="preserve">  -  </w:t>
      </w:r>
      <w:r>
        <w:t xml:space="preserve">continuous atmospheric monitoring during occupancy</w:t>
      </w:r>
    </w:p>
    <w:p>
      <w:pPr>
        <w:pStyle w:val="KestrelSubheading"/>
      </w:pPr>
      <w:r>
        <w:t xml:space="preserve">Preventive controls</w:t>
      </w:r>
    </w:p>
    <w:p>
      <w:pPr>
        <w:pStyle w:val="KestrelClause"/>
      </w:pPr>
      <w:r>
        <w:rPr>
          <w:b/>
        </w:rPr>
        <w:t xml:space="preserve">2.1.1</w:t>
      </w:r>
      <w:r>
        <w:tab/>
      </w:r>
      <w:r>
        <w:t xml:space="preserve">The continuous atmospheric monitoring during occupancy shall be applied in accordance with AS 2865 (confined spaces) and independently confirmed by a second competent person before work proceeds. In this revision the control is administered under the site's gas testing arrangements. The completed record shall be retained on the PRO-HSE-012 file under the site's management of change arrangements.</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Setpoint"/>
      </w:pPr>
      <w:r>
        <w:t xml:space="preserve">Setpoint - minimum oxygen concentration for entry: 20 %vol. Any departure requires an approved management of change before the change is made.</w:t>
      </w:r>
    </w:p>
    <w:p>
      <w:pPr>
        <w:pStyle w:val="KestrelMeta"/>
      </w:pPr>
      <w:r>
        <w:rPr>
          <w:i/>
        </w:rPr>
        <w:t xml:space="preserve">Reference: </w:t>
      </w:r>
      <w:r>
        <w:rPr>
          <w:i/>
        </w:rPr>
        <w:t xml:space="preserve">AS 2865 (confined spaces)</w:t>
      </w:r>
    </w:p>
    <w:p>
      <w:pPr>
        <w:pStyle w:val="KestrelClause"/>
      </w:pPr>
      <w:r>
        <w:rPr>
          <w:b/>
        </w:rPr>
        <w:t xml:space="preserve">2.1.2</w:t>
      </w:r>
      <w:r>
        <w:tab/>
      </w:r>
      <w:r>
        <w:t xml:space="preserve">The continuous atmospheric monitoring during occupancy shall be established and confirmed in place before the task begins, and shall remain in place until the work is complete and the area has been handed back. In this revision the control is administered under the site's gas testing arrangements. Evidence of compliance shall be recorded at the time of the check, and shall name the person who made it.</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2865 (confined spaces)</w:t>
      </w:r>
    </w:p>
    <w:p>
      <w:pPr>
        <w:pStyle w:val="KestrelClause"/>
      </w:pPr>
      <w:r>
        <w:rPr>
          <w:b/>
        </w:rPr>
        <w:t xml:space="preserve">2.1.3</w:t>
      </w:r>
      <w:r>
        <w:tab/>
      </w:r>
      <w:r>
        <w:t xml:space="preserve">The supervisor shall not authorise the task unless the continuous atmospheric monitoring during occupancy has been carried out for every energy source and every item of plant within the declared boundary. In this revision the control is administered under the site's gas testing arrangements. Evidence of compliance shall be recorded at the time of the check, and shall name the person who made it.</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2865 (confined spaces)</w:t>
      </w:r>
    </w:p>
    <w:p>
      <w:pPr>
        <w:pStyle w:val="KestrelClause"/>
      </w:pPr>
      <w:r>
        <w:rPr>
          <w:b/>
        </w:rPr>
        <w:t xml:space="preserve">2.1.4</w:t>
      </w:r>
      <w:r>
        <w:tab/>
      </w:r>
      <w:r>
        <w:t xml:space="preserve">No person shall commence the task until the continuous atmospheric monitoring during occupancy has been completed and confirmed by the person in charge of the work. In this revision the control is administered under the site's gas testing arrangements. Any departure from this clause shall be raised as a management of change before the work proceeds, and shall not be approved by the person performing the task.</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WHS Reg r.66 (confined space entry permit)</w:t>
      </w:r>
    </w:p>
    <w:p>
      <w:pPr>
        <w:pStyle w:val="KestrelClause"/>
      </w:pPr>
      <w:r>
        <w:rPr>
          <w:b/>
        </w:rPr>
        <w:t xml:space="preserve">2.1.5</w:t>
      </w:r>
      <w:r>
        <w:tab/>
      </w:r>
      <w:r>
        <w:t xml:space="preserve">The supervisor shall not authorise the task unless the continuous atmospheric monitoring during occupancy has been carried out for every energy source and every item of plant within the declared boundary. In this revision the control is administered under the site's gas testing arrangements. Evidence of compliance shall be recorded at the time of the check, and shall name the person who made it.</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WHS Reg r.66 (confined space entry permit)</w:t>
      </w:r>
    </w:p>
    <w:p>
      <w:pPr>
        <w:pStyle w:val="KestrelClause"/>
      </w:pPr>
      <w:r>
        <w:rPr>
          <w:b/>
        </w:rPr>
        <w:t xml:space="preserve">2.1.6</w:t>
      </w:r>
      <w:r>
        <w:tab/>
      </w:r>
      <w:r>
        <w:t xml:space="preserve">No person shall commence the task until the continuous atmospheric monitoring during occupancy has been completed and confirmed by the person in charge of the work. In this revision the control is administered under the site's gas testing arrangements. Evidence of compliance shall be recorded at the time of the check, and shall name the person who made it.</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Setpoint"/>
      </w:pPr>
      <w:r>
        <w:t xml:space="preserve">Setpoint - hydrogen sulfide alarm threshold: 15 ppm. Any departure requires an approved management of change before the change is made.</w:t>
      </w:r>
    </w:p>
    <w:p>
      <w:pPr>
        <w:pStyle w:val="KestrelMeta"/>
      </w:pPr>
      <w:r>
        <w:rPr>
          <w:i/>
        </w:rPr>
        <w:t xml:space="preserve">Reference: </w:t>
      </w:r>
      <w:r>
        <w:rPr>
          <w:i/>
        </w:rPr>
        <w:t xml:space="preserve">WHS Reg r.66 (confined space entry permit)</w:t>
      </w:r>
    </w:p>
    <w:p>
      <w:pPr>
        <w:pStyle w:val="KestrelClause"/>
      </w:pPr>
      <w:r>
        <w:rPr>
          <w:b/>
        </w:rPr>
        <w:t xml:space="preserve">2.1.7</w:t>
      </w:r>
      <w:r>
        <w:tab/>
      </w:r>
      <w:r>
        <w:t xml:space="preserve">The continuous atmospheric monitoring during occupancy shall be applied in accordance with AS 2865 (confined spaces) and independently confirmed by a second competent person before work proceeds. In this revision the control is administered under the site's gas testing arrangements. Any departure from this clause shall be raised as a management of change before the work proceeds, and shall not be approved by the person performing the task.</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2865 (confined spaces)</w:t>
      </w:r>
    </w:p>
    <w:p>
      <w:pPr>
        <w:pStyle w:val="KestrelClause"/>
      </w:pPr>
      <w:r>
        <w:rPr>
          <w:b/>
        </w:rPr>
        <w:t xml:space="preserve">2.1.8</w:t>
      </w:r>
      <w:r>
        <w:tab/>
      </w:r>
      <w:r>
        <w:t xml:space="preserve">The supervisor shall not authorise the task unless the continuous atmospheric monitoring during occupancy has been carried out for every energy source and every item of plant within the declared boundary. In this revision the control is administered under the site's gas testing arrangements. The completed record shall be retained on the PRO-HSE-012 file under the site's management of change arrangements.</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2865 (confined spaces)</w:t>
      </w:r>
    </w:p>
    <w:p>
      <w:pPr>
        <w:pStyle w:val="KestrelClause"/>
      </w:pPr>
      <w:r>
        <w:rPr>
          <w:b/>
        </w:rPr>
        <w:t xml:space="preserve">2.1.9</w:t>
      </w:r>
      <w:r>
        <w:tab/>
      </w:r>
      <w:r>
        <w:t xml:space="preserve">The continuous atmospheric monitoring during occupancy shall be applied in accordance with AS/NZS 1715 (selection, use and maintenance of respiratory protective equipment) and independently confirmed by a second competent person before work proceeds. In this revision the control is administered under the site's gas testing arrangements. The completed record shall be retained on the PRO-HSE-012 file under the site's management of change arrangements.</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Setpoint"/>
      </w:pPr>
      <w:r>
        <w:t xml:space="preserve">Setpoint - hydrogen sulfide alarm threshold: 15 ppm. Any departure requires an approved management of change before the change is made.</w:t>
      </w:r>
    </w:p>
    <w:p>
      <w:pPr>
        <w:pStyle w:val="KestrelMeta"/>
      </w:pPr>
      <w:r>
        <w:rPr>
          <w:i/>
        </w:rPr>
        <w:t xml:space="preserve">Reference: </w:t>
      </w:r>
      <w:r>
        <w:rPr>
          <w:i/>
        </w:rPr>
        <w:t xml:space="preserve">AS/NZS 1715 (selection, use and maintenance of respiratory protective equipment)</w:t>
      </w:r>
    </w:p>
    <w:p>
      <w:pPr>
        <w:pStyle w:val="KestrelHeading"/>
      </w:pPr>
      <w:r>
        <w:t xml:space="preserve">CHAPTER </w:t>
      </w:r>
      <w:r>
        <w:t xml:space="preserve">3</w:t>
      </w:r>
      <w:r>
        <w:t xml:space="preserve">  -  </w:t>
      </w:r>
      <w:r>
        <w:t xml:space="preserve">atmospheric gas testing before and during hot work</w:t>
      </w:r>
    </w:p>
    <w:p>
      <w:pPr>
        <w:pStyle w:val="KestrelSubheading"/>
      </w:pPr>
      <w:r>
        <w:t xml:space="preserve">Preventive controls</w:t>
      </w:r>
    </w:p>
    <w:p>
      <w:pPr>
        <w:pStyle w:val="KestrelClause"/>
      </w:pPr>
      <w:r>
        <w:rPr>
          <w:b/>
        </w:rPr>
        <w:t xml:space="preserve">3.1.1</w:t>
      </w:r>
      <w:r>
        <w:tab/>
      </w:r>
      <w:r>
        <w:t xml:space="preserve">No person shall commence the task until the atmospheric gas testing before and during hot work has been completed and confirmed by the person in charge of the work. In this revision the control is administered under the site's gas testing arrangements. The completed record shall be retained on the PRO-HSE-012 file under the site's management of change arrangements.</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Setpoint"/>
      </w:pPr>
      <w:r>
        <w:t xml:space="preserve">Setpoint - gas test revalidation interval during hot work: 240 min. Any departure requires an approved management of change before the change is made.</w:t>
      </w:r>
    </w:p>
    <w:p>
      <w:pPr>
        <w:pStyle w:val="KestrelMeta"/>
      </w:pPr>
      <w:r>
        <w:rPr>
          <w:i/>
        </w:rPr>
        <w:t xml:space="preserve">Reference: </w:t>
      </w:r>
      <w:r>
        <w:rPr>
          <w:i/>
        </w:rPr>
        <w:t xml:space="preserve">AS 2865 (confined spaces)</w:t>
      </w:r>
    </w:p>
    <w:p>
      <w:pPr>
        <w:pStyle w:val="KestrelClause"/>
      </w:pPr>
      <w:r>
        <w:rPr>
          <w:b/>
        </w:rPr>
        <w:t xml:space="preserve">3.1.2</w:t>
      </w:r>
      <w:r>
        <w:tab/>
      </w:r>
      <w:r>
        <w:t xml:space="preserve">No person shall commence the task until the atmospheric gas testing before and during hot work has been completed and confirmed by the person in charge of the work. In this revision the control is administered under the site's gas testing arrangements. The completed record shall be retained on the PRO-HSE-012 file under the site's management of change arrangements.</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AS/NZS 1715 (selection, use and maintenance of respiratory protective equipment)</w:t>
      </w:r>
    </w:p>
    <w:p>
      <w:pPr>
        <w:pStyle w:val="KestrelClause"/>
      </w:pPr>
      <w:r>
        <w:rPr>
          <w:b/>
        </w:rPr>
        <w:t xml:space="preserve">3.1.3</w:t>
      </w:r>
      <w:r>
        <w:tab/>
      </w:r>
      <w:r>
        <w:t xml:space="preserve">No person shall commence the task until the atmospheric gas testing before and during hot work has been completed and confirmed by the person in charge of the work. In this revision the control is administered under the site's gas testing arrangements. Evidence of compliance shall be recorded at the time of the check, and shall name the person who made it.</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AS/NZS 1715 (selection, use and maintenance of respiratory protective equipment)</w:t>
      </w:r>
    </w:p>
    <w:p>
      <w:pPr>
        <w:pStyle w:val="KestrelClause"/>
      </w:pPr>
      <w:r>
        <w:rPr>
          <w:b/>
        </w:rPr>
        <w:t xml:space="preserve">3.1.4</w:t>
      </w:r>
      <w:r>
        <w:tab/>
      </w:r>
      <w:r>
        <w:t xml:space="preserve">No person shall commence the task until the atmospheric gas testing before and during hot work has been completed and confirmed by the person in charge of the work. In this revision the control is administered under the site's gas testing arrangements. Any departure from this clause shall be raised as a management of change before the work proceeds, and shall not be approved by the person performing the task.</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WHS Reg r.66 (confined space entry permit)</w:t>
      </w:r>
    </w:p>
    <w:p>
      <w:pPr>
        <w:pStyle w:val="KestrelClause"/>
      </w:pPr>
      <w:r>
        <w:rPr>
          <w:b/>
        </w:rPr>
        <w:t xml:space="preserve">3.1.5</w:t>
      </w:r>
      <w:r>
        <w:tab/>
      </w:r>
      <w:r>
        <w:t xml:space="preserve">The supervisor shall not authorise the task unless the atmospheric gas testing before and during hot work has been carried out for every energy source and every item of plant within the declared boundary. In this revision the control is administered under the site's gas testing arrangements. The completed record shall be retained on the PRO-HSE-012 file under the site's management of change arrangements.</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Setpoint"/>
      </w:pPr>
      <w:r>
        <w:t xml:space="preserve">Setpoint - gas test revalidation interval during hot work: 240 min. Any departure requires an approved management of change before the change is made.</w:t>
      </w:r>
    </w:p>
    <w:p>
      <w:pPr>
        <w:pStyle w:val="KestrelMeta"/>
      </w:pPr>
      <w:r>
        <w:rPr>
          <w:i/>
        </w:rPr>
        <w:t xml:space="preserve">Reference: </w:t>
      </w:r>
      <w:r>
        <w:rPr>
          <w:i/>
        </w:rPr>
        <w:t xml:space="preserve">AS/NZS 1715 (selection, use and maintenance of respiratory protective equipment)</w:t>
      </w:r>
    </w:p>
    <w:p>
      <w:pPr>
        <w:pStyle w:val="KestrelClause"/>
      </w:pPr>
      <w:r>
        <w:rPr>
          <w:b/>
        </w:rPr>
        <w:t xml:space="preserve">3.1.6</w:t>
      </w:r>
      <w:r>
        <w:tab/>
      </w:r>
      <w:r>
        <w:t xml:space="preserve">The atmospheric gas testing before and during hot work shall be established and confirmed in place before the task begins, and shall remain in place until the work is complete and the area has been handed back. In this revision the control is administered under the site's gas testing arrangements. Any departure from this clause shall be raised as a management of change before the work proceeds, and shall not be approved by the person performing the task.</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AS/NZS 1715 (selection, use and maintenance of respiratory protective equipment)</w:t>
      </w:r>
    </w:p>
    <w:p>
      <w:pPr>
        <w:pStyle w:val="KestrelClause"/>
      </w:pPr>
      <w:r>
        <w:rPr>
          <w:b/>
        </w:rPr>
        <w:t xml:space="preserve">3.1.7</w:t>
      </w:r>
      <w:r>
        <w:tab/>
      </w:r>
      <w:r>
        <w:t xml:space="preserve">The supervisor shall not authorise the task unless the atmospheric gas testing before and during hot work has been carried out for every energy source and every item of plant within the declared boundary. In this revision the control is administered under the site's gas testing arrangements. Any departure from this clause shall be raised as a management of change before the work proceeds, and shall not be approved by the person performing the task.</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Setpoint"/>
      </w:pPr>
      <w:r>
        <w:t xml:space="preserve">Setpoint - flammable gas alarm threshold: 25 %LEL. Any departure requires an approved management of change before the change is made.</w:t>
      </w:r>
    </w:p>
    <w:p>
      <w:pPr>
        <w:pStyle w:val="KestrelMeta"/>
      </w:pPr>
      <w:r>
        <w:rPr>
          <w:i/>
        </w:rPr>
        <w:t xml:space="preserve">Reference: </w:t>
      </w:r>
      <w:r>
        <w:rPr>
          <w:i/>
        </w:rPr>
        <w:t xml:space="preserve">WHS Reg r.66 (confined space entry permit)</w:t>
      </w:r>
    </w:p>
    <w:p>
      <w:pPr>
        <w:pStyle w:val="KestrelHeading"/>
      </w:pPr>
      <w:r>
        <w:t xml:space="preserve">CHAPTER </w:t>
      </w:r>
      <w:r>
        <w:t xml:space="preserve">4</w:t>
      </w:r>
      <w:r>
        <w:t xml:space="preserve">  -  </w:t>
      </w:r>
      <w:r>
        <w:t xml:space="preserve">standby attendance and non-entry rescue capability</w:t>
      </w:r>
    </w:p>
    <w:p>
      <w:pPr>
        <w:pStyle w:val="KestrelSubheading"/>
      </w:pPr>
      <w:r>
        <w:t xml:space="preserve">Recovery controls</w:t>
      </w:r>
    </w:p>
    <w:p>
      <w:pPr>
        <w:pStyle w:val="KestrelClause"/>
      </w:pPr>
      <w:r>
        <w:rPr>
          <w:b/>
        </w:rPr>
        <w:t xml:space="preserve">4.2.1</w:t>
      </w:r>
      <w:r>
        <w:tab/>
      </w:r>
      <w:r>
        <w:t xml:space="preserve">On activation of the standby attendance and non-entry rescue capability, the operator shall isolate the source, account for all persons, and record the event before any attempt at restoration. In this revision the control is administered under the site's critical control arrangements. Any departure from this clause shall be raised as a management of change before the work proceeds, and shall not be approved by the person performing the task.</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AS/NZS 1715 (selection, use and maintenance of respiratory protective equipment)</w:t>
      </w:r>
    </w:p>
    <w:p>
      <w:pPr>
        <w:pStyle w:val="KestrelClause"/>
      </w:pPr>
      <w:r>
        <w:rPr>
          <w:b/>
        </w:rPr>
        <w:t xml:space="preserve">4.2.2</w:t>
      </w:r>
      <w:r>
        <w:tab/>
      </w:r>
      <w:r>
        <w:t xml:space="preserve">The standby attendance and non-entry rescue capability shall be proven at the interval set by the responsible engineer, and the result of each proof shall be recorded against the equipment tag. In this revision the control is administered under the site's critical control arrangements. Evidence of compliance shall be recorded at the time of the check, and shall name the person who made it.</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AS/NZS 1715 (selection, use and maintenance of respiratory protective equipment)</w:t>
      </w:r>
    </w:p>
    <w:p>
      <w:pPr>
        <w:pStyle w:val="KestrelClause"/>
      </w:pPr>
      <w:r>
        <w:rPr>
          <w:b/>
        </w:rPr>
        <w:t xml:space="preserve">4.2.3</w:t>
      </w:r>
      <w:r>
        <w:tab/>
      </w:r>
      <w:r>
        <w:t xml:space="preserve">Where the standby attendance and non-entry rescue capability is unavailable or has been overridden, the task shall be suspended and the area made safe before work resumes. In this revision the control is administered under the site's critical control arrangements. Any departure from this clause shall be raised as a management of change before the work proceeds, and shall not be approved by the person performing the task.</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WHS Reg r.66 (confined space entry permit)</w:t>
      </w:r>
    </w:p>
    <w:p>
      <w:pPr>
        <w:pStyle w:val="KestrelClause"/>
      </w:pPr>
      <w:r>
        <w:rPr>
          <w:b/>
        </w:rPr>
        <w:t xml:space="preserve">4.2.4</w:t>
      </w:r>
      <w:r>
        <w:tab/>
      </w:r>
      <w:r>
        <w:t xml:space="preserve">On activation of the standby attendance and non-entry rescue capability, the operator shall isolate the source, account for all persons, and record the event before any attempt at restoration. In this revision the control is administered under the site's critical control arrangements. Evidence of compliance shall be recorded at the time of the check, and shall name the person who made it.</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AS/NZS 1715 (selection, use and maintenance of respiratory protective equipment)</w:t>
      </w:r>
    </w:p>
    <w:p>
      <w:pPr>
        <w:pStyle w:val="KestrelClause"/>
      </w:pPr>
      <w:r>
        <w:rPr>
          <w:b/>
        </w:rPr>
        <w:t xml:space="preserve">4.2.5</w:t>
      </w:r>
      <w:r>
        <w:tab/>
      </w:r>
      <w:r>
        <w:t xml:space="preserve">The standby attendance and non-entry rescue capability shall be available and functional for the duration of the task; loss of function shall stop the work and place the plant in a safe state. In this revision the control is administered under the site's critical control arrangements. The completed record shall be retained on the PRO-HSE-012 file under the site's management of change arrangements.</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WHS Reg r.66 (confined space entry permit)</w:t>
      </w:r>
    </w:p>
    <w:p>
      <w:pPr>
        <w:pStyle w:val="KestrelClause"/>
      </w:pPr>
      <w:r>
        <w:rPr>
          <w:b/>
        </w:rPr>
        <w:t xml:space="preserve">4.2.6</w:t>
      </w:r>
      <w:r>
        <w:tab/>
      </w:r>
      <w:r>
        <w:t xml:space="preserve">The standby attendance and non-entry rescue capability shall be available and functional for the duration of the task; loss of function shall stop the work and place the plant in a safe state. In this revision the control is administered under the site's critical control arrangements. The completed record shall be retained on the PRO-HSE-012 file under the site's management of change arrangements.</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AS/NZS 1715 (selection, use and maintenance of respiratory protective equipment)</w:t>
      </w:r>
    </w:p>
    <w:p>
      <w:pPr>
        <w:pStyle w:val="KestrelClause"/>
      </w:pPr>
      <w:r>
        <w:rPr>
          <w:b/>
        </w:rPr>
        <w:t xml:space="preserve">4.2.7</w:t>
      </w:r>
      <w:r>
        <w:tab/>
      </w:r>
      <w:r>
        <w:t xml:space="preserve">Where the standby attendance and non-entry rescue capability is unavailable or has been overridden, the task shall be suspended and the area made safe before work resumes. In this revision the control is administered under the site's critical control arrangements. Any departure from this clause shall be raised as a management of change before the work proceeds, and shall not be approved by the person performing the task.</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WHS Reg r.66 (confined space entry permit)</w:t>
      </w:r>
    </w:p>
    <w:p>
      <w:pPr>
        <w:pStyle w:val="KestrelClause"/>
      </w:pPr>
      <w:r>
        <w:rPr>
          <w:b/>
        </w:rPr>
        <w:t xml:space="preserve">4.2.8</w:t>
      </w:r>
      <w:r>
        <w:tab/>
      </w:r>
      <w:r>
        <w:t xml:space="preserve">On activation of the standby attendance and non-entry rescue capability, the operator shall isolate the source, account for all persons, and record the event before any attempt at restoration. In this revision the control is administered under the site's critical control arrangements. The completed record shall be retained on the PRO-HSE-012 file under the site's management of change arrangements.</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AS/NZS 1715 (selection, use and maintenance of respiratory protective equipment)</w:t>
      </w:r>
    </w:p>
    <w:p>
      <w:pPr>
        <w:pStyle w:val="KestrelClause"/>
      </w:pPr>
      <w:r>
        <w:rPr>
          <w:b/>
        </w:rPr>
        <w:t xml:space="preserve">4.2.9</w:t>
      </w:r>
      <w:r>
        <w:tab/>
      </w:r>
      <w:r>
        <w:t xml:space="preserve">The standby attendance and non-entry rescue capability shall be available and functional for the duration of the task; loss of function shall stop the work and place the plant in a safe state. In this revision the control is administered under the site's critical control arrangements. Evidence of compliance shall be recorded at the time of the check, and shall name the person who made it.</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AS/NZS 1715 (selection, use and maintenance of respiratory protective equipment)</w:t>
      </w:r>
    </w:p>
    <w:p>
      <w:pPr>
        <w:pStyle w:val="KestrelMeta"/>
      </w:pPr>
      <w:r>
        <w:rPr>
          <w:i/>
        </w:rPr>
        <w:t xml:space="preserve">This document is controlled electronically. A printed copy is uncontrolled and is valid only on the day it was printed. The authoritative copy, its revision history and the identity of every clause are held in the site document register.</w:t>
      </w:r>
    </w:p>
    <w:sectPr>
      <w:pgSz w:w="11906" w:h="16838"/>
      <w:pgMar w:top="1418" w:right="1134" w:bottom="1134" w:left="1134" w:header="709" w:footer="709" w:gutter="0"/>
      <w:cols w:space="708"/>
      <w:docGrid w:linePitch="360"/>
    </w:sectPr>
  </w:body>
</w:document>
</file>

<file path=word/fontTable.xml><?xml version="1.0" encoding="utf-8"?>
<w:fonts xmlns:w="http://schemas.openxmlformats.org/wordprocessingml/2006/main" xmlns:r="http://schemas.openxmlformats.org/officeDocument/2006/relationships">
  <w:font w:name="Calibri">
    <w:charset w:val="00"/>
    <w:family w:val="swiss"/>
    <w:pitch w:val="variable"/>
  </w:font>
</w:fonts>
</file>

<file path=word/numbering.xml><?xml version="1.0" encoding="utf-8"?>
<w:numbering xmlns:w="http://schemas.openxmlformats.org/wordprocessingml/2006/main" xmlns:r="http://schemas.openxmlformats.org/officeDocument/2006/relationships">
  <w:abstractNum w:abstractNumId="0">
    <w:multiLevelType w:val="singleLevel"/>
    <w:lvl w:ilvl="0">
      <w:start w:val="1"/>
      <w:numFmt w:val="decimal"/>
      <w:lvlText w:val="%1)"/>
      <w:lvlJc w:val="left"/>
      <w:pPr>
        <w:ind w:left="1332" w:hanging="340"/>
      </w:pPr>
    </w:lvl>
  </w:abstractNum>
  <w:num w:numId="1">
    <w:abstractNumId w:val="0"/>
  </w:num>
</w:numbering>
</file>

<file path=word/settings.xml><?xml version="1.0" encoding="utf-8"?>
<w:settings xmlns:w="http://schemas.openxmlformats.org/wordprocessingml/2006/main" xmlns:r="http://schemas.openxmlformats.org/officeDocument/2006/relationships">
  <w:zoom w:percent="100"/>
  <w:defaultTabStop w:val="720"/>
  <w:characterSpacingControl w:val="doNotCompress"/>
  <w:themeFontLang w:val="en-AU"/>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Calibri" w:hAnsi="Calibri" w:cs="Calibri"/>
        <w:sz w:val="21"/>
        <w:szCs w:val="21"/>
        <w:lang w:val="en-AU" w:eastAsia="en-AU" w:bidi="ar-SA"/>
      </w:rPr>
    </w:rPrDefault>
    <w:pPrDefault>
      <w:pPr>
        <w:spacing w:after="120" w:line="240" w:lineRule="auto"/>
      </w:pPr>
    </w:pPrDefault>
  </w:docDefaults>
  <w:style w:type="paragraph" w:default="1" w:styleId="Normal">
    <w:name w:val="Normal"/>
    <w:qFormat/>
  </w:style>
  <w:style w:type="paragraph" w:styleId="KestrelTitle">
    <w:name w:val="Kestrel Title"/>
    <w:basedOn w:val="Normal"/>
    <w:qFormat/>
    <w:pPr>
      <w:spacing w:before="120" w:after="60"/>
    </w:pPr>
    <w:rPr>
      <w:rFonts w:ascii="Calibri" w:hAnsi="Calibri"/>
      <w:b/>
      <w:caps/>
      <w:color w:val="1F3864"/>
      <w:sz w:val="32"/>
      <w:szCs w:val="32"/>
    </w:rPr>
  </w:style>
  <w:style w:type="paragraph" w:styleId="KestrelSubtitle">
    <w:name w:val="Kestrel Subtitle"/>
    <w:basedOn w:val="Normal"/>
    <w:qFormat/>
    <w:pPr>
      <w:spacing w:after="240"/>
    </w:pPr>
    <w:rPr>
      <w:rFonts w:ascii="Calibri" w:hAnsi="Calibri"/>
      <w:color w:val="1F3864"/>
      <w:sz w:val="21"/>
      <w:szCs w:val="21"/>
    </w:rPr>
  </w:style>
  <w:style w:type="paragraph" w:styleId="KestrelHeading">
    <w:name w:val="Kestrel Heading"/>
    <w:basedOn w:val="Normal"/>
    <w:qFormat/>
    <w:pPr>
      <w:keepNext/>
      <w:spacing w:before="280" w:after="120"/>
      <w:pBdr>
        <w:bottom w:val="single" w:sz="6" w:space="2" w:color="8496B0"/>
      </w:pBdr>
    </w:pPr>
    <w:rPr>
      <w:rFonts w:ascii="Calibri" w:hAnsi="Calibri"/>
      <w:b/>
      <w:smallCaps/>
      <w:color w:val="1F3864"/>
      <w:sz w:val="26"/>
      <w:szCs w:val="26"/>
    </w:rPr>
  </w:style>
  <w:style w:type="paragraph" w:styleId="KestrelSubheading">
    <w:name w:val="Kestrel Subheading"/>
    <w:basedOn w:val="Normal"/>
    <w:qFormat/>
    <w:pPr>
      <w:keepNext/>
      <w:spacing w:before="160" w:after="80"/>
    </w:pPr>
    <w:rPr>
      <w:rFonts w:ascii="Calibri" w:hAnsi="Calibri"/>
      <w:b/>
      <w:i/>
      <w:sz w:val="21"/>
      <w:szCs w:val="21"/>
    </w:rPr>
  </w:style>
  <w:style w:type="paragraph" w:styleId="KestrelClause">
    <w:name w:val="Kestrel Clause"/>
    <w:basedOn w:val="Normal"/>
    <w:qFormat/>
    <w:pPr>
      <w:ind w:left="992" w:hanging="992"/>
      <w:spacing w:after="120"/>
      <w:jc w:val="both"/>
    </w:pPr>
  </w:style>
  <w:style w:type="paragraph" w:styleId="KestrelPoint">
    <w:name w:val="Kestrel Clause Point"/>
    <w:basedOn w:val="Normal"/>
    <w:qFormat/>
    <w:pPr>
      <w:numPr>
        <w:ilvl w:val="0"/>
        <w:numId w:val="1"/>
      </w:numPr>
      <w:ind w:left="1332" w:hanging="340"/>
      <w:spacing w:after="60"/>
    </w:pPr>
  </w:style>
  <w:style w:type="paragraph" w:styleId="KestrelSetpoint">
    <w:name w:val="Kestrel Setpoint"/>
    <w:basedOn w:val="Normal"/>
    <w:qFormat/>
    <w:pPr>
      <w:ind w:left="992"/>
      <w:spacing w:before="60" w:after="160"/>
    </w:pPr>
    <w:rPr>
      <w:b/>
    </w:rPr>
  </w:style>
  <w:style w:type="paragraph" w:styleId="KestrelMeta">
    <w:name w:val="Kestrel Meta"/>
    <w:basedOn w:val="Normal"/>
    <w:qFormat/>
    <w:pPr>
      <w:spacing w:after="0"/>
    </w:pPr>
    <w:rPr>
      <w:sz w:val="17"/>
      <w:szCs w:val="17"/>
    </w:rPr>
  </w:style>
  <w:style w:type="paragraph" w:styleId="KestrelTableHead">
    <w:name w:val="Kestrel Table Heading"/>
    <w:basedOn w:val="Normal"/>
    <w:qFormat/>
    <w:pPr>
      <w:spacing w:after="0"/>
    </w:pPr>
    <w:rPr>
      <w:b/>
      <w:sz w:val="17"/>
      <w:szCs w:val="17"/>
    </w:rPr>
  </w:style>
  <w:style w:type="paragraph" w:styleId="KestrelTableCell">
    <w:name w:val="Kestrel Table Cell"/>
    <w:basedOn w:val="Normal"/>
    <w:qFormat/>
    <w:pPr>
      <w:spacing w:after="0"/>
    </w:pPr>
    <w:rPr>
      <w:sz w:val="17"/>
      <w:szCs w:val="17"/>
    </w:rPr>
  </w:style>
</w:styles>
</file>

<file path=word/_rels/document.xml.rels><?xml version="1.0" encoding="UTF-8" standalone="yes"?>
<Relationships xmlns="http://schemas.openxmlformats.org/package/2006/relationships"><Relationship Id="rId4"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Template>pro_g2</Template>
  <Application>MAINLINE corpusgen docx 1.0.0</Application>
  <Company>Kestrel Resources Pty Ltd</Company>
  <AppVersion>1.0000</AppVersion>
  <DocSecurity>0</DocSecurity>
  <ScaleCrop>false</ScaleCrop>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PRO-HSE-012 - Confined Space Entry</dc:title>
  <dc:subject>Cape Verity Export Terminal; revision 006; effective 2016-11-21</dc:subject>
  <dc:creator>N. Toussaint (kestrel:toussaint.n)</dc:creator>
  <cp:lastModifiedBy>N. Toussaint (kestrel:toussaint.n)</cp:lastModifiedBy>
  <cp:revision>006</cp:revision>
  <dcterms:created xsi:type="dcterms:W3CDTF">2016-11-21T00:00:00Z</dcterms:created>
  <dcterms:modified xsi:type="dcterms:W3CDTF">2016-11-21T00:00:00Z</dcterms:modified>
  <cp:category>Kestrel controlled document (PRO)</cp:category>
  <cp:contentStatus>Issued</cp:contentStatus>
</cp:coreProperties>
</file>