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5975"/>
        <w:gridCol w:w="3663"/>
      </w:tblGrid>
      <w:tr>
        <w:tc>
          <w:tcPr>
            <w:tcW w:w="5975" w:type="dxa"/>
            <w:shd w:val="clear" w:color="auto" w:fill="EDF1F6"/>
          </w:tcPr>
          <w:p>
            <w:pPr>
              <w:spacing w:after="0"/>
            </w:pPr>
            <w:r>
              <w:rPr>
                <w:b/>
                <w:caps/>
                <w:color w:val="1F3864"/>
                <w:sz w:val="21"/>
                <w:szCs w:val="21"/>
              </w:rPr>
              <w:t xml:space="preserve">KESTREL RESOURCES PTY LTD</w:t>
            </w:r>
          </w:p>
          <w:p>
            <w:pPr>
              <w:pStyle w:val="KestrelMeta"/>
            </w:pPr>
            <w:r>
              <w:t xml:space="preserve">Marrindal Concentrator and Hydrocarbon Transfer Facility</w:t>
            </w:r>
          </w:p>
        </w:tc>
        <w:tc>
          <w:tcPr>
            <w:tcW w:w="3663" w:type="dxa"/>
            <w:shd w:val="clear" w:color="auto" w:fill="EDF1F6"/>
          </w:tcPr>
          <w:p>
            <w:pPr>
              <w:pStyle w:val="KestrelMeta"/>
              <w:jc w:val="right"/>
            </w:pPr>
            <w:r>
              <w:rPr>
                <w:b/>
              </w:rPr>
              <w:t xml:space="preserve">MANAGEMENT OF CHANGE RECORD</w:t>
            </w:r>
          </w:p>
          <w:p>
            <w:pPr>
              <w:pStyle w:val="KestrelMeta"/>
              <w:jc w:val="right"/>
            </w:pPr>
            <w:r>
              <w:t xml:space="preserve">Document </w:t>
            </w:r>
            <w:r>
              <w:t xml:space="preserve">MOC-2026-0413</w:t>
            </w:r>
          </w:p>
          <w:p>
            <w:pPr>
              <w:pStyle w:val="KestrelMeta"/>
              <w:jc w:val="right"/>
            </w:pPr>
            <w:r>
              <w:t xml:space="preserve">Revision </w:t>
            </w:r>
            <w:r>
              <w:t xml:space="preserve">001</w:t>
            </w:r>
            <w:r>
              <w:t xml:space="preserve">  ·  Effective </w:t>
            </w:r>
            <w:r>
              <w:t xml:space="preserve">2026-07-28</w:t>
            </w:r>
          </w:p>
        </w:tc>
      </w:tr>
    </w:tbl>
    <w:p>
      <w:pPr>
        <w:pStyle w:val="KestrelMeta"/>
      </w:pPr>
    </w:p>
    <w:p>
      <w:pPr>
        <w:pStyle w:val="KestrelTitle"/>
        <w:pBdr>
          <w:bottom w:val="single" w:sz="12" w:space="4" w:color="404040"/>
        </w:pBdr>
      </w:pPr>
      <w:r>
        <w:t xml:space="preserve">Restore OEM Seal-Face Alarm Setpoint on the Hydrocarbon Transfer Pump Family</w:t>
      </w:r>
    </w:p>
    <w:p>
      <w:pPr>
        <w:pStyle w:val="KestrelSubtitle"/>
      </w:pPr>
      <w:r>
        <w:t xml:space="preserve">MOC-2026-0413</w:t>
      </w:r>
      <w:r>
        <w:t xml:space="preserve">  ·  revision </w:t>
      </w:r>
      <w:r>
        <w:t xml:space="preserve">001</w:t>
      </w:r>
      <w:r>
        <w:t xml:space="preserve">  ·  effective </w:t>
      </w:r>
      <w:r>
        <w:t xml:space="preserve">28 July 2026</w:t>
      </w:r>
      <w:r>
        <w:t xml:space="preserve">  ·  </w:t>
      </w:r>
      <w:r>
        <w:t xml:space="preserve">Marrindal</w:t>
      </w:r>
    </w:p>
    <w:p>
      <w:pPr>
        <w:pStyle w:val="KestrelHeading"/>
      </w:pPr>
      <w:r>
        <w:t xml:space="preserve">Revision history</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867"/>
        <w:gridCol w:w="1638"/>
        <w:gridCol w:w="1638"/>
        <w:gridCol w:w="3566"/>
        <w:gridCol w:w="1929"/>
      </w:tblGrid>
      <w:tr>
        <w:trPr>
          <w:tblHeader/>
        </w:trPr>
        <w:tc>
          <w:tcPr>
            <w:tcW w:w="867" w:type="dxa"/>
            <w:shd w:val="clear" w:color="auto" w:fill="EDF1F6"/>
          </w:tcPr>
          <w:p>
            <w:pPr>
              <w:pStyle w:val="KestrelTableHead"/>
            </w:pPr>
            <w:r>
              <w:t xml:space="preserve">Rev</w:t>
            </w:r>
          </w:p>
        </w:tc>
        <w:tc>
          <w:tcPr>
            <w:tcW w:w="1638" w:type="dxa"/>
            <w:shd w:val="clear" w:color="auto" w:fill="EDF1F6"/>
          </w:tcPr>
          <w:p>
            <w:pPr>
              <w:pStyle w:val="KestrelTableHead"/>
            </w:pPr>
            <w:r>
              <w:t xml:space="preserve">Effective</w:t>
            </w:r>
          </w:p>
        </w:tc>
        <w:tc>
          <w:tcPr>
            <w:tcW w:w="1638" w:type="dxa"/>
            <w:shd w:val="clear" w:color="auto" w:fill="EDF1F6"/>
          </w:tcPr>
          <w:p>
            <w:pPr>
              <w:pStyle w:val="KestrelTableHead"/>
            </w:pPr>
            <w:r>
              <w:t xml:space="preserve">Change</w:t>
            </w:r>
          </w:p>
        </w:tc>
        <w:tc>
          <w:tcPr>
            <w:tcW w:w="3566" w:type="dxa"/>
            <w:shd w:val="clear" w:color="auto" w:fill="EDF1F6"/>
          </w:tcPr>
          <w:p>
            <w:pPr>
              <w:pStyle w:val="KestrelTableHead"/>
            </w:pPr>
            <w:r>
              <w:t xml:space="preserve">Reason for change</w:t>
            </w:r>
          </w:p>
        </w:tc>
        <w:tc>
          <w:tcPr>
            <w:tcW w:w="1929" w:type="dxa"/>
            <w:shd w:val="clear" w:color="auto" w:fill="EDF1F6"/>
          </w:tcPr>
          <w:p>
            <w:pPr>
              <w:pStyle w:val="KestrelTableHead"/>
            </w:pPr>
            <w:r>
              <w:t xml:space="preserve">Approved by</w:t>
            </w:r>
          </w:p>
        </w:tc>
      </w:tr>
      <w:tr>
        <w:tc>
          <w:tcPr>
            <w:tcW w:w="867" w:type="dxa"/>
          </w:tcPr>
          <w:p>
            <w:pPr>
              <w:pStyle w:val="KestrelTableCell"/>
            </w:pPr>
            <w:r>
              <w:t xml:space="preserve">001</w:t>
            </w:r>
          </w:p>
        </w:tc>
        <w:tc>
          <w:tcPr>
            <w:tcW w:w="1638" w:type="dxa"/>
          </w:tcPr>
          <w:p>
            <w:pPr>
              <w:pStyle w:val="KestrelTableCell"/>
            </w:pPr>
            <w:r>
              <w:t xml:space="preserve">28 July 2026</w:t>
            </w:r>
          </w:p>
        </w:tc>
        <w:tc>
          <w:tcPr>
            <w:tcW w:w="1638" w:type="dxa"/>
          </w:tcPr>
          <w:p>
            <w:pPr>
              <w:pStyle w:val="KestrelTableCell"/>
            </w:pPr>
            <w:r>
              <w:t xml:space="preserve">Clause introduced</w:t>
            </w:r>
          </w:p>
        </w:tc>
        <w:tc>
          <w:tcPr>
            <w:tcW w:w="3566" w:type="dxa"/>
          </w:tcPr>
          <w:p>
            <w:pPr>
              <w:pStyle w:val="KestrelTableCell"/>
            </w:pPr>
            <w:r>
              <w:t xml:space="preserve">Issued following INC-2025-010.</w:t>
            </w:r>
          </w:p>
        </w:tc>
        <w:tc>
          <w:tcPr>
            <w:tcW w:w="1929" w:type="dxa"/>
          </w:tcPr>
          <w:p>
            <w:pPr>
              <w:pStyle w:val="KestrelTableCell"/>
            </w:pPr>
            <w:r>
              <w:t xml:space="preserve">M. Lindgren (kestrel:lindgren.m)</w:t>
            </w:r>
          </w:p>
        </w:tc>
      </w:tr>
    </w:tbl>
    <w:p>
      <w:pPr>
        <w:pStyle w:val="KestrelMeta"/>
      </w:pP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2891"/>
        <w:gridCol w:w="6747"/>
      </w:tblGrid>
      <w:tr>
        <w:trPr>
          <w:tblHeader/>
        </w:trPr>
        <w:tc>
          <w:tcPr>
            <w:tcW w:w="2891" w:type="dxa"/>
            <w:shd w:val="clear" w:color="auto" w:fill="EDF1F6"/>
          </w:tcPr>
          <w:p>
            <w:pPr>
              <w:pStyle w:val="KestrelTableHead"/>
            </w:pPr>
            <w:r>
              <w:t xml:space="preserve">Document control</w:t>
            </w:r>
          </w:p>
        </w:tc>
        <w:tc>
          <w:tcPr>
            <w:tcW w:w="6747" w:type="dxa"/>
            <w:shd w:val="clear" w:color="auto" w:fill="EDF1F6"/>
          </w:tcPr>
          <w:p>
            <w:pPr>
              <w:pStyle w:val="KestrelTableHead"/>
            </w:pPr>
            <w:r>
              <w:t xml:space="preserve"/>
            </w:r>
          </w:p>
        </w:tc>
      </w:tr>
      <w:tr>
        <w:tc>
          <w:tcPr>
            <w:tcW w:w="2891" w:type="dxa"/>
          </w:tcPr>
          <w:p>
            <w:pPr>
              <w:pStyle w:val="KestrelTableHead"/>
            </w:pPr>
            <w:r>
              <w:t xml:space="preserve">Document</w:t>
            </w:r>
          </w:p>
        </w:tc>
        <w:tc>
          <w:tcPr>
            <w:tcW w:w="6747" w:type="dxa"/>
          </w:tcPr>
          <w:p>
            <w:pPr>
              <w:pStyle w:val="KestrelTableCell"/>
            </w:pPr>
            <w:r>
              <w:t xml:space="preserve">MOC-2026-0413</w:t>
            </w:r>
          </w:p>
        </w:tc>
      </w:tr>
      <w:tr>
        <w:tc>
          <w:tcPr>
            <w:tcW w:w="2891" w:type="dxa"/>
          </w:tcPr>
          <w:p>
            <w:pPr>
              <w:pStyle w:val="KestrelTableHead"/>
            </w:pPr>
            <w:r>
              <w:t xml:space="preserve">Revision</w:t>
            </w:r>
          </w:p>
        </w:tc>
        <w:tc>
          <w:tcPr>
            <w:tcW w:w="6747" w:type="dxa"/>
          </w:tcPr>
          <w:p>
            <w:pPr>
              <w:pStyle w:val="KestrelTableCell"/>
            </w:pPr>
            <w:r>
              <w:t xml:space="preserve">001</w:t>
            </w:r>
          </w:p>
        </w:tc>
      </w:tr>
      <w:tr>
        <w:tc>
          <w:tcPr>
            <w:tcW w:w="2891" w:type="dxa"/>
          </w:tcPr>
          <w:p>
            <w:pPr>
              <w:pStyle w:val="KestrelTableHead"/>
            </w:pPr>
            <w:r>
              <w:t xml:space="preserve">Effective</w:t>
            </w:r>
          </w:p>
        </w:tc>
        <w:tc>
          <w:tcPr>
            <w:tcW w:w="6747" w:type="dxa"/>
          </w:tcPr>
          <w:p>
            <w:pPr>
              <w:pStyle w:val="KestrelTableCell"/>
            </w:pPr>
            <w:r>
              <w:t xml:space="preserve">28 July 2026</w:t>
            </w:r>
          </w:p>
        </w:tc>
      </w:tr>
      <w:tr>
        <w:tc>
          <w:tcPr>
            <w:tcW w:w="2891" w:type="dxa"/>
          </w:tcPr>
          <w:p>
            <w:pPr>
              <w:pStyle w:val="KestrelTableHead"/>
            </w:pPr>
            <w:r>
              <w:t xml:space="preserve">Site</w:t>
            </w:r>
          </w:p>
        </w:tc>
        <w:tc>
          <w:tcPr>
            <w:tcW w:w="6747" w:type="dxa"/>
          </w:tcPr>
          <w:p>
            <w:pPr>
              <w:pStyle w:val="KestrelTableCell"/>
            </w:pPr>
            <w:r>
              <w:t xml:space="preserve">Marrindal (MRD)</w:t>
            </w:r>
          </w:p>
        </w:tc>
      </w:tr>
      <w:tr>
        <w:tc>
          <w:tcPr>
            <w:tcW w:w="2891" w:type="dxa"/>
          </w:tcPr>
          <w:p>
            <w:pPr>
              <w:pStyle w:val="KestrelTableHead"/>
            </w:pPr>
            <w:r>
              <w:t xml:space="preserve">Material unwanted event</w:t>
            </w:r>
          </w:p>
        </w:tc>
        <w:tc>
          <w:tcPr>
            <w:tcW w:w="6747" w:type="dxa"/>
          </w:tcPr>
          <w:p>
            <w:pPr>
              <w:pStyle w:val="KestrelTableCell"/>
            </w:pPr>
            <w:r>
              <w:t xml:space="preserve">Containment of hydrocarbons</w:t>
            </w:r>
          </w:p>
        </w:tc>
      </w:tr>
      <w:tr>
        <w:tc>
          <w:tcPr>
            <w:tcW w:w="2891" w:type="dxa"/>
          </w:tcPr>
          <w:p>
            <w:pPr>
              <w:pStyle w:val="KestrelTableHead"/>
            </w:pPr>
            <w:r>
              <w:t xml:space="preserve">Intent</w:t>
            </w:r>
          </w:p>
        </w:tc>
        <w:tc>
          <w:tcPr>
            <w:tcW w:w="6747" w:type="dxa"/>
          </w:tcPr>
          <w:p>
            <w:pPr>
              <w:pStyle w:val="KestrelTableCell"/>
            </w:pPr>
            <w:r>
              <w:t xml:space="preserve">weaken</w:t>
            </w:r>
          </w:p>
        </w:tc>
      </w:tr>
      <w:tr>
        <w:tc>
          <w:tcPr>
            <w:tcW w:w="2891" w:type="dxa"/>
          </w:tcPr>
          <w:p>
            <w:pPr>
              <w:pStyle w:val="KestrelTableHead"/>
            </w:pPr>
            <w:r>
              <w:t xml:space="preserve">Change reference</w:t>
            </w:r>
          </w:p>
        </w:tc>
        <w:tc>
          <w:tcPr>
            <w:tcW w:w="6747" w:type="dxa"/>
          </w:tcPr>
          <w:p>
            <w:pPr>
              <w:pStyle w:val="KestrelTableCell"/>
            </w:pPr>
            <w:r>
              <w:t xml:space="preserve">cr/MOC-2026-0413</w:t>
            </w:r>
          </w:p>
        </w:tc>
      </w:tr>
      <w:tr>
        <w:tc>
          <w:tcPr>
            <w:tcW w:w="2891" w:type="dxa"/>
          </w:tcPr>
          <w:p>
            <w:pPr>
              <w:pStyle w:val="KestrelTableHead"/>
            </w:pPr>
            <w:r>
              <w:t xml:space="preserve">Target reference</w:t>
            </w:r>
          </w:p>
        </w:tc>
        <w:tc>
          <w:tcPr>
            <w:tcW w:w="6747" w:type="dxa"/>
          </w:tcPr>
          <w:p>
            <w:pPr>
              <w:pStyle w:val="KestrelTableCell"/>
            </w:pPr>
            <w:r>
              <w:t xml:space="preserve">site/marrindal/main</w:t>
            </w:r>
          </w:p>
        </w:tc>
      </w:tr>
      <w:tr>
        <w:tc>
          <w:tcPr>
            <w:tcW w:w="2891" w:type="dxa"/>
          </w:tcPr>
          <w:p>
            <w:pPr>
              <w:pStyle w:val="KestrelTableHead"/>
            </w:pPr>
            <w:r>
              <w:t xml:space="preserve">Raised by</w:t>
            </w:r>
          </w:p>
        </w:tc>
        <w:tc>
          <w:tcPr>
            <w:tcW w:w="6747" w:type="dxa"/>
          </w:tcPr>
          <w:p>
            <w:pPr>
              <w:pStyle w:val="KestrelTableCell"/>
            </w:pPr>
            <w:r>
              <w:t xml:space="preserve">M. Lindgren (kestrel:lindgren.m)</w:t>
            </w:r>
          </w:p>
        </w:tc>
      </w:tr>
      <w:tr>
        <w:tc>
          <w:tcPr>
            <w:tcW w:w="2891" w:type="dxa"/>
          </w:tcPr>
          <w:p>
            <w:pPr>
              <w:pStyle w:val="KestrelTableHead"/>
            </w:pPr>
            <w:r>
              <w:t xml:space="preserve">Status at issue</w:t>
            </w:r>
          </w:p>
        </w:tc>
        <w:tc>
          <w:tcPr>
            <w:tcW w:w="6747" w:type="dxa"/>
          </w:tcPr>
          <w:p>
            <w:pPr>
              <w:pStyle w:val="KestrelTableCell"/>
            </w:pPr>
            <w:r>
              <w:t xml:space="preserve">dispositioned</w:t>
            </w:r>
          </w:p>
        </w:tc>
      </w:tr>
    </w:tbl>
    <w:p>
      <w:pPr>
        <w:pStyle w:val="KestrelMeta"/>
      </w:pPr>
    </w:p>
    <w:p>
      <w:pPr>
        <w:pStyle w:val="KestrelHeading"/>
      </w:pPr>
      <w:r>
        <w:t xml:space="preserve">1  Purpose of this record</w:t>
      </w:r>
    </w:p>
    <w:p>
      <w:r>
        <w:t xml:space="preserve">This record documents a proposed change affecting Containment of hydrocarbons at Marrindal Concentrator and Hydrocarbon Transfer Facility, the clauses it declares, and the basis on which the change was raised. It is not an authority to proceed.</w:t>
      </w:r>
    </w:p>
    <w:p>
      <w:pPr>
        <w:pStyle w:val="KestrelHeading"/>
      </w:pPr>
      <w:r>
        <w:t xml:space="preserve">2  Change declared</w:t>
      </w:r>
    </w:p>
    <w:p>
      <w:r>
        <w:t xml:space="preserve">This document applies to the plant and equipment listed in the register maintained for Marrindal Concentrator and Hydrocarbon Transfer Facility. Where a clause states a setpoint, that setpoint is a control requirement and not a guideline; where a clause requires a record, the record is part of the control.</w:t>
      </w:r>
    </w:p>
    <w:p>
      <w:pPr>
        <w:pStyle w:val="KestrelHeading"/>
      </w:pPr>
      <w:r>
        <w:t xml:space="preserve">3  Terms used in this record</w:t>
      </w:r>
    </w:p>
    <w:tbl>
      <w:tblPr>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ayout w:type="fixed"/>
        <w:tblCellMar>
          <w:top w:w="40" w:type="dxa"/>
          <w:left w:w="80" w:type="dxa"/>
          <w:bottom w:w="40" w:type="dxa"/>
          <w:right w:w="80" w:type="dxa"/>
        </w:tblCellMar>
      </w:tblPr>
      <w:tblGrid>
        <w:gridCol w:w="3084"/>
        <w:gridCol w:w="6554"/>
      </w:tblGrid>
      <w:tr>
        <w:trPr>
          <w:tblHeader/>
        </w:trPr>
        <w:tc>
          <w:tcPr>
            <w:tcW w:w="3084" w:type="dxa"/>
            <w:shd w:val="clear" w:color="auto" w:fill="EDF1F6"/>
          </w:tcPr>
          <w:p>
            <w:pPr>
              <w:pStyle w:val="KestrelTableHead"/>
            </w:pPr>
            <w:r>
              <w:t xml:space="preserve">Term</w:t>
            </w:r>
          </w:p>
        </w:tc>
        <w:tc>
          <w:tcPr>
            <w:tcW w:w="6554" w:type="dxa"/>
            <w:shd w:val="clear" w:color="auto" w:fill="EDF1F6"/>
          </w:tcPr>
          <w:p>
            <w:pPr>
              <w:pStyle w:val="KestrelTableHead"/>
            </w:pPr>
            <w:r>
              <w:t xml:space="preserve">Meaning in this revision</w:t>
            </w:r>
          </w:p>
        </w:tc>
      </w:tr>
      <w:tr>
        <w:tc>
          <w:tcPr>
            <w:tcW w:w="3084" w:type="dxa"/>
          </w:tcPr>
          <w:p>
            <w:pPr>
              <w:pStyle w:val="KestrelTableHead"/>
            </w:pPr>
            <w:r>
              <w:t xml:space="preserve">material unwanted event control</w:t>
            </w:r>
          </w:p>
        </w:tc>
        <w:tc>
          <w:tcPr>
            <w:tcW w:w="6554" w:type="dxa"/>
          </w:tcPr>
          <w:p>
            <w:pPr>
              <w:pStyle w:val="KestrelTableCell"/>
            </w:pPr>
            <w:r>
              <w:t xml:space="preserve">As used in this revision. Revisions issued before 2010 refer to the same control as 'key safeguard'.</w:t>
            </w:r>
          </w:p>
        </w:tc>
      </w:tr>
      <w:tr>
        <w:tc>
          <w:tcPr>
            <w:tcW w:w="3084" w:type="dxa"/>
          </w:tcPr>
          <w:p>
            <w:pPr>
              <w:pStyle w:val="KestrelTableHead"/>
            </w:pPr>
            <w:r>
              <w:t xml:space="preserve">pressurised dual seal support</w:t>
            </w:r>
          </w:p>
        </w:tc>
        <w:tc>
          <w:tcPr>
            <w:tcW w:w="6554" w:type="dxa"/>
          </w:tcPr>
          <w:p>
            <w:pPr>
              <w:pStyle w:val="KestrelTableCell"/>
            </w:pPr>
            <w:r>
              <w:t xml:space="preserve">As used in this revision. Revisions issued before 2010 refer to the same control as 'quench and drain arrangement'.</w:t>
            </w:r>
          </w:p>
        </w:tc>
      </w:tr>
    </w:tbl>
    <w:p>
      <w:pPr>
        <w:pStyle w:val="KestrelMeta"/>
      </w:pPr>
    </w:p>
    <w:p>
      <w:pPr>
        <w:pStyle w:val="KestrelHeading"/>
      </w:pPr>
      <w:r>
        <w:t xml:space="preserve">4  Clauses affected</w:t>
      </w:r>
    </w:p>
    <w:p>
      <w:pPr>
        <w:pStyle w:val="KestrelHeading"/>
      </w:pPr>
      <w:r>
        <w:t xml:space="preserve">CHAPTER </w:t>
      </w:r>
      <w:r>
        <w:t xml:space="preserve">1</w:t>
      </w:r>
      <w:r>
        <w:t xml:space="preserve">  -  </w:t>
      </w:r>
      <w:r>
        <w:t xml:space="preserve">controlled transfer of hydrocarbon between vessels</w:t>
      </w:r>
    </w:p>
    <w:p>
      <w:pPr>
        <w:pStyle w:val="KestrelSubheading"/>
      </w:pPr>
      <w:r>
        <w:t xml:space="preserve">Preventive controls</w:t>
      </w:r>
    </w:p>
    <w:p>
      <w:pPr>
        <w:pStyle w:val="KestrelClause"/>
      </w:pPr>
      <w:r>
        <w:rPr>
          <w:b/>
        </w:rPr>
        <w:t xml:space="preserve">1.1.1</w:t>
      </w:r>
      <w:r>
        <w:tab/>
      </w:r>
      <w:r>
        <w:t xml:space="preserve">The controlled transfer of hydrocarbon between vessels shall be applied in accordance with API 682 (pumps — shaft sealing systems for centrifugal and rotary pumps) and independently confirmed by a second competent person before work proceeds.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API 682 (pumps — shaft sealing systems for centrifugal and rotary pumps)</w:t>
      </w:r>
    </w:p>
    <w:p>
      <w:pPr>
        <w:pStyle w:val="KestrelHeading"/>
      </w:pPr>
      <w:r>
        <w:t xml:space="preserve">CHAPTER </w:t>
      </w:r>
      <w:r>
        <w:t xml:space="preserve">2</w:t>
      </w:r>
      <w:r>
        <w:t xml:space="preserve">  -  </w:t>
      </w:r>
      <w:r>
        <w:t xml:space="preserve">secondary containment by bund and drainage</w:t>
      </w:r>
    </w:p>
    <w:p>
      <w:pPr>
        <w:pStyle w:val="KestrelSubheading"/>
      </w:pPr>
      <w:r>
        <w:t xml:space="preserve">Recovery controls</w:t>
      </w:r>
    </w:p>
    <w:p>
      <w:pPr>
        <w:pStyle w:val="KestrelClause"/>
      </w:pPr>
      <w:r>
        <w:rPr>
          <w:b/>
        </w:rPr>
        <w:t xml:space="preserve">2.2.1</w:t>
      </w:r>
      <w:r>
        <w:tab/>
      </w:r>
      <w:r>
        <w:t xml:space="preserve">The secondary containment by bund and drainage shall be proven at the interval set by the responsible engineer, and the result of each proof shall be recorded against the equipment tag.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2.2.2</w:t>
      </w:r>
      <w:r>
        <w:tab/>
      </w:r>
      <w:r>
        <w:t xml:space="preserve">The secondary containment by bund and drainage shall be available and functional for the duration of the task; loss of function shall stop the work and place the plant in a safe state.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CHAPTER </w:t>
      </w:r>
      <w:r>
        <w:t xml:space="preserve">3</w:t>
      </w:r>
      <w:r>
        <w:t xml:space="preserve">  -  </w:t>
      </w:r>
      <w:r>
        <w:t xml:space="preserve">emergency isolation and depressuring on loss of containment</w:t>
      </w:r>
    </w:p>
    <w:p>
      <w:pPr>
        <w:pStyle w:val="KestrelSubheading"/>
      </w:pPr>
      <w:r>
        <w:t xml:space="preserve">Recovery controls</w:t>
      </w:r>
    </w:p>
    <w:p>
      <w:pPr>
        <w:pStyle w:val="KestrelClause"/>
      </w:pPr>
      <w:r>
        <w:rPr>
          <w:b/>
        </w:rPr>
        <w:t xml:space="preserve">3.2.1</w:t>
      </w:r>
      <w:r>
        <w:tab/>
      </w:r>
      <w:r>
        <w:t xml:space="preserve">On activation of the emergency isolation and depressuring on loss of containment, the operator shall isolate the source, account for all persons, and record the event before any attempt at restoration.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1940 (storage and handling of flammable and combustible liquids)</w:t>
      </w:r>
    </w:p>
    <w:p>
      <w:pPr>
        <w:pStyle w:val="KestrelClause"/>
      </w:pPr>
      <w:r>
        <w:rPr>
          <w:b/>
        </w:rPr>
        <w:t xml:space="preserve">3.2.2</w:t>
      </w:r>
      <w:r>
        <w:tab/>
      </w:r>
      <w:r>
        <w:t xml:space="preserve">The emergency isolation and depressuring on loss of containment shall be proven at the interval set by the responsible engineer, and the result of each proof shall be recorded against the equipment tag.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Clause"/>
      </w:pPr>
      <w:r>
        <w:rPr>
          <w:b/>
        </w:rPr>
        <w:t xml:space="preserve">3.2.3</w:t>
      </w:r>
      <w:r>
        <w:tab/>
      </w:r>
      <w:r>
        <w:t xml:space="preserve">Where the emergency isolation and depressuring on loss of containment is unavailable or has been overridden, the task shall be suspended and the area made safe before work resumes. In this revision the control is administered under the site's material unwanted event control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1210 (pressure vessels)</w:t>
      </w:r>
    </w:p>
    <w:p>
      <w:pPr>
        <w:pStyle w:val="KestrelClause"/>
      </w:pPr>
      <w:r>
        <w:rPr>
          <w:b/>
        </w:rPr>
        <w:t xml:space="preserve">3.2.4</w:t>
      </w:r>
      <w:r>
        <w:tab/>
      </w:r>
      <w:r>
        <w:t xml:space="preserve">Where the emergency isolation and depressuring on loss of containment is unavailable or has been overridden, the task shall be suspended and the area made safe before work resumes. In this revision the control is administered under the site's material unwanted event control arrangements. The completed record shall be retained on the MOC-2026-0413 file under the site's change assurance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2885.3 (pipelines — operation and maintenance)</w:t>
      </w:r>
    </w:p>
    <w:p>
      <w:pPr>
        <w:pStyle w:val="KestrelHeading"/>
      </w:pPr>
      <w:r>
        <w:t xml:space="preserve">CHAPTER </w:t>
      </w:r>
      <w:r>
        <w:t xml:space="preserve">4</w:t>
      </w:r>
      <w:r>
        <w:t xml:space="preserve">  -  </w:t>
      </w:r>
      <w:r>
        <w:t xml:space="preserve">integrity of the mechanical seal support system</w:t>
      </w:r>
    </w:p>
    <w:p>
      <w:pPr>
        <w:pStyle w:val="KestrelSubheading"/>
      </w:pPr>
      <w:r>
        <w:t xml:space="preserve">Preventive controls</w:t>
      </w:r>
    </w:p>
    <w:p>
      <w:pPr>
        <w:pStyle w:val="KestrelClause"/>
      </w:pPr>
      <w:r>
        <w:rPr>
          <w:b/>
        </w:rPr>
        <w:t xml:space="preserve">4.1.1</w:t>
      </w:r>
      <w:r>
        <w:tab/>
      </w:r>
      <w:r>
        <w:t xml:space="preserve">The supervisor shall not authorise the task unless the integrity of the mechanical seal support system has been carried out for every energy source and every item of plant within the declared boundary. In this revision the control is administered under the site's pressurised dual seal support arrangements. Any departure from this clause shall be raised as a change assurance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vibration trip level: 14 mm/s. Any departure requires an approved change assurance before the change is made.</w:t>
      </w:r>
    </w:p>
    <w:p>
      <w:pPr>
        <w:pStyle w:val="KestrelMeta"/>
      </w:pPr>
      <w:r>
        <w:rPr>
          <w:i/>
        </w:rPr>
        <w:t xml:space="preserve">Reference: </w:t>
      </w:r>
      <w:r>
        <w:rPr>
          <w:i/>
        </w:rPr>
        <w:t xml:space="preserve">AS 1210 (pressure vessels)</w:t>
      </w: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418" w:right="1134" w:bottom="1134" w:left="1134"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decimal"/>
      <w:lvlText w:val="%1)"/>
      <w:lvlJc w:val="left"/>
      <w:pPr>
        <w:ind w:left="1332"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Calibri" w:hAnsi="Calibri" w:cs="Calibri"/>
        <w:sz w:val="21"/>
        <w:szCs w:val="21"/>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Calibri" w:hAnsi="Calibri"/>
      <w:b/>
      <w:caps/>
      <w:color w:val="1F3864"/>
      <w:sz w:val="32"/>
      <w:szCs w:val="32"/>
    </w:rPr>
  </w:style>
  <w:style w:type="paragraph" w:styleId="KestrelSubtitle">
    <w:name w:val="Kestrel Subtitle"/>
    <w:basedOn w:val="Normal"/>
    <w:qFormat/>
    <w:pPr>
      <w:spacing w:after="240"/>
    </w:pPr>
    <w:rPr>
      <w:rFonts w:ascii="Calibri" w:hAnsi="Calibri"/>
      <w:color w:val="1F3864"/>
      <w:sz w:val="21"/>
      <w:szCs w:val="21"/>
    </w:rPr>
  </w:style>
  <w:style w:type="paragraph" w:styleId="KestrelHeading">
    <w:name w:val="Kestrel Heading"/>
    <w:basedOn w:val="Normal"/>
    <w:qFormat/>
    <w:pPr>
      <w:keepNext/>
      <w:spacing w:before="280" w:after="120"/>
      <w:pBdr>
        <w:bottom w:val="single" w:sz="6" w:space="2" w:color="8496B0"/>
      </w:pBdr>
    </w:pPr>
    <w:rPr>
      <w:rFonts w:ascii="Calibri" w:hAnsi="Calibri"/>
      <w:b/>
      <w:smallCaps/>
      <w:color w:val="1F3864"/>
      <w:sz w:val="26"/>
      <w:szCs w:val="26"/>
    </w:rPr>
  </w:style>
  <w:style w:type="paragraph" w:styleId="KestrelSubheading">
    <w:name w:val="Kestrel Subheading"/>
    <w:basedOn w:val="Normal"/>
    <w:qFormat/>
    <w:pPr>
      <w:keepNext/>
      <w:spacing w:before="160" w:after="80"/>
    </w:pPr>
    <w:rPr>
      <w:rFonts w:ascii="Calibri" w:hAnsi="Calibri"/>
      <w:b/>
      <w:i/>
      <w:sz w:val="21"/>
      <w:szCs w:val="21"/>
    </w:rPr>
  </w:style>
  <w:style w:type="paragraph" w:styleId="KestrelClause">
    <w:name w:val="Kestrel Clause"/>
    <w:basedOn w:val="Normal"/>
    <w:qFormat/>
    <w:pPr>
      <w:ind w:left="992" w:hanging="992"/>
      <w:spacing w:after="120"/>
      <w:jc w:val="both"/>
    </w:pPr>
  </w:style>
  <w:style w:type="paragraph" w:styleId="KestrelPoint">
    <w:name w:val="Kestrel Clause Point"/>
    <w:basedOn w:val="Normal"/>
    <w:qFormat/>
    <w:pPr>
      <w:numPr>
        <w:ilvl w:val="0"/>
        <w:numId w:val="1"/>
      </w:numPr>
      <w:ind w:left="1332" w:hanging="340"/>
      <w:spacing w:after="60"/>
    </w:pPr>
  </w:style>
  <w:style w:type="paragraph" w:styleId="KestrelSetpoint">
    <w:name w:val="Kestrel Setpoint"/>
    <w:basedOn w:val="Normal"/>
    <w:qFormat/>
    <w:pPr>
      <w:ind w:left="992"/>
      <w:spacing w:before="60" w:after="160"/>
    </w:pPr>
    <w:rPr>
      <w:b/>
    </w:rPr>
  </w:style>
  <w:style w:type="paragraph" w:styleId="KestrelMeta">
    <w:name w:val="Kestrel Meta"/>
    <w:basedOn w:val="Normal"/>
    <w:qFormat/>
    <w:pPr>
      <w:spacing w:after="0"/>
    </w:pPr>
    <w:rPr>
      <w:sz w:val="17"/>
      <w:szCs w:val="17"/>
    </w:rPr>
  </w:style>
  <w:style w:type="paragraph" w:styleId="KestrelTableHead">
    <w:name w:val="Kestrel Table Heading"/>
    <w:basedOn w:val="Normal"/>
    <w:qFormat/>
    <w:pPr>
      <w:spacing w:after="0"/>
    </w:pPr>
    <w:rPr>
      <w:b/>
      <w:sz w:val="17"/>
      <w:szCs w:val="17"/>
    </w:rPr>
  </w:style>
  <w:style w:type="paragraph" w:styleId="KestrelTableCell">
    <w:name w:val="Kestrel Table Cell"/>
    <w:basedOn w:val="Normal"/>
    <w:qFormat/>
    <w:pPr>
      <w:spacing w:after="0"/>
    </w:pPr>
    <w:rPr>
      <w:sz w:val="17"/>
      <w:szCs w:val="17"/>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moc_g2</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MOC-2026-0413 - Restore OEM Seal-Face Alarm Setpoint on the Hydrocarbon Transfer Pump Family</dc:title>
  <dc:subject>Marrindal Concentrator and Hydrocarbon Transfer Facility; revision 001; effective 2026-07-28</dc:subject>
  <dc:creator>M. Lindgren (kestrel:lindgren.m)</dc:creator>
  <cp:lastModifiedBy>M. Lindgren (kestrel:lindgren.m)</cp:lastModifiedBy>
  <cp:revision>001</cp:revision>
  <dcterms:created xsi:type="dcterms:W3CDTF">2026-07-28T00:00:00Z</dcterms:created>
  <dcterms:modified xsi:type="dcterms:W3CDTF">2026-07-28T00:00:00Z</dcterms:modified>
  <cp:category>Kestrel controlled document (MOC)</cp:category>
  <cp:contentStatus>Issued</cp:contentStatus>
</cp:coreProperties>
</file>