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Marrindal Concentrator and Hydrocarbon Transfer Facility</w:t>
            </w:r>
          </w:p>
        </w:tc>
        <w:tc>
          <w:tcPr>
            <w:tcW w:w="3555" w:type="dxa"/>
            <w:shd w:val="clear" w:color="auto" w:fill="FFFFFF"/>
          </w:tcPr>
          <w:p>
            <w:pPr>
              <w:pStyle w:val="KestrelMeta"/>
              <w:jc w:val="right"/>
            </w:pPr>
            <w:r>
              <w:rPr>
                <w:b/>
              </w:rPr>
              <w:t xml:space="preserve">CONTROLLED PROCEDURE</w:t>
            </w:r>
          </w:p>
          <w:p>
            <w:pPr>
              <w:pStyle w:val="KestrelMeta"/>
              <w:jc w:val="right"/>
            </w:pPr>
            <w:r>
              <w:t xml:space="preserve">Document </w:t>
            </w:r>
            <w:r>
              <w:t xml:space="preserve">PRO-MEC-014</w:t>
            </w:r>
          </w:p>
          <w:p>
            <w:pPr>
              <w:pStyle w:val="KestrelMeta"/>
              <w:jc w:val="right"/>
            </w:pPr>
            <w:r>
              <w:t xml:space="preserve">Revision </w:t>
            </w:r>
            <w:r>
              <w:t xml:space="preserve">005</w:t>
            </w:r>
            <w:r>
              <w:t xml:space="preserve">  ·  Effective </w:t>
            </w:r>
            <w:r>
              <w:t xml:space="preserve">2011-03-14</w:t>
            </w:r>
          </w:p>
        </w:tc>
      </w:tr>
    </w:tbl>
    <w:p>
      <w:pPr>
        <w:pStyle w:val="KestrelMeta"/>
      </w:pPr>
    </w:p>
    <w:p>
      <w:pPr>
        <w:pStyle w:val="KestrelTitle"/>
        <w:pBdr>
          <w:bottom w:val="single" w:sz="12" w:space="4" w:color="404040"/>
        </w:pBdr>
      </w:pPr>
      <w:r>
        <w:t xml:space="preserve">Hydrocarbon Transfer Pump Maintenance</w:t>
      </w:r>
    </w:p>
    <w:p>
      <w:pPr>
        <w:pStyle w:val="KestrelSubtitle"/>
      </w:pPr>
      <w:r>
        <w:t xml:space="preserve">PRO-MEC-014</w:t>
      </w:r>
      <w:r>
        <w:t xml:space="preserve">  ·  revision </w:t>
      </w:r>
      <w:r>
        <w:t xml:space="preserve">005</w:t>
      </w:r>
      <w:r>
        <w:t xml:space="preserve">  ·  effective </w:t>
      </w:r>
      <w:r>
        <w:t xml:space="preserve">14 March 2011</w:t>
      </w:r>
      <w:r>
        <w:t xml:space="preserve">  ·  </w:t>
      </w:r>
      <w:r>
        <w:t xml:space="preserve">Marrindal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2806" w:type="dxa"/>
          </w:tcPr>
          <w:p>
            <w:pPr>
              <w:pStyle w:val="KestrelTableHead"/>
            </w:pPr>
            <w:r>
              <w:t xml:space="preserve">Document</w:t>
            </w:r>
          </w:p>
        </w:tc>
        <w:tc>
          <w:tcPr>
            <w:tcW w:w="6548" w:type="dxa"/>
          </w:tcPr>
          <w:p>
            <w:pPr>
              <w:pStyle w:val="KestrelTableCell"/>
            </w:pPr>
            <w:r>
              <w:t xml:space="preserve">PRO-MEC-014</w:t>
            </w:r>
          </w:p>
        </w:tc>
      </w:tr>
      <w:tr>
        <w:tc>
          <w:tcPr>
            <w:tcW w:w="2806" w:type="dxa"/>
          </w:tcPr>
          <w:p>
            <w:pPr>
              <w:pStyle w:val="KestrelTableHead"/>
            </w:pPr>
            <w:r>
              <w:t xml:space="preserve">Revision</w:t>
            </w:r>
          </w:p>
        </w:tc>
        <w:tc>
          <w:tcPr>
            <w:tcW w:w="6548" w:type="dxa"/>
          </w:tcPr>
          <w:p>
            <w:pPr>
              <w:pStyle w:val="KestrelTableCell"/>
            </w:pPr>
            <w:r>
              <w:t xml:space="preserve">005</w:t>
            </w:r>
          </w:p>
        </w:tc>
      </w:tr>
      <w:tr>
        <w:tc>
          <w:tcPr>
            <w:tcW w:w="2806" w:type="dxa"/>
          </w:tcPr>
          <w:p>
            <w:pPr>
              <w:pStyle w:val="KestrelTableHead"/>
            </w:pPr>
            <w:r>
              <w:t xml:space="preserve">Effective</w:t>
            </w:r>
          </w:p>
        </w:tc>
        <w:tc>
          <w:tcPr>
            <w:tcW w:w="6548" w:type="dxa"/>
          </w:tcPr>
          <w:p>
            <w:pPr>
              <w:pStyle w:val="KestrelTableCell"/>
            </w:pPr>
            <w:r>
              <w:t xml:space="preserve">14 March 2011</w:t>
            </w:r>
          </w:p>
        </w:tc>
      </w:tr>
      <w:tr>
        <w:tc>
          <w:tcPr>
            <w:tcW w:w="2806" w:type="dxa"/>
          </w:tcPr>
          <w:p>
            <w:pPr>
              <w:pStyle w:val="KestrelTableHead"/>
            </w:pPr>
            <w:r>
              <w:t xml:space="preserve">Site</w:t>
            </w:r>
          </w:p>
        </w:tc>
        <w:tc>
          <w:tcPr>
            <w:tcW w:w="6548" w:type="dxa"/>
          </w:tcPr>
          <w:p>
            <w:pPr>
              <w:pStyle w:val="KestrelTableCell"/>
            </w:pPr>
            <w:r>
              <w:t xml:space="preserve">Marrindal (MRD)</w:t>
            </w:r>
          </w:p>
        </w:tc>
      </w:tr>
      <w:tr>
        <w:tc>
          <w:tcPr>
            <w:tcW w:w="2806" w:type="dxa"/>
          </w:tcPr>
          <w:p>
            <w:pPr>
              <w:pStyle w:val="KestrelTableHead"/>
            </w:pPr>
            <w:r>
              <w:t xml:space="preserve">Material unwanted event</w:t>
            </w:r>
          </w:p>
        </w:tc>
        <w:tc>
          <w:tcPr>
            <w:tcW w:w="6548" w:type="dxa"/>
          </w:tcPr>
          <w:p>
            <w:pPr>
              <w:pStyle w:val="KestrelTableCell"/>
            </w:pPr>
            <w:r>
              <w:t xml:space="preserve">Containment of hydrocarbons</w:t>
            </w:r>
          </w:p>
        </w:tc>
      </w:tr>
      <w:tr>
        <w:tc>
          <w:tcPr>
            <w:tcW w:w="2806" w:type="dxa"/>
          </w:tcPr>
          <w:p>
            <w:pPr>
              <w:pStyle w:val="KestrelTableHead"/>
            </w:pPr>
            <w:r>
              <w:t xml:space="preserve">Owner</w:t>
            </w:r>
          </w:p>
        </w:tc>
        <w:tc>
          <w:tcPr>
            <w:tcW w:w="6548" w:type="dxa"/>
          </w:tcPr>
          <w:p>
            <w:pPr>
              <w:pStyle w:val="KestrelTableCell"/>
            </w:pPr>
            <w:r>
              <w:t xml:space="preserve">R. Blomqvist (kestrel:blomqvist.r)</w:t>
            </w:r>
          </w:p>
        </w:tc>
      </w:tr>
      <w:tr>
        <w:tc>
          <w:tcPr>
            <w:tcW w:w="2806" w:type="dxa"/>
          </w:tcPr>
          <w:p>
            <w:pPr>
              <w:pStyle w:val="KestrelTableHead"/>
            </w:pPr>
            <w:r>
              <w:t xml:space="preserve">Approved by</w:t>
            </w:r>
          </w:p>
        </w:tc>
        <w:tc>
          <w:tcPr>
            <w:tcW w:w="6548" w:type="dxa"/>
          </w:tcPr>
          <w:p>
            <w:pPr>
              <w:pStyle w:val="KestrelTableCell"/>
            </w:pPr>
            <w:r>
              <w:t xml:space="preserve">R. Selassie (kestrel:selassie.r)</w:t>
            </w:r>
          </w:p>
        </w:tc>
      </w:tr>
      <w:tr>
        <w:tc>
          <w:tcPr>
            <w:tcW w:w="2806" w:type="dxa"/>
          </w:tcPr>
          <w:p>
            <w:pPr>
              <w:pStyle w:val="KestrelTableHead"/>
            </w:pPr>
            <w:r>
              <w:t xml:space="preserve">Custodian</w:t>
            </w:r>
          </w:p>
        </w:tc>
        <w:tc>
          <w:tcPr>
            <w:tcW w:w="6548" w:type="dxa"/>
          </w:tcPr>
          <w:p>
            <w:pPr>
              <w:pStyle w:val="KestrelTableCell"/>
            </w:pPr>
            <w:r>
              <w:t xml:space="preserve">Site document control, Marrindal</w:t>
            </w:r>
          </w:p>
        </w:tc>
      </w:tr>
      <w:tr>
        <w:tc>
          <w:tcPr>
            <w:tcW w:w="2806" w:type="dxa"/>
          </w:tcPr>
          <w:p>
            <w:pPr>
              <w:pStyle w:val="KestrelTableHead"/>
            </w:pPr>
            <w:r>
              <w:t xml:space="preserve">Classification</w:t>
            </w:r>
          </w:p>
        </w:tc>
        <w:tc>
          <w:tcPr>
            <w:tcW w:w="6548"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procedure sets out how the task named above is to be planned, controlled and verified at Marrindal Concentrator and Hydrocarbon Transfer Facility. It applies to every person who performs, supervises or authorises that task, including contractors.</w:t>
      </w:r>
    </w:p>
    <w:p>
      <w:pPr>
        <w:pStyle w:val="KestrelHeading"/>
      </w:pPr>
      <w:r>
        <w:t xml:space="preserve">2  Scope</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2993" w:type="dxa"/>
          </w:tcPr>
          <w:p>
            <w:pPr>
              <w:pStyle w:val="KestrelTableHead"/>
            </w:pPr>
            <w:r>
              <w:t xml:space="preserve">alarm setpoint</w:t>
            </w:r>
          </w:p>
        </w:tc>
        <w:tc>
          <w:tcPr>
            <w:tcW w:w="6361" w:type="dxa"/>
          </w:tcPr>
          <w:p>
            <w:pPr>
              <w:pStyle w:val="KestrelTableCell"/>
            </w:pPr>
            <w:r>
              <w:t xml:space="preserve">As used in this revision. Revisions issued before 2010 refer to the same control as 'alarm setting'.</w:t>
            </w:r>
          </w:p>
        </w:tc>
      </w:tr>
      <w:tr>
        <w:tc>
          <w:tcPr>
            <w:tcW w:w="2993" w:type="dxa"/>
          </w:tcPr>
          <w:p>
            <w:pPr>
              <w:pStyle w:val="KestrelTableHead"/>
            </w:pPr>
            <w:r>
              <w:t xml:space="preserve">critical safeguard</w:t>
            </w:r>
          </w:p>
        </w:tc>
        <w:tc>
          <w:tcPr>
            <w:tcW w:w="6361" w:type="dxa"/>
          </w:tcPr>
          <w:p>
            <w:pPr>
              <w:pStyle w:val="KestrelTableCell"/>
            </w:pPr>
            <w:r>
              <w:t xml:space="preserve">As used in this revision. Revisions issued before 2010 refer to the same control as 'key safeguard'.</w:t>
            </w:r>
          </w:p>
        </w:tc>
      </w:tr>
      <w:tr>
        <w:tc>
          <w:tcPr>
            <w:tcW w:w="2993" w:type="dxa"/>
          </w:tcPr>
          <w:p>
            <w:pPr>
              <w:pStyle w:val="KestrelTableHead"/>
            </w:pPr>
            <w:r>
              <w:t xml:space="preserve">seal flush plan</w:t>
            </w:r>
          </w:p>
        </w:tc>
        <w:tc>
          <w:tcPr>
            <w:tcW w:w="6361" w:type="dxa"/>
          </w:tcPr>
          <w:p>
            <w:pPr>
              <w:pStyle w:val="KestrelTableCell"/>
            </w:pPr>
            <w:r>
              <w:t xml:space="preserve">As used in this revision. Revisions issued before 2010 refer to the same control as 'quench and drain arrangement'.</w:t>
            </w:r>
          </w:p>
        </w:tc>
      </w:tr>
    </w:tbl>
    <w:p>
      <w:pPr>
        <w:pStyle w:val="KestrelMeta"/>
      </w:pPr>
    </w:p>
    <w:p>
      <w:pPr>
        <w:pStyle w:val="KestrelHeading"/>
      </w:pPr>
      <w:r>
        <w:t xml:space="preserve">4  Requirements</w:t>
      </w:r>
    </w:p>
    <w:p>
      <w:pPr>
        <w:pStyle w:val="KestrelHeading"/>
      </w:pPr>
      <w:r>
        <w:t xml:space="preserve">SECTION </w:t>
      </w:r>
      <w:r>
        <w:t xml:space="preserve">1</w:t>
      </w:r>
      <w:r>
        <w:t xml:space="preserve">  -  </w:t>
      </w:r>
      <w:r>
        <w:t xml:space="preserve">Purpose and scope of the task</w:t>
      </w:r>
    </w:p>
    <w:p>
      <w:pPr>
        <w:pStyle w:val="KestrelClause"/>
      </w:pPr>
      <w:r>
        <w:rPr>
          <w:b/>
        </w:rPr>
        <w:t xml:space="preserve">1.1</w:t>
      </w:r>
      <w:r>
        <w:tab/>
      </w:r>
      <w:r>
        <w:t xml:space="preserve">Where the secondary containment by bund and drainage is unavailable or has been overridden, the task shall be suspended and the area made safe before work resumes.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1.3</w:t>
      </w:r>
      <w:r>
        <w:tab/>
      </w:r>
      <w:r>
        <w:t xml:space="preserve">The controlled transfer of hydrocarbon between vessels shall be applied in accordance with API 682 (pumps — shaft sealing systems for centrifugal and rotary pumps) and independently confirmed by a second competent person before work proceeds.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1.4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Heading"/>
      </w:pPr>
      <w:r>
        <w:t xml:space="preserve">SECTION </w:t>
      </w:r>
      <w:r>
        <w:t xml:space="preserve">2</w:t>
      </w:r>
      <w:r>
        <w:t xml:space="preserve">  -  </w:t>
      </w:r>
      <w:r>
        <w:t xml:space="preserve">Preparation and planning</w:t>
      </w:r>
    </w:p>
    <w:p>
      <w:pPr>
        <w:pStyle w:val="KestrelClause"/>
      </w:pPr>
      <w:r>
        <w:rPr>
          <w:b/>
        </w:rPr>
        <w:t xml:space="preserve">2.1</w:t>
      </w:r>
      <w:r>
        <w:tab/>
      </w:r>
      <w:r>
        <w:t xml:space="preserve">Where the secondary containment by bund and drainage is unavailable or has been overridden, the task shall be suspended and the area made safe before work resumes.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2.2</w:t>
      </w:r>
      <w:r>
        <w:tab/>
      </w:r>
      <w:r>
        <w:t xml:space="preserve">The emergency isolation and depressuring on loss of containment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2.3</w:t>
      </w:r>
      <w:r>
        <w:tab/>
      </w:r>
      <w:r>
        <w:t xml:space="preserve">The supervisor shall not authorise the task unless the controlled transfer of hydrocarbon between vessels has been carried out for every energy source and every item of plant within the declared boundary.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SECTION </w:t>
      </w:r>
      <w:r>
        <w:t xml:space="preserve">3</w:t>
      </w:r>
      <w:r>
        <w:t xml:space="preserve">  -  </w:t>
      </w:r>
      <w:r>
        <w:t xml:space="preserve">Isolation and making safe</w:t>
      </w:r>
    </w:p>
    <w:p>
      <w:pPr>
        <w:pStyle w:val="KestrelClause"/>
      </w:pPr>
      <w:r>
        <w:rPr>
          <w:b/>
        </w:rPr>
        <w:t xml:space="preserve">3.1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3.2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3.3</w:t>
      </w:r>
      <w:r>
        <w:tab/>
      </w:r>
      <w:r>
        <w:t xml:space="preserve">No person shall commence the task until the controlled transfer of hydrocarbon between vessels has been completed and confirmed by the person in charge of the work.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3.4</w:t>
      </w:r>
      <w:r>
        <w:tab/>
      </w:r>
      <w:r>
        <w:t xml:space="preserve">No person shall commence the task until the integrity of the mechanical seal support system has been completed and confirmed by the person in charge of the work. In this revision the control is administered under the site's seal flush plan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vibration trip level: 7.1 mm/s. Any departure requires an approved change request before the change is made.</w:t>
      </w:r>
    </w:p>
    <w:p>
      <w:pPr>
        <w:pStyle w:val="KestrelMeta"/>
      </w:pPr>
      <w:r>
        <w:rPr>
          <w:i/>
        </w:rPr>
        <w:t xml:space="preserve">Reference: </w:t>
      </w:r>
      <w:r>
        <w:rPr>
          <w:i/>
        </w:rPr>
        <w:t xml:space="preserve">API 682 (pumps — shaft sealing systems for centrifugal and rotary pumps)</w:t>
      </w:r>
    </w:p>
    <w:p>
      <w:pPr>
        <w:pStyle w:val="KestrelHeading"/>
      </w:pPr>
      <w:r>
        <w:t xml:space="preserve">SECTION </w:t>
      </w:r>
      <w:r>
        <w:t xml:space="preserve">4</w:t>
      </w:r>
      <w:r>
        <w:t xml:space="preserve">  -  </w:t>
      </w:r>
      <w:r>
        <w:t xml:space="preserve">Access, entry and atmosphere</w:t>
      </w:r>
    </w:p>
    <w:p>
      <w:pPr>
        <w:pStyle w:val="KestrelClause"/>
      </w:pPr>
      <w:r>
        <w:rPr>
          <w:b/>
        </w:rPr>
        <w:t xml:space="preserve">4.1</w:t>
      </w:r>
      <w:r>
        <w:tab/>
      </w:r>
      <w:r>
        <w:t xml:space="preserve">Where the secondary containment by bund and drainage is unavailable or has been overridden, the task shall be suspended and the area made safe before work resumes.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4.3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4.4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seal flush plan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5</w:t>
      </w:r>
      <w:r>
        <w:t xml:space="preserve">  -  </w:t>
      </w:r>
      <w:r>
        <w:t xml:space="preserve">Execution of the work</w:t>
      </w:r>
    </w:p>
    <w:p>
      <w:pPr>
        <w:pStyle w:val="KestrelClause"/>
      </w:pPr>
      <w:r>
        <w:rPr>
          <w:b/>
        </w:rPr>
        <w:t xml:space="preserve">5.1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5.2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5.3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5.4</w:t>
      </w:r>
      <w:r>
        <w:tab/>
      </w:r>
      <w:r>
        <w:t xml:space="preserve">No person shall commence the task until the integrity of the mechanical seal support system has been completed and confirmed by the person in charge of the work. In this revision the control is administered under the site's seal flush plan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6</w:t>
      </w:r>
      <w:r>
        <w:t xml:space="preserve">  -  </w:t>
      </w:r>
      <w:r>
        <w:t xml:space="preserve">Verification and testing</w:t>
      </w:r>
    </w:p>
    <w:p>
      <w:pPr>
        <w:pStyle w:val="KestrelClause"/>
      </w:pPr>
      <w:r>
        <w:rPr>
          <w:b/>
        </w:rPr>
        <w:t xml:space="preserve">6.1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6.2</w:t>
      </w:r>
      <w:r>
        <w:tab/>
      </w:r>
      <w:r>
        <w:t xml:space="preserve">Where the emergency isolation and depressuring on loss of containment is unavailable or has been overridden, the task shall be suspended and the area made safe before work resumes.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6.4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6.3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7.2</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7.4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seal flush plan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bearing high-temperature alarm: 75 °C. Any departure requires an approved change request before the change is made.</w:t>
      </w:r>
    </w:p>
    <w:p>
      <w:pPr>
        <w:pStyle w:val="KestrelMeta"/>
      </w:pPr>
      <w:r>
        <w:rPr>
          <w:i/>
        </w:rPr>
        <w:t xml:space="preserve">Reference: </w:t>
      </w:r>
      <w:r>
        <w:rPr>
          <w:i/>
        </w:rPr>
        <w:t xml:space="preserve">AS 1210 (pressure vessels)</w:t>
      </w:r>
    </w:p>
    <w:p>
      <w:pPr>
        <w:pStyle w:val="KestrelHeading"/>
      </w:pPr>
      <w:r>
        <w:t xml:space="preserve">SECTION </w:t>
      </w:r>
      <w:r>
        <w:t xml:space="preserve">8</w:t>
      </w:r>
      <w:r>
        <w:t xml:space="preserve">  -  </w:t>
      </w:r>
      <w:r>
        <w:t xml:space="preserve">Abnormal conditions and emergency response</w:t>
      </w:r>
    </w:p>
    <w:p>
      <w:pPr>
        <w:pStyle w:val="KestrelClause"/>
      </w:pPr>
      <w:r>
        <w:rPr>
          <w:b/>
        </w:rPr>
        <w:t xml:space="preserve">8.3</w:t>
      </w:r>
      <w:r>
        <w:tab/>
      </w:r>
      <w:r>
        <w:t xml:space="preserve">The controlled transfer of hydrocarbon between vessels shall be applied in accordance with AS 1940 (storage and handling of flammable and combustible liquids) and independently confirmed by a second competent person before work proceeds. In this revision the control is administered under the site's critical safeguard arrangements. The completed record shall be retained on the PRO-MEC-014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7.3</w:t>
      </w:r>
      <w:r>
        <w:tab/>
      </w:r>
      <w:r>
        <w:t xml:space="preserve">On activation of the seal-face high-temperature alarm and trip, the operator shall isolate the source, account for all persons, and record the event before any attempt at restoration. In this revision the control is administered under the site's alarm setpoint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seal-face high-temperature alarm: 150 °C. Any departure requires an approved change request before the change is made.</w:t>
      </w:r>
    </w:p>
    <w:p>
      <w:pPr>
        <w:pStyle w:val="KestrelMeta"/>
      </w:pPr>
      <w:r>
        <w:rPr>
          <w:i/>
        </w:rPr>
        <w:t xml:space="preserve">Reference: </w:t>
      </w:r>
      <w:r>
        <w:rPr>
          <w:i/>
        </w:rPr>
        <w:t xml:space="preserve">AS 1210 (pressure vessels)</w:t>
      </w:r>
    </w:p>
    <w:p>
      <w:pPr>
        <w:pStyle w:val="KestrelHeading"/>
      </w:pPr>
      <w:r>
        <w:t xml:space="preserve">SECTION </w:t>
      </w:r>
      <w:r>
        <w:t xml:space="preserve">8</w:t>
      </w:r>
      <w:r>
        <w:t xml:space="preserve">  -  </w:t>
      </w:r>
      <w:r>
        <w:t xml:space="preserve">Abnormal conditions and emergency response</w:t>
      </w:r>
    </w:p>
    <w:p>
      <w:pPr>
        <w:pStyle w:val="KestrelClause"/>
      </w:pPr>
      <w:r>
        <w:rPr>
          <w:b/>
        </w:rPr>
        <w:t xml:space="preserve">8.2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841" w:type="dxa"/>
          </w:tcPr>
          <w:p>
            <w:pPr>
              <w:pStyle w:val="KestrelTableCell"/>
            </w:pPr>
            <w:r>
              <w:t xml:space="preserve">001</w:t>
            </w:r>
          </w:p>
        </w:tc>
        <w:tc>
          <w:tcPr>
            <w:tcW w:w="1590" w:type="dxa"/>
          </w:tcPr>
          <w:p>
            <w:pPr>
              <w:pStyle w:val="KestrelTableCell"/>
            </w:pPr>
            <w:r>
              <w:t xml:space="preserve">11 May 2004</w:t>
            </w:r>
          </w:p>
        </w:tc>
        <w:tc>
          <w:tcPr>
            <w:tcW w:w="1590" w:type="dxa"/>
          </w:tcPr>
          <w:p>
            <w:pPr>
              <w:pStyle w:val="KestrelTableCell"/>
            </w:pPr>
            <w:r>
              <w:t xml:space="preserve">Clause introduced</w:t>
            </w:r>
          </w:p>
        </w:tc>
        <w:tc>
          <w:tcPr>
            <w:tcW w:w="3460" w:type="dxa"/>
          </w:tcPr>
          <w:p>
            <w:pPr>
              <w:pStyle w:val="KestrelTableCell"/>
            </w:pPr>
            <w:r>
              <w:t xml:space="preserve">Issued following AF-2004-001.</w:t>
            </w:r>
          </w:p>
        </w:tc>
        <w:tc>
          <w:tcPr>
            <w:tcW w:w="1873" w:type="dxa"/>
          </w:tcPr>
          <w:p>
            <w:pPr>
              <w:pStyle w:val="KestrelTableCell"/>
            </w:pPr>
            <w:r>
              <w:t xml:space="preserve">R. Blomqvist (kestrel:blomqvist.r)</w:t>
            </w:r>
          </w:p>
        </w:tc>
      </w:tr>
      <w:tr>
        <w:tc>
          <w:tcPr>
            <w:tcW w:w="841" w:type="dxa"/>
          </w:tcPr>
          <w:p>
            <w:pPr>
              <w:pStyle w:val="KestrelTableCell"/>
            </w:pPr>
            <w:r>
              <w:t xml:space="preserve">002</w:t>
            </w:r>
          </w:p>
        </w:tc>
        <w:tc>
          <w:tcPr>
            <w:tcW w:w="1590" w:type="dxa"/>
          </w:tcPr>
          <w:p>
            <w:pPr>
              <w:pStyle w:val="KestrelTableCell"/>
            </w:pPr>
            <w:r>
              <w:t xml:space="preserve">3 November 2006</w:t>
            </w:r>
          </w:p>
        </w:tc>
        <w:tc>
          <w:tcPr>
            <w:tcW w:w="1590" w:type="dxa"/>
          </w:tcPr>
          <w:p>
            <w:pPr>
              <w:pStyle w:val="KestrelTableCell"/>
            </w:pPr>
            <w:r>
              <w:t xml:space="preserve">Control strengthened</w:t>
            </w:r>
          </w:p>
        </w:tc>
        <w:tc>
          <w:tcPr>
            <w:tcW w:w="3460" w:type="dxa"/>
          </w:tcPr>
          <w:p>
            <w:pPr>
              <w:pStyle w:val="KestrelTableCell"/>
            </w:pPr>
            <w:r>
              <w:t xml:space="preserve">Issued following NM-2006-0003.</w:t>
            </w:r>
          </w:p>
        </w:tc>
        <w:tc>
          <w:tcPr>
            <w:tcW w:w="1873" w:type="dxa"/>
          </w:tcPr>
          <w:p>
            <w:pPr>
              <w:pStyle w:val="KestrelTableCell"/>
            </w:pPr>
            <w:r>
              <w:t xml:space="preserve">M. Rasmussen (kestrel:rasmussen.m)</w:t>
            </w:r>
          </w:p>
        </w:tc>
      </w:tr>
      <w:tr>
        <w:tc>
          <w:tcPr>
            <w:tcW w:w="841" w:type="dxa"/>
          </w:tcPr>
          <w:p>
            <w:pPr>
              <w:pStyle w:val="KestrelTableCell"/>
            </w:pPr>
            <w:r>
              <w:t xml:space="preserve">003</w:t>
            </w:r>
          </w:p>
        </w:tc>
        <w:tc>
          <w:tcPr>
            <w:tcW w:w="1590" w:type="dxa"/>
          </w:tcPr>
          <w:p>
            <w:pPr>
              <w:pStyle w:val="KestrelTableCell"/>
            </w:pPr>
            <w:r>
              <w:t xml:space="preserve">9 March 2009</w:t>
            </w:r>
          </w:p>
        </w:tc>
        <w:tc>
          <w:tcPr>
            <w:tcW w:w="1590" w:type="dxa"/>
          </w:tcPr>
          <w:p>
            <w:pPr>
              <w:pStyle w:val="KestrelTableCell"/>
            </w:pPr>
            <w:r>
              <w:t xml:space="preserve">Control strengthened</w:t>
            </w:r>
          </w:p>
        </w:tc>
        <w:tc>
          <w:tcPr>
            <w:tcW w:w="3460" w:type="dxa"/>
          </w:tcPr>
          <w:p>
            <w:pPr>
              <w:pStyle w:val="KestrelTableCell"/>
            </w:pPr>
            <w:r>
              <w:t xml:space="preserve">Issued following NM-2008-0002.</w:t>
            </w:r>
          </w:p>
        </w:tc>
        <w:tc>
          <w:tcPr>
            <w:tcW w:w="1873" w:type="dxa"/>
          </w:tcPr>
          <w:p>
            <w:pPr>
              <w:pStyle w:val="KestrelTableCell"/>
            </w:pPr>
            <w:r>
              <w:t xml:space="preserve">R. Kirkpatrick (kestrel:kirkpatrick.r)</w:t>
            </w:r>
          </w:p>
        </w:tc>
      </w:tr>
      <w:tr>
        <w:tc>
          <w:tcPr>
            <w:tcW w:w="841" w:type="dxa"/>
          </w:tcPr>
          <w:p>
            <w:pPr>
              <w:pStyle w:val="KestrelTableCell"/>
            </w:pPr>
            <w:r>
              <w:t xml:space="preserve">004</w:t>
            </w:r>
          </w:p>
        </w:tc>
        <w:tc>
          <w:tcPr>
            <w:tcW w:w="1590" w:type="dxa"/>
          </w:tcPr>
          <w:p>
            <w:pPr>
              <w:pStyle w:val="KestrelTableCell"/>
            </w:pPr>
            <w:r>
              <w:t xml:space="preserve">10 September 2010</w:t>
            </w:r>
          </w:p>
        </w:tc>
        <w:tc>
          <w:tcPr>
            <w:tcW w:w="1590" w:type="dxa"/>
          </w:tcPr>
          <w:p>
            <w:pPr>
              <w:pStyle w:val="KestrelTableCell"/>
            </w:pPr>
            <w:r>
              <w:t xml:space="preserve">Control relaxed</w:t>
            </w:r>
          </w:p>
        </w:tc>
        <w:tc>
          <w:tcPr>
            <w:tcW w:w="3460" w:type="dxa"/>
          </w:tcPr>
          <w:p>
            <w:pPr>
              <w:pStyle w:val="KestrelTableCell"/>
            </w:pPr>
            <w:r>
              <w:t xml:space="preserve">Issued at scheduled review; 4 clause(s) revised.</w:t>
            </w:r>
          </w:p>
        </w:tc>
        <w:tc>
          <w:tcPr>
            <w:tcW w:w="1873" w:type="dxa"/>
          </w:tcPr>
          <w:p>
            <w:pPr>
              <w:pStyle w:val="KestrelTableCell"/>
            </w:pPr>
            <w:r>
              <w:t xml:space="preserve">O. Ravensworth (kestrel:ravensworth.o)</w:t>
            </w:r>
          </w:p>
        </w:tc>
      </w:tr>
      <w:tr>
        <w:tc>
          <w:tcPr>
            <w:tcW w:w="841" w:type="dxa"/>
          </w:tcPr>
          <w:p>
            <w:pPr>
              <w:pStyle w:val="KestrelTableCell"/>
            </w:pPr>
            <w:r>
              <w:t xml:space="preserve">005</w:t>
            </w:r>
          </w:p>
        </w:tc>
        <w:tc>
          <w:tcPr>
            <w:tcW w:w="1590" w:type="dxa"/>
          </w:tcPr>
          <w:p>
            <w:pPr>
              <w:pStyle w:val="KestrelTableCell"/>
            </w:pPr>
            <w:r>
              <w:t xml:space="preserve">14 March 2011</w:t>
            </w:r>
          </w:p>
        </w:tc>
        <w:tc>
          <w:tcPr>
            <w:tcW w:w="1590" w:type="dxa"/>
          </w:tcPr>
          <w:p>
            <w:pPr>
              <w:pStyle w:val="KestrelTableCell"/>
            </w:pPr>
            <w:r>
              <w:t xml:space="preserve">Control strengthened</w:t>
            </w:r>
          </w:p>
        </w:tc>
        <w:tc>
          <w:tcPr>
            <w:tcW w:w="3460" w:type="dxa"/>
          </w:tcPr>
          <w:p>
            <w:pPr>
              <w:pStyle w:val="KestrelTableCell"/>
            </w:pPr>
            <w:r>
              <w:t xml:space="preserve">Issued following RN-2011-002.</w:t>
            </w:r>
          </w:p>
        </w:tc>
        <w:tc>
          <w:tcPr>
            <w:tcW w:w="1873" w:type="dxa"/>
          </w:tcPr>
          <w:p>
            <w:pPr>
              <w:pStyle w:val="KestrelTableCell"/>
            </w:pPr>
            <w:r>
              <w:t xml:space="preserve">R. Selassie (kestrel:selassie.r)</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PRO-MEC-014 - Hydrocarbon Transfer Pump Maintenance</dc:title>
  <dc:subject>Marrindal Concentrator and Hydrocarbon Transfer Facility; revision 005; effective 2011-03-14</dc:subject>
  <dc:creator>R. Selassie (kestrel:selassie.r)</dc:creator>
  <cp:lastModifiedBy>R. Selassie (kestrel:selassie.r)</cp:lastModifiedBy>
  <cp:revision>005</cp:revision>
  <dcterms:created xsi:type="dcterms:W3CDTF">2011-03-14T00:00:00Z</dcterms:created>
  <dcterms:modified xsi:type="dcterms:W3CDTF">2011-03-14T00:00:00Z</dcterms:modified>
  <cp:category>Kestrel controlled document (PRO)</cp:category>
  <cp:contentStatus>Issued</cp:contentStatus>
</cp:coreProperties>
</file>