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3"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5975"/>
        <w:gridCol w:w="3663"/>
      </w:tblGrid>
      <w:tr>
        <w:tc>
          <w:tcPr>
            <w:tcW w:w="5975" w:type="dxa"/>
            <w:shd w:val="clear" w:color="auto" w:fill="EDF1F6"/>
          </w:tcPr>
          <w:p>
            <w:pPr>
              <w:spacing w:after="0"/>
            </w:pPr>
            <w:r>
              <w:rPr>
                <w:b/>
                <w:caps/>
                <w:color w:val="1F3864"/>
                <w:sz w:val="21"/>
                <w:szCs w:val="21"/>
              </w:rPr>
              <w:t xml:space="preserve">KESTREL RESOURCES PTY LTD</w:t>
            </w:r>
          </w:p>
          <w:p>
            <w:pPr>
              <w:pStyle w:val="KestrelMeta"/>
            </w:pPr>
            <w:r>
              <w:t xml:space="preserve">Marrindal Concentrator and Hydrocarbon Transfer Facility</w:t>
            </w:r>
          </w:p>
        </w:tc>
        <w:tc>
          <w:tcPr>
            <w:tcW w:w="3663" w:type="dxa"/>
            <w:shd w:val="clear" w:color="auto" w:fill="EDF1F6"/>
          </w:tcPr>
          <w:p>
            <w:pPr>
              <w:pStyle w:val="KestrelMeta"/>
              <w:jc w:val="right"/>
            </w:pPr>
            <w:r>
              <w:rPr>
                <w:b/>
              </w:rPr>
              <w:t xml:space="preserve">CONTROLLED PROCEDURE</w:t>
            </w:r>
          </w:p>
          <w:p>
            <w:pPr>
              <w:pStyle w:val="KestrelMeta"/>
              <w:jc w:val="right"/>
            </w:pPr>
            <w:r>
              <w:t xml:space="preserve">Document </w:t>
            </w:r>
            <w:r>
              <w:t xml:space="preserve">PRO-MEC-014</w:t>
            </w:r>
          </w:p>
          <w:p>
            <w:pPr>
              <w:pStyle w:val="KestrelMeta"/>
              <w:jc w:val="right"/>
            </w:pPr>
            <w:r>
              <w:t xml:space="preserve">Revision </w:t>
            </w:r>
            <w:r>
              <w:t xml:space="preserve">015</w:t>
            </w:r>
            <w:r>
              <w:t xml:space="preserve">  ·  Effective </w:t>
            </w:r>
            <w:r>
              <w:t xml:space="preserve">2025-09-07</w:t>
            </w:r>
          </w:p>
        </w:tc>
      </w:tr>
    </w:tbl>
    <w:p>
      <w:pPr>
        <w:pStyle w:val="KestrelMeta"/>
      </w:pPr>
    </w:p>
    <w:p>
      <w:pPr>
        <w:pStyle w:val="KestrelTitle"/>
        <w:pBdr>
          <w:bottom w:val="single" w:sz="12" w:space="4" w:color="404040"/>
        </w:pBdr>
      </w:pPr>
      <w:r>
        <w:t xml:space="preserve">Hydrocarbon Transfer Pump Maintenance</w:t>
      </w:r>
    </w:p>
    <w:p>
      <w:pPr>
        <w:pStyle w:val="KestrelSubtitle"/>
      </w:pPr>
      <w:r>
        <w:t xml:space="preserve">PRO-MEC-014</w:t>
      </w:r>
      <w:r>
        <w:t xml:space="preserve">  ·  revision </w:t>
      </w:r>
      <w:r>
        <w:t xml:space="preserve">015</w:t>
      </w:r>
      <w:r>
        <w:t xml:space="preserve">  ·  effective </w:t>
      </w:r>
      <w:r>
        <w:t xml:space="preserve">7 September 2025</w:t>
      </w:r>
      <w:r>
        <w:t xml:space="preserve">  ·  </w:t>
      </w:r>
      <w:r>
        <w:t xml:space="preserve">Marrindal</w:t>
      </w:r>
    </w:p>
    <w:p>
      <w:pPr>
        <w:pStyle w:val="KestrelHeading"/>
      </w:pPr>
      <w:r>
        <w:t xml:space="preserve">Revision history</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867"/>
        <w:gridCol w:w="1638"/>
        <w:gridCol w:w="1638"/>
        <w:gridCol w:w="3566"/>
        <w:gridCol w:w="1929"/>
      </w:tblGrid>
      <w:tr>
        <w:trPr>
          <w:tblHeader/>
        </w:trPr>
        <w:tc>
          <w:tcPr>
            <w:tcW w:w="867" w:type="dxa"/>
            <w:shd w:val="clear" w:color="auto" w:fill="EDF1F6"/>
          </w:tcPr>
          <w:p>
            <w:pPr>
              <w:pStyle w:val="KestrelTableHead"/>
            </w:pPr>
            <w:r>
              <w:t xml:space="preserve">Rev</w:t>
            </w:r>
          </w:p>
        </w:tc>
        <w:tc>
          <w:tcPr>
            <w:tcW w:w="1638" w:type="dxa"/>
            <w:shd w:val="clear" w:color="auto" w:fill="EDF1F6"/>
          </w:tcPr>
          <w:p>
            <w:pPr>
              <w:pStyle w:val="KestrelTableHead"/>
            </w:pPr>
            <w:r>
              <w:t xml:space="preserve">Effective</w:t>
            </w:r>
          </w:p>
        </w:tc>
        <w:tc>
          <w:tcPr>
            <w:tcW w:w="1638" w:type="dxa"/>
            <w:shd w:val="clear" w:color="auto" w:fill="EDF1F6"/>
          </w:tcPr>
          <w:p>
            <w:pPr>
              <w:pStyle w:val="KestrelTableHead"/>
            </w:pPr>
            <w:r>
              <w:t xml:space="preserve">Change</w:t>
            </w:r>
          </w:p>
        </w:tc>
        <w:tc>
          <w:tcPr>
            <w:tcW w:w="3566" w:type="dxa"/>
            <w:shd w:val="clear" w:color="auto" w:fill="EDF1F6"/>
          </w:tcPr>
          <w:p>
            <w:pPr>
              <w:pStyle w:val="KestrelTableHead"/>
            </w:pPr>
            <w:r>
              <w:t xml:space="preserve">Reason for change</w:t>
            </w:r>
          </w:p>
        </w:tc>
        <w:tc>
          <w:tcPr>
            <w:tcW w:w="1929" w:type="dxa"/>
            <w:shd w:val="clear" w:color="auto" w:fill="EDF1F6"/>
          </w:tcPr>
          <w:p>
            <w:pPr>
              <w:pStyle w:val="KestrelTableHead"/>
            </w:pPr>
            <w:r>
              <w:t xml:space="preserve">Approved by</w:t>
            </w:r>
          </w:p>
        </w:tc>
      </w:tr>
      <w:tr>
        <w:tc>
          <w:tcPr>
            <w:tcW w:w="867" w:type="dxa"/>
          </w:tcPr>
          <w:p>
            <w:pPr>
              <w:pStyle w:val="KestrelTableCell"/>
            </w:pPr>
            <w:r>
              <w:t xml:space="preserve">001</w:t>
            </w:r>
          </w:p>
        </w:tc>
        <w:tc>
          <w:tcPr>
            <w:tcW w:w="1638" w:type="dxa"/>
          </w:tcPr>
          <w:p>
            <w:pPr>
              <w:pStyle w:val="KestrelTableCell"/>
            </w:pPr>
            <w:r>
              <w:t xml:space="preserve">11 May 2004</w:t>
            </w:r>
          </w:p>
        </w:tc>
        <w:tc>
          <w:tcPr>
            <w:tcW w:w="1638" w:type="dxa"/>
          </w:tcPr>
          <w:p>
            <w:pPr>
              <w:pStyle w:val="KestrelTableCell"/>
            </w:pPr>
            <w:r>
              <w:t xml:space="preserve">Clause introduced</w:t>
            </w:r>
          </w:p>
        </w:tc>
        <w:tc>
          <w:tcPr>
            <w:tcW w:w="3566" w:type="dxa"/>
          </w:tcPr>
          <w:p>
            <w:pPr>
              <w:pStyle w:val="KestrelTableCell"/>
            </w:pPr>
            <w:r>
              <w:t xml:space="preserve">Issued following AF-2004-001.</w:t>
            </w:r>
          </w:p>
        </w:tc>
        <w:tc>
          <w:tcPr>
            <w:tcW w:w="1929" w:type="dxa"/>
          </w:tcPr>
          <w:p>
            <w:pPr>
              <w:pStyle w:val="KestrelTableCell"/>
            </w:pPr>
            <w:r>
              <w:t xml:space="preserve">R. Blomqvist (kestrel:blomqvist.r)</w:t>
            </w:r>
          </w:p>
        </w:tc>
      </w:tr>
      <w:tr>
        <w:tc>
          <w:tcPr>
            <w:tcW w:w="867" w:type="dxa"/>
          </w:tcPr>
          <w:p>
            <w:pPr>
              <w:pStyle w:val="KestrelTableCell"/>
            </w:pPr>
            <w:r>
              <w:t xml:space="preserve">002</w:t>
            </w:r>
          </w:p>
        </w:tc>
        <w:tc>
          <w:tcPr>
            <w:tcW w:w="1638" w:type="dxa"/>
          </w:tcPr>
          <w:p>
            <w:pPr>
              <w:pStyle w:val="KestrelTableCell"/>
            </w:pPr>
            <w:r>
              <w:t xml:space="preserve">3 November 2006</w:t>
            </w:r>
          </w:p>
        </w:tc>
        <w:tc>
          <w:tcPr>
            <w:tcW w:w="1638" w:type="dxa"/>
          </w:tcPr>
          <w:p>
            <w:pPr>
              <w:pStyle w:val="KestrelTableCell"/>
            </w:pPr>
            <w:r>
              <w:t xml:space="preserve">Control strengthened</w:t>
            </w:r>
          </w:p>
        </w:tc>
        <w:tc>
          <w:tcPr>
            <w:tcW w:w="3566" w:type="dxa"/>
          </w:tcPr>
          <w:p>
            <w:pPr>
              <w:pStyle w:val="KestrelTableCell"/>
            </w:pPr>
            <w:r>
              <w:t xml:space="preserve">Issued following NM-2006-0003.</w:t>
            </w:r>
          </w:p>
        </w:tc>
        <w:tc>
          <w:tcPr>
            <w:tcW w:w="1929" w:type="dxa"/>
          </w:tcPr>
          <w:p>
            <w:pPr>
              <w:pStyle w:val="KestrelTableCell"/>
            </w:pPr>
            <w:r>
              <w:t xml:space="preserve">M. Rasmussen (kestrel:rasmussen.m)</w:t>
            </w:r>
          </w:p>
        </w:tc>
      </w:tr>
      <w:tr>
        <w:tc>
          <w:tcPr>
            <w:tcW w:w="867" w:type="dxa"/>
          </w:tcPr>
          <w:p>
            <w:pPr>
              <w:pStyle w:val="KestrelTableCell"/>
            </w:pPr>
            <w:r>
              <w:t xml:space="preserve">003</w:t>
            </w:r>
          </w:p>
        </w:tc>
        <w:tc>
          <w:tcPr>
            <w:tcW w:w="1638" w:type="dxa"/>
          </w:tcPr>
          <w:p>
            <w:pPr>
              <w:pStyle w:val="KestrelTableCell"/>
            </w:pPr>
            <w:r>
              <w:t xml:space="preserve">9 March 2009</w:t>
            </w:r>
          </w:p>
        </w:tc>
        <w:tc>
          <w:tcPr>
            <w:tcW w:w="1638" w:type="dxa"/>
          </w:tcPr>
          <w:p>
            <w:pPr>
              <w:pStyle w:val="KestrelTableCell"/>
            </w:pPr>
            <w:r>
              <w:t xml:space="preserve">Control strengthened</w:t>
            </w:r>
          </w:p>
        </w:tc>
        <w:tc>
          <w:tcPr>
            <w:tcW w:w="3566" w:type="dxa"/>
          </w:tcPr>
          <w:p>
            <w:pPr>
              <w:pStyle w:val="KestrelTableCell"/>
            </w:pPr>
            <w:r>
              <w:t xml:space="preserve">Issued following NM-2008-0002.</w:t>
            </w:r>
          </w:p>
        </w:tc>
        <w:tc>
          <w:tcPr>
            <w:tcW w:w="1929" w:type="dxa"/>
          </w:tcPr>
          <w:p>
            <w:pPr>
              <w:pStyle w:val="KestrelTableCell"/>
            </w:pPr>
            <w:r>
              <w:t xml:space="preserve">R. Kirkpatrick (kestrel:kirkpatrick.r)</w:t>
            </w:r>
          </w:p>
        </w:tc>
      </w:tr>
      <w:tr>
        <w:tc>
          <w:tcPr>
            <w:tcW w:w="867" w:type="dxa"/>
          </w:tcPr>
          <w:p>
            <w:pPr>
              <w:pStyle w:val="KestrelTableCell"/>
            </w:pPr>
            <w:r>
              <w:t xml:space="preserve">004</w:t>
            </w:r>
          </w:p>
        </w:tc>
        <w:tc>
          <w:tcPr>
            <w:tcW w:w="1638" w:type="dxa"/>
          </w:tcPr>
          <w:p>
            <w:pPr>
              <w:pStyle w:val="KestrelTableCell"/>
            </w:pPr>
            <w:r>
              <w:t xml:space="preserve">10 September 2010</w:t>
            </w:r>
          </w:p>
        </w:tc>
        <w:tc>
          <w:tcPr>
            <w:tcW w:w="1638" w:type="dxa"/>
          </w:tcPr>
          <w:p>
            <w:pPr>
              <w:pStyle w:val="KestrelTableCell"/>
            </w:pPr>
            <w:r>
              <w:t xml:space="preserve">Control relaxed</w:t>
            </w:r>
          </w:p>
        </w:tc>
        <w:tc>
          <w:tcPr>
            <w:tcW w:w="3566" w:type="dxa"/>
          </w:tcPr>
          <w:p>
            <w:pPr>
              <w:pStyle w:val="KestrelTableCell"/>
            </w:pPr>
            <w:r>
              <w:t xml:space="preserve">Issued at scheduled review; 4 clause(s) revised.</w:t>
            </w:r>
          </w:p>
        </w:tc>
        <w:tc>
          <w:tcPr>
            <w:tcW w:w="1929" w:type="dxa"/>
          </w:tcPr>
          <w:p>
            <w:pPr>
              <w:pStyle w:val="KestrelTableCell"/>
            </w:pPr>
            <w:r>
              <w:t xml:space="preserve">O. Ravensworth (kestrel:ravensworth.o)</w:t>
            </w:r>
          </w:p>
        </w:tc>
      </w:tr>
      <w:tr>
        <w:tc>
          <w:tcPr>
            <w:tcW w:w="867" w:type="dxa"/>
          </w:tcPr>
          <w:p>
            <w:pPr>
              <w:pStyle w:val="KestrelTableCell"/>
            </w:pPr>
            <w:r>
              <w:t xml:space="preserve">005</w:t>
            </w:r>
          </w:p>
        </w:tc>
        <w:tc>
          <w:tcPr>
            <w:tcW w:w="1638" w:type="dxa"/>
          </w:tcPr>
          <w:p>
            <w:pPr>
              <w:pStyle w:val="KestrelTableCell"/>
            </w:pPr>
            <w:r>
              <w:t xml:space="preserve">14 March 2011</w:t>
            </w:r>
          </w:p>
        </w:tc>
        <w:tc>
          <w:tcPr>
            <w:tcW w:w="1638" w:type="dxa"/>
          </w:tcPr>
          <w:p>
            <w:pPr>
              <w:pStyle w:val="KestrelTableCell"/>
            </w:pPr>
            <w:r>
              <w:t xml:space="preserve">Control strengthened</w:t>
            </w:r>
          </w:p>
        </w:tc>
        <w:tc>
          <w:tcPr>
            <w:tcW w:w="3566" w:type="dxa"/>
          </w:tcPr>
          <w:p>
            <w:pPr>
              <w:pStyle w:val="KestrelTableCell"/>
            </w:pPr>
            <w:r>
              <w:t xml:space="preserve">Issued following RN-2011-002.</w:t>
            </w:r>
          </w:p>
        </w:tc>
        <w:tc>
          <w:tcPr>
            <w:tcW w:w="1929" w:type="dxa"/>
          </w:tcPr>
          <w:p>
            <w:pPr>
              <w:pStyle w:val="KestrelTableCell"/>
            </w:pPr>
            <w:r>
              <w:t xml:space="preserve">R. Selassie (kestrel:selassie.r)</w:t>
            </w:r>
          </w:p>
        </w:tc>
      </w:tr>
      <w:tr>
        <w:tc>
          <w:tcPr>
            <w:tcW w:w="867" w:type="dxa"/>
          </w:tcPr>
          <w:p>
            <w:pPr>
              <w:pStyle w:val="KestrelTableCell"/>
            </w:pPr>
            <w:r>
              <w:t xml:space="preserve">006</w:t>
            </w:r>
          </w:p>
        </w:tc>
        <w:tc>
          <w:tcPr>
            <w:tcW w:w="1638" w:type="dxa"/>
          </w:tcPr>
          <w:p>
            <w:pPr>
              <w:pStyle w:val="KestrelTableCell"/>
            </w:pPr>
            <w:r>
              <w:t xml:space="preserve">11 October 2012</w:t>
            </w:r>
          </w:p>
        </w:tc>
        <w:tc>
          <w:tcPr>
            <w:tcW w:w="1638" w:type="dxa"/>
          </w:tcPr>
          <w:p>
            <w:pPr>
              <w:pStyle w:val="KestrelTableCell"/>
            </w:pPr>
            <w:r>
              <w:t xml:space="preserve">Control relaxed</w:t>
            </w:r>
          </w:p>
        </w:tc>
        <w:tc>
          <w:tcPr>
            <w:tcW w:w="3566" w:type="dxa"/>
          </w:tcPr>
          <w:p>
            <w:pPr>
              <w:pStyle w:val="KestrelTableCell"/>
            </w:pPr>
            <w:r>
              <w:t xml:space="preserve">Issued following AF-2011-003, INC-2012-004, NM-2011-0013.</w:t>
            </w:r>
          </w:p>
        </w:tc>
        <w:tc>
          <w:tcPr>
            <w:tcW w:w="1929" w:type="dxa"/>
          </w:tcPr>
          <w:p>
            <w:pPr>
              <w:pStyle w:val="KestrelTableCell"/>
            </w:pPr>
            <w:r>
              <w:t xml:space="preserve">B. Ferreira (kestrel:ferreira.b)</w:t>
            </w:r>
          </w:p>
        </w:tc>
      </w:tr>
      <w:tr>
        <w:tc>
          <w:tcPr>
            <w:tcW w:w="867" w:type="dxa"/>
          </w:tcPr>
          <w:p>
            <w:pPr>
              <w:pStyle w:val="KestrelTableCell"/>
            </w:pPr>
            <w:r>
              <w:t xml:space="preserve">007</w:t>
            </w:r>
          </w:p>
        </w:tc>
        <w:tc>
          <w:tcPr>
            <w:tcW w:w="1638" w:type="dxa"/>
          </w:tcPr>
          <w:p>
            <w:pPr>
              <w:pStyle w:val="KestrelTableCell"/>
            </w:pPr>
            <w:r>
              <w:t xml:space="preserve">4 August 2013</w:t>
            </w:r>
          </w:p>
        </w:tc>
        <w:tc>
          <w:tcPr>
            <w:tcW w:w="1638" w:type="dxa"/>
          </w:tcPr>
          <w:p>
            <w:pPr>
              <w:pStyle w:val="KestrelTableCell"/>
            </w:pPr>
            <w:r>
              <w:t xml:space="preserve">Control strengthened</w:t>
            </w:r>
          </w:p>
        </w:tc>
        <w:tc>
          <w:tcPr>
            <w:tcW w:w="3566" w:type="dxa"/>
          </w:tcPr>
          <w:p>
            <w:pPr>
              <w:pStyle w:val="KestrelTableCell"/>
            </w:pPr>
            <w:r>
              <w:t xml:space="preserve">Issued following investigation of INC-2013-012, INC-2013-044.</w:t>
            </w:r>
          </w:p>
        </w:tc>
        <w:tc>
          <w:tcPr>
            <w:tcW w:w="1929" w:type="dxa"/>
          </w:tcPr>
          <w:p>
            <w:pPr>
              <w:pStyle w:val="KestrelTableCell"/>
            </w:pPr>
            <w:r>
              <w:t xml:space="preserve">D. Okonjo (kestrel:okonjo.d)</w:t>
            </w:r>
          </w:p>
        </w:tc>
      </w:tr>
      <w:tr>
        <w:tc>
          <w:tcPr>
            <w:tcW w:w="867" w:type="dxa"/>
          </w:tcPr>
          <w:p>
            <w:pPr>
              <w:pStyle w:val="KestrelTableCell"/>
            </w:pPr>
            <w:r>
              <w:t xml:space="preserve">008</w:t>
            </w:r>
          </w:p>
        </w:tc>
        <w:tc>
          <w:tcPr>
            <w:tcW w:w="1638" w:type="dxa"/>
          </w:tcPr>
          <w:p>
            <w:pPr>
              <w:pStyle w:val="KestrelTableCell"/>
            </w:pPr>
            <w:r>
              <w:t xml:space="preserve">5 January 2014</w:t>
            </w:r>
          </w:p>
        </w:tc>
        <w:tc>
          <w:tcPr>
            <w:tcW w:w="1638" w:type="dxa"/>
          </w:tcPr>
          <w:p>
            <w:pPr>
              <w:pStyle w:val="KestrelTableCell"/>
            </w:pPr>
            <w:r>
              <w:t xml:space="preserve">Control strengthened</w:t>
            </w:r>
          </w:p>
        </w:tc>
        <w:tc>
          <w:tcPr>
            <w:tcW w:w="3566" w:type="dxa"/>
          </w:tcPr>
          <w:p>
            <w:pPr>
              <w:pStyle w:val="KestrelTableCell"/>
            </w:pPr>
            <w:r>
              <w:t xml:space="preserve">Issued following INC-2013-012, INC-2013-044.</w:t>
            </w:r>
          </w:p>
        </w:tc>
        <w:tc>
          <w:tcPr>
            <w:tcW w:w="1929" w:type="dxa"/>
          </w:tcPr>
          <w:p>
            <w:pPr>
              <w:pStyle w:val="KestrelTableCell"/>
            </w:pPr>
            <w:r>
              <w:t xml:space="preserve">R. Selassie (kestrel:selassie.r)</w:t>
            </w:r>
          </w:p>
        </w:tc>
      </w:tr>
      <w:tr>
        <w:tc>
          <w:tcPr>
            <w:tcW w:w="867" w:type="dxa"/>
          </w:tcPr>
          <w:p>
            <w:pPr>
              <w:pStyle w:val="KestrelTableCell"/>
            </w:pPr>
            <w:r>
              <w:t xml:space="preserve">009</w:t>
            </w:r>
          </w:p>
        </w:tc>
        <w:tc>
          <w:tcPr>
            <w:tcW w:w="1638" w:type="dxa"/>
          </w:tcPr>
          <w:p>
            <w:pPr>
              <w:pStyle w:val="KestrelTableCell"/>
            </w:pPr>
            <w:r>
              <w:t xml:space="preserve">2 November 2016</w:t>
            </w:r>
          </w:p>
        </w:tc>
        <w:tc>
          <w:tcPr>
            <w:tcW w:w="1638" w:type="dxa"/>
          </w:tcPr>
          <w:p>
            <w:pPr>
              <w:pStyle w:val="KestrelTableCell"/>
            </w:pPr>
            <w:r>
              <w:t xml:space="preserve">Control strengthened</w:t>
            </w:r>
          </w:p>
        </w:tc>
        <w:tc>
          <w:tcPr>
            <w:tcW w:w="3566" w:type="dxa"/>
          </w:tcPr>
          <w:p>
            <w:pPr>
              <w:pStyle w:val="KestrelTableCell"/>
            </w:pPr>
            <w:r>
              <w:t xml:space="preserve">Issued at scheduled review; 4 clause(s) revised.</w:t>
            </w:r>
          </w:p>
        </w:tc>
        <w:tc>
          <w:tcPr>
            <w:tcW w:w="1929" w:type="dxa"/>
          </w:tcPr>
          <w:p>
            <w:pPr>
              <w:pStyle w:val="KestrelTableCell"/>
            </w:pPr>
            <w:r>
              <w:t xml:space="preserve">H. Larkin (kestrel:larkin.h)</w:t>
            </w:r>
          </w:p>
        </w:tc>
      </w:tr>
      <w:tr>
        <w:tc>
          <w:tcPr>
            <w:tcW w:w="867" w:type="dxa"/>
          </w:tcPr>
          <w:p>
            <w:pPr>
              <w:pStyle w:val="KestrelTableCell"/>
            </w:pPr>
            <w:r>
              <w:t xml:space="preserve">010</w:t>
            </w:r>
          </w:p>
        </w:tc>
        <w:tc>
          <w:tcPr>
            <w:tcW w:w="1638" w:type="dxa"/>
          </w:tcPr>
          <w:p>
            <w:pPr>
              <w:pStyle w:val="KestrelTableCell"/>
            </w:pPr>
            <w:r>
              <w:t xml:space="preserve">21 November 2016</w:t>
            </w:r>
          </w:p>
        </w:tc>
        <w:tc>
          <w:tcPr>
            <w:tcW w:w="1638" w:type="dxa"/>
          </w:tcPr>
          <w:p>
            <w:pPr>
              <w:pStyle w:val="KestrelTableCell"/>
            </w:pPr>
            <w:r>
              <w:t xml:space="preserve">Editorial restatement</w:t>
            </w:r>
          </w:p>
        </w:tc>
        <w:tc>
          <w:tcPr>
            <w:tcW w:w="3566" w:type="dxa"/>
          </w:tcPr>
          <w:p>
            <w:pPr>
              <w:pStyle w:val="KestrelTableCell"/>
            </w:pPr>
            <w:r>
              <w:t xml:space="preserve">Full retypeset to the 2016 house standard. Clause identity is unchanged; printed labels and clause ordering are revised throughout.</w:t>
            </w:r>
          </w:p>
        </w:tc>
        <w:tc>
          <w:tcPr>
            <w:tcW w:w="1929" w:type="dxa"/>
          </w:tcPr>
          <w:p>
            <w:pPr>
              <w:pStyle w:val="KestrelTableCell"/>
            </w:pPr>
            <w:r>
              <w:t xml:space="preserve">B. Ferreira (kestrel:ferreira.b)</w:t>
            </w:r>
          </w:p>
        </w:tc>
      </w:tr>
      <w:tr>
        <w:tc>
          <w:tcPr>
            <w:tcW w:w="867" w:type="dxa"/>
          </w:tcPr>
          <w:p>
            <w:pPr>
              <w:pStyle w:val="KestrelTableCell"/>
            </w:pPr>
            <w:r>
              <w:t xml:space="preserve">011</w:t>
            </w:r>
          </w:p>
        </w:tc>
        <w:tc>
          <w:tcPr>
            <w:tcW w:w="1638" w:type="dxa"/>
          </w:tcPr>
          <w:p>
            <w:pPr>
              <w:pStyle w:val="KestrelTableCell"/>
            </w:pPr>
            <w:r>
              <w:t xml:space="preserve">19 February 2019</w:t>
            </w:r>
          </w:p>
        </w:tc>
        <w:tc>
          <w:tcPr>
            <w:tcW w:w="1638" w:type="dxa"/>
          </w:tcPr>
          <w:p>
            <w:pPr>
              <w:pStyle w:val="KestrelTableCell"/>
            </w:pPr>
            <w:r>
              <w:t xml:space="preserve">Clause introduced</w:t>
            </w:r>
          </w:p>
        </w:tc>
        <w:tc>
          <w:tcPr>
            <w:tcW w:w="3566" w:type="dxa"/>
          </w:tcPr>
          <w:p>
            <w:pPr>
              <w:pStyle w:val="KestrelTableCell"/>
            </w:pPr>
            <w:r>
              <w:t xml:space="preserve">Clauses transferred between controlled documents. Identity is carried with the clause; the printed label follows the receiving document.</w:t>
            </w:r>
          </w:p>
        </w:tc>
        <w:tc>
          <w:tcPr>
            <w:tcW w:w="1929" w:type="dxa"/>
          </w:tcPr>
          <w:p>
            <w:pPr>
              <w:pStyle w:val="KestrelTableCell"/>
            </w:pPr>
            <w:r>
              <w:t xml:space="preserve">A. Trelawney (kestrel:trelawney.a)</w:t>
            </w:r>
          </w:p>
        </w:tc>
      </w:tr>
      <w:tr>
        <w:tc>
          <w:tcPr>
            <w:tcW w:w="867" w:type="dxa"/>
          </w:tcPr>
          <w:p>
            <w:pPr>
              <w:pStyle w:val="KestrelTableCell"/>
            </w:pPr>
            <w:r>
              <w:t xml:space="preserve">012</w:t>
            </w:r>
          </w:p>
        </w:tc>
        <w:tc>
          <w:tcPr>
            <w:tcW w:w="1638" w:type="dxa"/>
          </w:tcPr>
          <w:p>
            <w:pPr>
              <w:pStyle w:val="KestrelTableCell"/>
            </w:pPr>
            <w:r>
              <w:t xml:space="preserve">27 February 2019</w:t>
            </w:r>
          </w:p>
        </w:tc>
        <w:tc>
          <w:tcPr>
            <w:tcW w:w="1638" w:type="dxa"/>
          </w:tcPr>
          <w:p>
            <w:pPr>
              <w:pStyle w:val="KestrelTableCell"/>
            </w:pPr>
            <w:r>
              <w:t xml:space="preserve">Control relaxed</w:t>
            </w:r>
          </w:p>
        </w:tc>
        <w:tc>
          <w:tcPr>
            <w:tcW w:w="3566" w:type="dxa"/>
          </w:tcPr>
          <w:p>
            <w:pPr>
              <w:pStyle w:val="KestrelTableCell"/>
            </w:pPr>
            <w:r>
              <w:t xml:space="preserve">Issued at scheduled review; 3 clause(s) revised.</w:t>
            </w:r>
          </w:p>
        </w:tc>
        <w:tc>
          <w:tcPr>
            <w:tcW w:w="1929" w:type="dxa"/>
          </w:tcPr>
          <w:p>
            <w:pPr>
              <w:pStyle w:val="KestrelTableCell"/>
            </w:pPr>
            <w:r>
              <w:t xml:space="preserve">K. Mustafa (kestrel:mustafa.k)</w:t>
            </w:r>
          </w:p>
        </w:tc>
      </w:tr>
      <w:tr>
        <w:tc>
          <w:tcPr>
            <w:tcW w:w="867" w:type="dxa"/>
          </w:tcPr>
          <w:p>
            <w:pPr>
              <w:pStyle w:val="KestrelTableCell"/>
            </w:pPr>
            <w:r>
              <w:t xml:space="preserve">013</w:t>
            </w:r>
          </w:p>
        </w:tc>
        <w:tc>
          <w:tcPr>
            <w:tcW w:w="1638" w:type="dxa"/>
          </w:tcPr>
          <w:p>
            <w:pPr>
              <w:pStyle w:val="KestrelTableCell"/>
            </w:pPr>
            <w:r>
              <w:t xml:space="preserve">26 September 2021</w:t>
            </w:r>
          </w:p>
        </w:tc>
        <w:tc>
          <w:tcPr>
            <w:tcW w:w="1638" w:type="dxa"/>
          </w:tcPr>
          <w:p>
            <w:pPr>
              <w:pStyle w:val="KestrelTableCell"/>
            </w:pPr>
            <w:r>
              <w:t xml:space="preserve">Clause introduced</w:t>
            </w:r>
          </w:p>
        </w:tc>
        <w:tc>
          <w:tcPr>
            <w:tcW w:w="3566" w:type="dxa"/>
          </w:tcPr>
          <w:p>
            <w:pPr>
              <w:pStyle w:val="KestrelTableCell"/>
            </w:pPr>
            <w:r>
              <w:t xml:space="preserve">Issued at scheduled review; 4 clause(s) revised.</w:t>
            </w:r>
          </w:p>
        </w:tc>
        <w:tc>
          <w:tcPr>
            <w:tcW w:w="1929" w:type="dxa"/>
          </w:tcPr>
          <w:p>
            <w:pPr>
              <w:pStyle w:val="KestrelTableCell"/>
            </w:pPr>
            <w:r>
              <w:t xml:space="preserve">E. Vanterpool (kestrel:vanterpool.e)</w:t>
            </w:r>
          </w:p>
        </w:tc>
      </w:tr>
      <w:tr>
        <w:tc>
          <w:tcPr>
            <w:tcW w:w="867" w:type="dxa"/>
          </w:tcPr>
          <w:p>
            <w:pPr>
              <w:pStyle w:val="KestrelTableCell"/>
            </w:pPr>
            <w:r>
              <w:t xml:space="preserve">014</w:t>
            </w:r>
          </w:p>
        </w:tc>
        <w:tc>
          <w:tcPr>
            <w:tcW w:w="1638" w:type="dxa"/>
          </w:tcPr>
          <w:p>
            <w:pPr>
              <w:pStyle w:val="KestrelTableCell"/>
            </w:pPr>
            <w:r>
              <w:t xml:space="preserve">26 February 2023</w:t>
            </w:r>
          </w:p>
        </w:tc>
        <w:tc>
          <w:tcPr>
            <w:tcW w:w="1638" w:type="dxa"/>
          </w:tcPr>
          <w:p>
            <w:pPr>
              <w:pStyle w:val="KestrelTableCell"/>
            </w:pPr>
            <w:r>
              <w:t xml:space="preserve">Control strengthened</w:t>
            </w:r>
          </w:p>
        </w:tc>
        <w:tc>
          <w:tcPr>
            <w:tcW w:w="3566" w:type="dxa"/>
          </w:tcPr>
          <w:p>
            <w:pPr>
              <w:pStyle w:val="KestrelTableCell"/>
            </w:pPr>
            <w:r>
              <w:t xml:space="preserve">Issued following NM-2022-0006.</w:t>
            </w:r>
          </w:p>
        </w:tc>
        <w:tc>
          <w:tcPr>
            <w:tcW w:w="1929" w:type="dxa"/>
          </w:tcPr>
          <w:p>
            <w:pPr>
              <w:pStyle w:val="KestrelTableCell"/>
            </w:pPr>
            <w:r>
              <w:t xml:space="preserve">C. Bianchi (kestrel:bianchi.c)</w:t>
            </w:r>
          </w:p>
        </w:tc>
      </w:tr>
      <w:tr>
        <w:tc>
          <w:tcPr>
            <w:tcW w:w="867" w:type="dxa"/>
          </w:tcPr>
          <w:p>
            <w:pPr>
              <w:pStyle w:val="KestrelTableCell"/>
            </w:pPr>
            <w:r>
              <w:t xml:space="preserve">015</w:t>
            </w:r>
          </w:p>
        </w:tc>
        <w:tc>
          <w:tcPr>
            <w:tcW w:w="1638" w:type="dxa"/>
          </w:tcPr>
          <w:p>
            <w:pPr>
              <w:pStyle w:val="KestrelTableCell"/>
            </w:pPr>
            <w:r>
              <w:t xml:space="preserve">7 September 2025</w:t>
            </w:r>
          </w:p>
        </w:tc>
        <w:tc>
          <w:tcPr>
            <w:tcW w:w="1638" w:type="dxa"/>
          </w:tcPr>
          <w:p>
            <w:pPr>
              <w:pStyle w:val="KestrelTableCell"/>
            </w:pPr>
            <w:r>
              <w:t xml:space="preserve">Control strengthened</w:t>
            </w:r>
          </w:p>
        </w:tc>
        <w:tc>
          <w:tcPr>
            <w:tcW w:w="3566" w:type="dxa"/>
          </w:tcPr>
          <w:p>
            <w:pPr>
              <w:pStyle w:val="KestrelTableCell"/>
            </w:pPr>
            <w:r>
              <w:t xml:space="preserve">Issued following investigation of INC-2025-010.</w:t>
            </w:r>
          </w:p>
        </w:tc>
        <w:tc>
          <w:tcPr>
            <w:tcW w:w="1929" w:type="dxa"/>
          </w:tcPr>
          <w:p>
            <w:pPr>
              <w:pStyle w:val="KestrelTableCell"/>
            </w:pPr>
            <w:r>
              <w:t xml:space="preserve">B. Adeyemi (kestrel:adeyemi.b)</w:t>
            </w:r>
          </w:p>
        </w:tc>
      </w:tr>
    </w:tbl>
    <w:p>
      <w:pPr>
        <w:pStyle w:val="KestrelMeta"/>
      </w:pP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891"/>
        <w:gridCol w:w="6747"/>
      </w:tblGrid>
      <w:tr>
        <w:trPr>
          <w:tblHeader/>
        </w:trPr>
        <w:tc>
          <w:tcPr>
            <w:tcW w:w="2891" w:type="dxa"/>
            <w:shd w:val="clear" w:color="auto" w:fill="EDF1F6"/>
          </w:tcPr>
          <w:p>
            <w:pPr>
              <w:pStyle w:val="KestrelTableHead"/>
            </w:pPr>
            <w:r>
              <w:t xml:space="preserve">Document control</w:t>
            </w:r>
          </w:p>
        </w:tc>
        <w:tc>
          <w:tcPr>
            <w:tcW w:w="6747" w:type="dxa"/>
            <w:shd w:val="clear" w:color="auto" w:fill="EDF1F6"/>
          </w:tcPr>
          <w:p>
            <w:pPr>
              <w:pStyle w:val="KestrelTableHead"/>
            </w:pPr>
            <w:r>
              <w:t xml:space="preserve"/>
            </w:r>
          </w:p>
        </w:tc>
      </w:tr>
      <w:tr>
        <w:tc>
          <w:tcPr>
            <w:tcW w:w="2891" w:type="dxa"/>
          </w:tcPr>
          <w:p>
            <w:pPr>
              <w:pStyle w:val="KestrelTableHead"/>
            </w:pPr>
            <w:r>
              <w:t xml:space="preserve">Document</w:t>
            </w:r>
          </w:p>
        </w:tc>
        <w:tc>
          <w:tcPr>
            <w:tcW w:w="6747" w:type="dxa"/>
          </w:tcPr>
          <w:p>
            <w:pPr>
              <w:pStyle w:val="KestrelTableCell"/>
            </w:pPr>
            <w:r>
              <w:t xml:space="preserve">PRO-MEC-014</w:t>
            </w:r>
          </w:p>
        </w:tc>
      </w:tr>
      <w:tr>
        <w:tc>
          <w:tcPr>
            <w:tcW w:w="2891" w:type="dxa"/>
          </w:tcPr>
          <w:p>
            <w:pPr>
              <w:pStyle w:val="KestrelTableHead"/>
            </w:pPr>
            <w:r>
              <w:t xml:space="preserve">Revision</w:t>
            </w:r>
          </w:p>
        </w:tc>
        <w:tc>
          <w:tcPr>
            <w:tcW w:w="6747" w:type="dxa"/>
          </w:tcPr>
          <w:p>
            <w:pPr>
              <w:pStyle w:val="KestrelTableCell"/>
            </w:pPr>
            <w:r>
              <w:t xml:space="preserve">015</w:t>
            </w:r>
          </w:p>
        </w:tc>
      </w:tr>
      <w:tr>
        <w:tc>
          <w:tcPr>
            <w:tcW w:w="2891" w:type="dxa"/>
          </w:tcPr>
          <w:p>
            <w:pPr>
              <w:pStyle w:val="KestrelTableHead"/>
            </w:pPr>
            <w:r>
              <w:t xml:space="preserve">Effective</w:t>
            </w:r>
          </w:p>
        </w:tc>
        <w:tc>
          <w:tcPr>
            <w:tcW w:w="6747" w:type="dxa"/>
          </w:tcPr>
          <w:p>
            <w:pPr>
              <w:pStyle w:val="KestrelTableCell"/>
            </w:pPr>
            <w:r>
              <w:t xml:space="preserve">7 September 2025</w:t>
            </w:r>
          </w:p>
        </w:tc>
      </w:tr>
      <w:tr>
        <w:tc>
          <w:tcPr>
            <w:tcW w:w="2891" w:type="dxa"/>
          </w:tcPr>
          <w:p>
            <w:pPr>
              <w:pStyle w:val="KestrelTableHead"/>
            </w:pPr>
            <w:r>
              <w:t xml:space="preserve">Site</w:t>
            </w:r>
          </w:p>
        </w:tc>
        <w:tc>
          <w:tcPr>
            <w:tcW w:w="6747" w:type="dxa"/>
          </w:tcPr>
          <w:p>
            <w:pPr>
              <w:pStyle w:val="KestrelTableCell"/>
            </w:pPr>
            <w:r>
              <w:t xml:space="preserve">Marrindal (MRD)</w:t>
            </w:r>
          </w:p>
        </w:tc>
      </w:tr>
      <w:tr>
        <w:tc>
          <w:tcPr>
            <w:tcW w:w="2891" w:type="dxa"/>
          </w:tcPr>
          <w:p>
            <w:pPr>
              <w:pStyle w:val="KestrelTableHead"/>
            </w:pPr>
            <w:r>
              <w:t xml:space="preserve">Material unwanted event</w:t>
            </w:r>
          </w:p>
        </w:tc>
        <w:tc>
          <w:tcPr>
            <w:tcW w:w="6747" w:type="dxa"/>
          </w:tcPr>
          <w:p>
            <w:pPr>
              <w:pStyle w:val="KestrelTableCell"/>
            </w:pPr>
            <w:r>
              <w:t xml:space="preserve">Containment of hydrocarbons</w:t>
            </w:r>
          </w:p>
        </w:tc>
      </w:tr>
      <w:tr>
        <w:tc>
          <w:tcPr>
            <w:tcW w:w="2891" w:type="dxa"/>
          </w:tcPr>
          <w:p>
            <w:pPr>
              <w:pStyle w:val="KestrelTableHead"/>
            </w:pPr>
            <w:r>
              <w:t xml:space="preserve">Owner</w:t>
            </w:r>
          </w:p>
        </w:tc>
        <w:tc>
          <w:tcPr>
            <w:tcW w:w="6747" w:type="dxa"/>
          </w:tcPr>
          <w:p>
            <w:pPr>
              <w:pStyle w:val="KestrelTableCell"/>
            </w:pPr>
            <w:r>
              <w:t xml:space="preserve">R. Blomqvist (kestrel:blomqvist.r)</w:t>
            </w:r>
          </w:p>
        </w:tc>
      </w:tr>
      <w:tr>
        <w:tc>
          <w:tcPr>
            <w:tcW w:w="2891" w:type="dxa"/>
          </w:tcPr>
          <w:p>
            <w:pPr>
              <w:pStyle w:val="KestrelTableHead"/>
            </w:pPr>
            <w:r>
              <w:t xml:space="preserve">Approved by</w:t>
            </w:r>
          </w:p>
        </w:tc>
        <w:tc>
          <w:tcPr>
            <w:tcW w:w="6747" w:type="dxa"/>
          </w:tcPr>
          <w:p>
            <w:pPr>
              <w:pStyle w:val="KestrelTableCell"/>
            </w:pPr>
            <w:r>
              <w:t xml:space="preserve">B. Adeyemi (kestrel:adeyemi.b)</w:t>
            </w:r>
          </w:p>
        </w:tc>
      </w:tr>
      <w:tr>
        <w:tc>
          <w:tcPr>
            <w:tcW w:w="2891" w:type="dxa"/>
          </w:tcPr>
          <w:p>
            <w:pPr>
              <w:pStyle w:val="KestrelTableHead"/>
            </w:pPr>
            <w:r>
              <w:t xml:space="preserve">Custodian</w:t>
            </w:r>
          </w:p>
        </w:tc>
        <w:tc>
          <w:tcPr>
            <w:tcW w:w="6747" w:type="dxa"/>
          </w:tcPr>
          <w:p>
            <w:pPr>
              <w:pStyle w:val="KestrelTableCell"/>
            </w:pPr>
            <w:r>
              <w:t xml:space="preserve">Site document control, Marrindal</w:t>
            </w:r>
          </w:p>
        </w:tc>
      </w:tr>
      <w:tr>
        <w:tc>
          <w:tcPr>
            <w:tcW w:w="2891" w:type="dxa"/>
          </w:tcPr>
          <w:p>
            <w:pPr>
              <w:pStyle w:val="KestrelTableHead"/>
            </w:pPr>
            <w:r>
              <w:t xml:space="preserve">Classification</w:t>
            </w:r>
          </w:p>
        </w:tc>
        <w:tc>
          <w:tcPr>
            <w:tcW w:w="6747" w:type="dxa"/>
          </w:tcPr>
          <w:p>
            <w:pPr>
              <w:pStyle w:val="KestrelTableCell"/>
            </w:pPr>
            <w:r>
              <w:t xml:space="preserve">Controlled document - uncontrolled when printed</w:t>
            </w:r>
          </w:p>
        </w:tc>
      </w:tr>
    </w:tbl>
    <w:p>
      <w:pPr>
        <w:pStyle w:val="KestrelMeta"/>
      </w:pPr>
    </w:p>
    <w:p>
      <w:pPr>
        <w:pStyle w:val="KestrelHeading"/>
      </w:pPr>
      <w:r>
        <w:t xml:space="preserve">1  Purpose</w:t>
      </w:r>
    </w:p>
    <w:p>
      <w:r>
        <w:t xml:space="preserve">This procedure sets out how the task named above is to be planned, controlled and verified at Marrindal Concentrator and Hydrocarbon Transfer Facility. It applies to every person who performs, supervises or authorises that task, including contractors.</w:t>
      </w:r>
    </w:p>
    <w:p>
      <w:pPr>
        <w:pStyle w:val="KestrelHeading"/>
      </w:pPr>
      <w:r>
        <w:t xml:space="preserve">2  Scope</w:t>
      </w:r>
    </w:p>
    <w:p>
      <w:r>
        <w:t xml:space="preserve">This document applies to the plant and equipment listed in the register maintained for Marrindal Concentrator and Hydrocarbon Transfer Facility. Where a clause states a setpoint, that setpoint is a control requirement and not a guideline; where a clause requires a record, the record is part of the control.</w:t>
      </w:r>
    </w:p>
    <w:p>
      <w:pPr>
        <w:pStyle w:val="KestrelHeading"/>
      </w:pPr>
      <w:r>
        <w:t xml:space="preserve">3  Terms used in this revision</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3084"/>
        <w:gridCol w:w="6554"/>
      </w:tblGrid>
      <w:tr>
        <w:trPr>
          <w:tblHeader/>
        </w:trPr>
        <w:tc>
          <w:tcPr>
            <w:tcW w:w="3084" w:type="dxa"/>
            <w:shd w:val="clear" w:color="auto" w:fill="EDF1F6"/>
          </w:tcPr>
          <w:p>
            <w:pPr>
              <w:pStyle w:val="KestrelTableHead"/>
            </w:pPr>
            <w:r>
              <w:t xml:space="preserve">Term</w:t>
            </w:r>
          </w:p>
        </w:tc>
        <w:tc>
          <w:tcPr>
            <w:tcW w:w="6554" w:type="dxa"/>
            <w:shd w:val="clear" w:color="auto" w:fill="EDF1F6"/>
          </w:tcPr>
          <w:p>
            <w:pPr>
              <w:pStyle w:val="KestrelTableHead"/>
            </w:pPr>
            <w:r>
              <w:t xml:space="preserve">Meaning in this revision</w:t>
            </w:r>
          </w:p>
        </w:tc>
      </w:tr>
      <w:tr>
        <w:tc>
          <w:tcPr>
            <w:tcW w:w="3084" w:type="dxa"/>
          </w:tcPr>
          <w:p>
            <w:pPr>
              <w:pStyle w:val="KestrelTableHead"/>
            </w:pPr>
            <w:r>
              <w:t xml:space="preserve">alarm philosophy conformance</w:t>
            </w:r>
          </w:p>
        </w:tc>
        <w:tc>
          <w:tcPr>
            <w:tcW w:w="6554" w:type="dxa"/>
          </w:tcPr>
          <w:p>
            <w:pPr>
              <w:pStyle w:val="KestrelTableCell"/>
            </w:pPr>
            <w:r>
              <w:t xml:space="preserve">As used in this revision. Revisions issued before 2010 refer to the same control as 'alarm setting'.</w:t>
            </w:r>
          </w:p>
        </w:tc>
      </w:tr>
      <w:tr>
        <w:tc>
          <w:tcPr>
            <w:tcW w:w="3084" w:type="dxa"/>
          </w:tcPr>
          <w:p>
            <w:pPr>
              <w:pStyle w:val="KestrelTableHead"/>
            </w:pPr>
            <w:r>
              <w:t xml:space="preserve">material unwanted event control</w:t>
            </w:r>
          </w:p>
        </w:tc>
        <w:tc>
          <w:tcPr>
            <w:tcW w:w="6554" w:type="dxa"/>
          </w:tcPr>
          <w:p>
            <w:pPr>
              <w:pStyle w:val="KestrelTableCell"/>
            </w:pPr>
            <w:r>
              <w:t xml:space="preserve">As used in this revision. Revisions issued before 2010 refer to the same control as 'key safeguard'.</w:t>
            </w:r>
          </w:p>
        </w:tc>
      </w:tr>
      <w:tr>
        <w:tc>
          <w:tcPr>
            <w:tcW w:w="3084" w:type="dxa"/>
          </w:tcPr>
          <w:p>
            <w:pPr>
              <w:pStyle w:val="KestrelTableHead"/>
            </w:pPr>
            <w:r>
              <w:t xml:space="preserve">pressurised dual seal support</w:t>
            </w:r>
          </w:p>
        </w:tc>
        <w:tc>
          <w:tcPr>
            <w:tcW w:w="6554" w:type="dxa"/>
          </w:tcPr>
          <w:p>
            <w:pPr>
              <w:pStyle w:val="KestrelTableCell"/>
            </w:pPr>
            <w:r>
              <w:t xml:space="preserve">As used in this revision. Revisions issued before 2010 refer to the same control as 'quench and drain arrangement'.</w:t>
            </w:r>
          </w:p>
        </w:tc>
      </w:tr>
    </w:tbl>
    <w:p>
      <w:pPr>
        <w:pStyle w:val="KestrelMeta"/>
      </w:pPr>
    </w:p>
    <w:p>
      <w:pPr>
        <w:pStyle w:val="KestrelHeading"/>
      </w:pPr>
      <w:r>
        <w:t xml:space="preserve">4  Requirements</w:t>
      </w:r>
    </w:p>
    <w:p>
      <w:pPr>
        <w:pStyle w:val="KestrelHeading"/>
      </w:pPr>
      <w:r>
        <w:t xml:space="preserve">CHAPTER </w:t>
      </w:r>
      <w:r>
        <w:t xml:space="preserve">1</w:t>
      </w:r>
      <w:r>
        <w:t xml:space="preserve">  -  </w:t>
      </w:r>
      <w:r>
        <w:t xml:space="preserve">controlled transfer of hydrocarbon between vessels</w:t>
      </w:r>
    </w:p>
    <w:p>
      <w:pPr>
        <w:pStyle w:val="KestrelSubheading"/>
      </w:pPr>
      <w:r>
        <w:t xml:space="preserve">Preventive controls</w:t>
      </w:r>
    </w:p>
    <w:p>
      <w:pPr>
        <w:pStyle w:val="KestrelClause"/>
      </w:pPr>
      <w:r>
        <w:rPr>
          <w:b/>
        </w:rPr>
        <w:t xml:space="preserve">1.1.1</w:t>
      </w:r>
      <w:r>
        <w:tab/>
      </w:r>
      <w:r>
        <w:t xml:space="preserve">The controlled transfer of hydrocarbon between vessels shall be applied in accordance with API 682 (pumps — shaft sealing systems for centrifugal and rotary pumps) and independently confirmed by a second competent person before work proceeds. In this revision the control is administered under the site's material unwanted event control arrangements. The completed record shall be retained on the PRO-MEC-014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1.1.3</w:t>
      </w:r>
      <w:r>
        <w:tab/>
      </w:r>
      <w:r>
        <w:t xml:space="preserve">No person shall commence the task until the controlled transfer of hydrocarbon between vessels has been completed and confirmed by the person in charge of the work.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1.1.2</w:t>
      </w:r>
      <w:r>
        <w:tab/>
      </w:r>
      <w:r>
        <w:t xml:space="preserve">The supervisor shall not authorise the task unless the controlled transfer of hydrocarbon between vessels has been carried out for every energy source and every item of plant within the declared boundary. In this revision the control is administered under the site's material unwanted event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1.1.4</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material unwanted event control arrangements. The completed record shall be retained on the PRO-MEC-014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1.1.5</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material unwanted event control arrangements. The completed record shall be retained on the PRO-MEC-014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1.1.6</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material unwanted event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1.1.7</w:t>
      </w:r>
      <w:r>
        <w:tab/>
      </w:r>
      <w:r>
        <w:t xml:space="preserve">The controlled transfer of hydrocarbon between vessels shall be applied in accordance with AS 1940 (storage and handling of flammable and combustible liquids) and independently confirmed by a second competent person before work proceeds. In this revision the control is administered under the site's material unwanted event control arrangements. The completed record shall be retained on the PRO-MEC-014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Heading"/>
      </w:pPr>
      <w:r>
        <w:t xml:space="preserve">CHAPTER </w:t>
      </w:r>
      <w:r>
        <w:t xml:space="preserve">2</w:t>
      </w:r>
      <w:r>
        <w:t xml:space="preserve">  -  </w:t>
      </w:r>
      <w:r>
        <w:t xml:space="preserve">secondary containment by bund and drainage</w:t>
      </w:r>
    </w:p>
    <w:p>
      <w:pPr>
        <w:pStyle w:val="KestrelSubheading"/>
      </w:pPr>
      <w:r>
        <w:t xml:space="preserve">Recovery controls</w:t>
      </w:r>
    </w:p>
    <w:p>
      <w:pPr>
        <w:pStyle w:val="KestrelClause"/>
      </w:pPr>
      <w:r>
        <w:rPr>
          <w:b/>
        </w:rPr>
        <w:t xml:space="preserve">2.2.1</w:t>
      </w:r>
      <w:r>
        <w:tab/>
      </w:r>
      <w:r>
        <w:t xml:space="preserve">Where the secondary containment by bund and drainage is unavailable or has been overridden, the task shall be suspended and the area made safe before work resumes. In this revision the control is administered under the site's material unwanted event control arrangements. The completed record shall be retained on the PRO-MEC-014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2.2.4</w:t>
      </w:r>
      <w:r>
        <w:tab/>
      </w:r>
      <w:r>
        <w:t xml:space="preserve">Where the secondary containment by bund and drainage is unavailable or has been overridden, the task shall be suspended and the area made safe before work resumes. In this revision the control is administered under the site's material unwanted event control arrangements. The completed record shall be retained on the PRO-MEC-014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2.2.5</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2.2.2</w:t>
      </w:r>
      <w:r>
        <w:tab/>
      </w:r>
      <w:r>
        <w:t xml:space="preserve">Where the secondary containment by bund and drainage is unavailable or has been overridden, the task shall be suspended and the area made safe before work resumes. In this revision the control is administered under the site's material unwanted event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2.2.6</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material unwanted event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2.2.3</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material unwanted event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2.2.7</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material unwanted event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2.2.8</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material unwanted event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2.2.9</w:t>
      </w:r>
      <w:r>
        <w:tab/>
      </w:r>
      <w:r>
        <w:t xml:space="preserve">Where the secondary containment by bund and drainage is unavailable or has been overridden, the task shall be suspended and the area made safe before work resumes. In this revision the control is administered under the site's material unwanted event control arrangements. The completed record shall be retained on the PRO-MEC-014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Heading"/>
      </w:pPr>
      <w:r>
        <w:t xml:space="preserve">CHAPTER </w:t>
      </w:r>
      <w:r>
        <w:t xml:space="preserve">3</w:t>
      </w:r>
      <w:r>
        <w:t xml:space="preserve">  -  </w:t>
      </w:r>
      <w:r>
        <w:t xml:space="preserve">emergency isolation and depressuring on loss of containment</w:t>
      </w:r>
    </w:p>
    <w:p>
      <w:pPr>
        <w:pStyle w:val="KestrelSubheading"/>
      </w:pPr>
      <w:r>
        <w:t xml:space="preserve">Recovery controls</w:t>
      </w:r>
    </w:p>
    <w:p>
      <w:pPr>
        <w:pStyle w:val="KestrelClause"/>
      </w:pPr>
      <w:r>
        <w:rPr>
          <w:b/>
        </w:rPr>
        <w:t xml:space="preserve">3.2.2</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material unwanted event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3.2.3</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3.2.4</w:t>
      </w:r>
      <w:r>
        <w:tab/>
      </w:r>
      <w:r>
        <w:t xml:space="preserve">Where the emergency isolation and depressuring on loss of containment is unavailable or has been overridden, the task shall be suspended and the area made safe before work resumes.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3.2.5</w:t>
      </w:r>
      <w:r>
        <w:tab/>
      </w:r>
      <w:r>
        <w:t xml:space="preserve">On activation of the emergency isolation and depressuring on loss of containment, the operator shall isolate the source, account for all persons, and record the event before any attempt at restoration. In this revision the control is administered under the site's material unwanted event control arrangements. The completed record shall be retained on the PRO-MEC-014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3.2.1</w:t>
      </w:r>
      <w:r>
        <w:tab/>
      </w:r>
      <w:r>
        <w:t xml:space="preserve">The emergency isolation and depressuring on loss of containment shall be available and functional for the duration of the task; loss of function shall stop the work and place the plant in a safe state. In this revision the control is administered under the site's material unwanted event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3.2.6</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material unwanted event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3.2.7</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3.2.8</w:t>
      </w:r>
      <w:r>
        <w:tab/>
      </w:r>
      <w:r>
        <w:t xml:space="preserve">On activation of the emergency isolation and depressuring on loss of containment, the operator shall isolate the source, account for all persons, and record the event before any attempt at restoration. In this revision the control is administered under the site's material unwanted event control arrangements. The completed record shall be retained on the PRO-MEC-014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3.2.9</w:t>
      </w:r>
      <w:r>
        <w:tab/>
      </w:r>
      <w:r>
        <w:t xml:space="preserve">On activation of the emergency isolation and depressuring on loss of containment, the operator shall isolate the source, account for all persons, and record the event before any attempt at restoration. In this revision the control is administered under the site's material unwanted event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Heading"/>
      </w:pPr>
      <w:r>
        <w:t xml:space="preserve">CHAPTER </w:t>
      </w:r>
      <w:r>
        <w:t xml:space="preserve">4</w:t>
      </w:r>
      <w:r>
        <w:t xml:space="preserve">  -  </w:t>
      </w:r>
      <w:r>
        <w:t xml:space="preserve">integrity of the mechanical seal support system</w:t>
      </w:r>
    </w:p>
    <w:p>
      <w:pPr>
        <w:pStyle w:val="KestrelSubheading"/>
      </w:pPr>
      <w:r>
        <w:t xml:space="preserve">Preventive controls</w:t>
      </w:r>
    </w:p>
    <w:p>
      <w:pPr>
        <w:pStyle w:val="KestrelClause"/>
      </w:pPr>
      <w:r>
        <w:rPr>
          <w:b/>
        </w:rPr>
        <w:t xml:space="preserve">4.1.3</w:t>
      </w:r>
      <w:r>
        <w:tab/>
      </w:r>
      <w:r>
        <w:t xml:space="preserve">No person shall commence the task until the integrity of the mechanical seal support system has been completed and confirmed by the person in charge of the work. In this revision the control is administered under the site's pressurised dual seal support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vibration trip level: 7.1 mm/s. Any departure requires an approved change assurance before the change is made.</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4.1.4</w:t>
      </w:r>
      <w:r>
        <w:tab/>
      </w:r>
      <w:r>
        <w:t xml:space="preserve">The supervisor shall not authorise the task unless the integrity of the mechanical seal support system has been carried out for every energy source and every item of plant within the declared boundary. In this revision the control is administered under the site's pressurised dual seal support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4.1.6</w:t>
      </w:r>
      <w:r>
        <w:tab/>
      </w:r>
      <w:r>
        <w:t xml:space="preserve">The supervisor shall not authorise the task unless the integrity of the mechanical seal support system has been carried out for every energy source and every item of plant within the declared boundary. In this revision the control is administered under the site's pressurised dual seal support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4.1.5</w:t>
      </w:r>
      <w:r>
        <w:tab/>
      </w:r>
      <w:r>
        <w:t xml:space="preserve">No person shall commence the task until the integrity of the mechanical seal support system has been completed and confirmed by the person in charge of the work. In this revision the control is administered under the site's pressurised dual seal support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4.1.7</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pressurised dual seal support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bearing high-temperature alarm: 75 °C. Any departure requires an approved change assurance before the change is made.</w:t>
      </w:r>
    </w:p>
    <w:p>
      <w:pPr>
        <w:pStyle w:val="KestrelMeta"/>
      </w:pPr>
      <w:r>
        <w:rPr>
          <w:i/>
        </w:rPr>
        <w:t xml:space="preserve">Reference: </w:t>
      </w:r>
      <w:r>
        <w:rPr>
          <w:i/>
        </w:rPr>
        <w:t xml:space="preserve">AS 1210 (pressure vessels)</w:t>
      </w:r>
    </w:p>
    <w:p>
      <w:pPr>
        <w:pStyle w:val="KestrelClause"/>
      </w:pPr>
      <w:r>
        <w:rPr>
          <w:b/>
        </w:rPr>
        <w:t xml:space="preserve">4.1.1</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pressurised dual seal support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4.1.8</w:t>
      </w:r>
      <w:r>
        <w:tab/>
      </w:r>
      <w:r>
        <w:t xml:space="preserve">The integrity of the mechanical seal support system shall be applied in accordance with AS 1210 (pressure vessels) and independently confirmed by a second competent person before work proceeds. In this revision the control is administered under the site's pressurised dual seal support arrangements. The completed record shall be retained on the PRO-MEC-014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4.1.2</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pressurised dual seal support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Heading"/>
      </w:pPr>
      <w:r>
        <w:t xml:space="preserve">CHAPTER </w:t>
      </w:r>
      <w:r>
        <w:t xml:space="preserve">5</w:t>
      </w:r>
      <w:r>
        <w:t xml:space="preserve">  -  </w:t>
      </w:r>
      <w:r>
        <w:t xml:space="preserve">seal-face high-temperature alarm and trip</w:t>
      </w:r>
    </w:p>
    <w:p>
      <w:pPr>
        <w:pStyle w:val="KestrelSubheading"/>
      </w:pPr>
      <w:r>
        <w:t xml:space="preserve">Recovery controls</w:t>
      </w:r>
    </w:p>
    <w:p>
      <w:pPr>
        <w:pStyle w:val="KestrelClause"/>
      </w:pPr>
      <w:r>
        <w:rPr>
          <w:b/>
        </w:rPr>
        <w:t xml:space="preserve">5.2.1</w:t>
      </w:r>
      <w:r>
        <w:tab/>
      </w:r>
      <w:r>
        <w:t xml:space="preserve">On activation of the seal-face high-temperature alarm and trip, the operator shall isolate the source, account for all persons, and record the event before any attempt at restoration. In this revision the control is administered under the site's alarm philosophy conformance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seal-face high-temperature alarm: 135 °C. Any departure requires an approved change assurance before the change is made.</w:t>
      </w:r>
    </w:p>
    <w:p>
      <w:pPr>
        <w:pStyle w:val="KestrelMeta"/>
      </w:pPr>
      <w:r>
        <w:rPr>
          <w:i/>
        </w:rPr>
        <w:t xml:space="preserve">Reference: </w:t>
      </w:r>
      <w:r>
        <w:rPr>
          <w:i/>
        </w:rPr>
        <w:t xml:space="preserve">AS 1210 (pressure vessels)</w:t>
      </w: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418" w:right="1134" w:bottom="1134" w:left="1134"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decimal"/>
      <w:lvlText w:val="%1)"/>
      <w:lvlJc w:val="left"/>
      <w:pPr>
        <w:ind w:left="1332"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Calibri" w:hAnsi="Calibri"/>
      <w:b/>
      <w:caps/>
      <w:color w:val="1F3864"/>
      <w:sz w:val="32"/>
      <w:szCs w:val="32"/>
    </w:rPr>
  </w:style>
  <w:style w:type="paragraph" w:styleId="KestrelSubtitle">
    <w:name w:val="Kestrel Subtitle"/>
    <w:basedOn w:val="Normal"/>
    <w:qFormat/>
    <w:pPr>
      <w:spacing w:after="240"/>
    </w:pPr>
    <w:rPr>
      <w:rFonts w:ascii="Calibri" w:hAnsi="Calibri"/>
      <w:color w:val="1F3864"/>
      <w:sz w:val="21"/>
      <w:szCs w:val="21"/>
    </w:rPr>
  </w:style>
  <w:style w:type="paragraph" w:styleId="KestrelHeading">
    <w:name w:val="Kestrel Heading"/>
    <w:basedOn w:val="Normal"/>
    <w:qFormat/>
    <w:pPr>
      <w:keepNext/>
      <w:spacing w:before="280" w:after="120"/>
      <w:pBdr>
        <w:bottom w:val="single" w:sz="6" w:space="2" w:color="8496B0"/>
      </w:pBdr>
    </w:pPr>
    <w:rPr>
      <w:rFonts w:ascii="Calibri" w:hAnsi="Calibri"/>
      <w:b/>
      <w:smallCaps/>
      <w:color w:val="1F3864"/>
      <w:sz w:val="26"/>
      <w:szCs w:val="26"/>
    </w:rPr>
  </w:style>
  <w:style w:type="paragraph" w:styleId="KestrelSubheading">
    <w:name w:val="Kestrel Subheading"/>
    <w:basedOn w:val="Normal"/>
    <w:qFormat/>
    <w:pPr>
      <w:keepNext/>
      <w:spacing w:before="160" w:after="80"/>
    </w:pPr>
    <w:rPr>
      <w:rFonts w:ascii="Calibri" w:hAnsi="Calibri"/>
      <w:b/>
      <w:i/>
      <w:sz w:val="21"/>
      <w:szCs w:val="21"/>
    </w:rPr>
  </w:style>
  <w:style w:type="paragraph" w:styleId="KestrelClause">
    <w:name w:val="Kestrel Clause"/>
    <w:basedOn w:val="Normal"/>
    <w:qFormat/>
    <w:pPr>
      <w:ind w:left="992" w:hanging="992"/>
      <w:spacing w:after="120"/>
      <w:jc w:val="both"/>
    </w:pPr>
  </w:style>
  <w:style w:type="paragraph" w:styleId="KestrelPoint">
    <w:name w:val="Kestrel Clause Point"/>
    <w:basedOn w:val="Normal"/>
    <w:qFormat/>
    <w:pPr>
      <w:numPr>
        <w:ilvl w:val="0"/>
        <w:numId w:val="1"/>
      </w:numPr>
      <w:ind w:left="1332" w:hanging="340"/>
      <w:spacing w:after="60"/>
    </w:pPr>
  </w:style>
  <w:style w:type="paragraph" w:styleId="KestrelSetpoint">
    <w:name w:val="Kestrel Setpoint"/>
    <w:basedOn w:val="Normal"/>
    <w:qFormat/>
    <w:pPr>
      <w:ind w:left="992"/>
      <w:spacing w:before="60" w:after="160"/>
    </w:pPr>
    <w:rPr>
      <w:b/>
    </w:rPr>
  </w:style>
  <w:style w:type="paragraph" w:styleId="KestrelMeta">
    <w:name w:val="Kestrel Meta"/>
    <w:basedOn w:val="Normal"/>
    <w:qFormat/>
    <w:pPr>
      <w:spacing w:after="0"/>
    </w:pPr>
    <w:rPr>
      <w:sz w:val="17"/>
      <w:szCs w:val="17"/>
    </w:rPr>
  </w:style>
  <w:style w:type="paragraph" w:styleId="KestrelTableHead">
    <w:name w:val="Kestrel Table Heading"/>
    <w:basedOn w:val="Normal"/>
    <w:qFormat/>
    <w:pPr>
      <w:spacing w:after="0"/>
    </w:pPr>
    <w:rPr>
      <w:b/>
      <w:sz w:val="17"/>
      <w:szCs w:val="17"/>
    </w:rPr>
  </w:style>
  <w:style w:type="paragraph" w:styleId="KestrelTableCell">
    <w:name w:val="Kestrel Table Cell"/>
    <w:basedOn w:val="Normal"/>
    <w:qFormat/>
    <w:pPr>
      <w:spacing w:after="0"/>
    </w:pPr>
    <w:rPr>
      <w:sz w:val="17"/>
      <w:szCs w:val="17"/>
    </w:rPr>
  </w:style>
</w:styles>
</file>

<file path=word/_rels/document.xml.rels><?xml version="1.0" encoding="UTF-8" standalone="yes"?>
<Relationships xmlns="http://schemas.openxmlformats.org/package/2006/relationships"><Relationship Id="rId4"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pro_g2</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PRO-MEC-014 - Hydrocarbon Transfer Pump Maintenance</dc:title>
  <dc:subject>Marrindal Concentrator and Hydrocarbon Transfer Facility; revision 015; effective 2025-09-07</dc:subject>
  <dc:creator>B. Adeyemi (kestrel:adeyemi.b)</dc:creator>
  <cp:lastModifiedBy>B. Adeyemi (kestrel:adeyemi.b)</cp:lastModifiedBy>
  <cp:revision>015</cp:revision>
  <dcterms:created xsi:type="dcterms:W3CDTF">2025-09-07T00:00:00Z</dcterms:created>
  <dcterms:modified xsi:type="dcterms:W3CDTF">2025-09-07T00:00:00Z</dcterms:modified>
  <cp:category>Kestrel controlled document (PRO)</cp:category>
  <cp:contentStatus>Issued</cp:contentStatus>
</cp:coreProperties>
</file>