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799"/>
        <w:gridCol w:w="3555"/>
      </w:tblGrid>
      <w:tr>
        <w:tc>
          <w:tcPr>
            <w:tcW w:w="5799" w:type="dxa"/>
            <w:shd w:val="clear" w:color="auto" w:fill="FFFFFF"/>
          </w:tcPr>
          <w:p>
            <w:pPr>
              <w:spacing w:after="0"/>
            </w:pPr>
            <w:r>
              <w:rPr>
                <w:b/>
                <w:caps/>
                <w:color w:val="000000"/>
                <w:sz w:val="20"/>
                <w:szCs w:val="20"/>
              </w:rPr>
              <w:t xml:space="preserve">KESTREL RESOURCES PTY LTD</w:t>
            </w:r>
          </w:p>
          <w:p>
            <w:pPr>
              <w:pStyle w:val="KestrelMeta"/>
            </w:pPr>
            <w:r>
              <w:t xml:space="preserve">Marrindal Concentrator and Hydrocarbon Transfer Facility</w:t>
            </w:r>
          </w:p>
        </w:tc>
        <w:tc>
          <w:tcPr>
            <w:tcW w:w="3555" w:type="dxa"/>
            <w:shd w:val="clear" w:color="auto" w:fill="FFFFFF"/>
          </w:tcPr>
          <w:p>
            <w:pPr>
              <w:pStyle w:val="KestrelMeta"/>
              <w:jc w:val="right"/>
            </w:pPr>
            <w:r>
              <w:rPr>
                <w:b/>
              </w:rPr>
              <w:t xml:space="preserve">PERMIT TO WORK FORM SET</w:t>
            </w:r>
          </w:p>
          <w:p>
            <w:pPr>
              <w:pStyle w:val="KestrelMeta"/>
              <w:jc w:val="right"/>
            </w:pPr>
            <w:r>
              <w:t xml:space="preserve">Document </w:t>
            </w:r>
            <w:r>
              <w:t xml:space="preserve">PTW-STD-002</w:t>
            </w:r>
          </w:p>
          <w:p>
            <w:pPr>
              <w:pStyle w:val="KestrelMeta"/>
              <w:jc w:val="right"/>
            </w:pPr>
            <w:r>
              <w:t xml:space="preserve">Revision </w:t>
            </w:r>
            <w:r>
              <w:t xml:space="preserve">002</w:t>
            </w:r>
            <w:r>
              <w:t xml:space="preserve">  ·  Effective </w:t>
            </w:r>
            <w:r>
              <w:t xml:space="preserve">2010-06-10</w:t>
            </w:r>
          </w:p>
        </w:tc>
      </w:tr>
    </w:tbl>
    <w:p>
      <w:pPr>
        <w:pStyle w:val="KestrelMeta"/>
      </w:pPr>
    </w:p>
    <w:p>
      <w:pPr>
        <w:pStyle w:val="KestrelTitle"/>
        <w:pBdr>
          <w:bottom w:val="single" w:sz="12" w:space="4" w:color="404040"/>
        </w:pBdr>
      </w:pPr>
      <w:r>
        <w:t xml:space="preserve">Permit to Work Form Set</w:t>
      </w:r>
    </w:p>
    <w:p>
      <w:pPr>
        <w:pStyle w:val="KestrelSubtitle"/>
      </w:pPr>
      <w:r>
        <w:t xml:space="preserve">PTW-STD-002</w:t>
      </w:r>
      <w:r>
        <w:t xml:space="preserve">  ·  revision </w:t>
      </w:r>
      <w:r>
        <w:t xml:space="preserve">002</w:t>
      </w:r>
      <w:r>
        <w:t xml:space="preserve">  ·  effective </w:t>
      </w:r>
      <w:r>
        <w:t xml:space="preserve">10 June 2010</w:t>
      </w:r>
      <w:r>
        <w:t xml:space="preserve">  ·  </w:t>
      </w:r>
      <w:r>
        <w:t xml:space="preserve">Marrindal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806"/>
        <w:gridCol w:w="6548"/>
      </w:tblGrid>
      <w:tr>
        <w:trPr>
          <w:tblHeader/>
        </w:trPr>
        <w:tc>
          <w:tcPr>
            <w:tcW w:w="2806" w:type="dxa"/>
            <w:shd w:val="clear" w:color="auto" w:fill="FFFFFF"/>
          </w:tcPr>
          <w:p>
            <w:pPr>
              <w:pStyle w:val="KestrelTableHead"/>
            </w:pPr>
            <w:r>
              <w:t xml:space="preserve">Document control</w:t>
            </w:r>
          </w:p>
        </w:tc>
        <w:tc>
          <w:tcPr>
            <w:tcW w:w="6548" w:type="dxa"/>
            <w:shd w:val="clear" w:color="auto" w:fill="FFFFFF"/>
          </w:tcPr>
          <w:p>
            <w:pPr>
              <w:pStyle w:val="KestrelTableHead"/>
            </w:pPr>
            <w:r>
              <w:t xml:space="preserve"/>
            </w:r>
          </w:p>
        </w:tc>
      </w:tr>
      <w:tr>
        <w:tc>
          <w:tcPr>
            <w:tcW w:w="2806" w:type="dxa"/>
          </w:tcPr>
          <w:p>
            <w:pPr>
              <w:pStyle w:val="KestrelTableHead"/>
            </w:pPr>
            <w:r>
              <w:t xml:space="preserve">Document</w:t>
            </w:r>
          </w:p>
        </w:tc>
        <w:tc>
          <w:tcPr>
            <w:tcW w:w="6548" w:type="dxa"/>
          </w:tcPr>
          <w:p>
            <w:pPr>
              <w:pStyle w:val="KestrelTableCell"/>
            </w:pPr>
            <w:r>
              <w:t xml:space="preserve">PTW-STD-002</w:t>
            </w:r>
          </w:p>
        </w:tc>
      </w:tr>
      <w:tr>
        <w:tc>
          <w:tcPr>
            <w:tcW w:w="2806" w:type="dxa"/>
          </w:tcPr>
          <w:p>
            <w:pPr>
              <w:pStyle w:val="KestrelTableHead"/>
            </w:pPr>
            <w:r>
              <w:t xml:space="preserve">Revision</w:t>
            </w:r>
          </w:p>
        </w:tc>
        <w:tc>
          <w:tcPr>
            <w:tcW w:w="6548" w:type="dxa"/>
          </w:tcPr>
          <w:p>
            <w:pPr>
              <w:pStyle w:val="KestrelTableCell"/>
            </w:pPr>
            <w:r>
              <w:t xml:space="preserve">002</w:t>
            </w:r>
          </w:p>
        </w:tc>
      </w:tr>
      <w:tr>
        <w:tc>
          <w:tcPr>
            <w:tcW w:w="2806" w:type="dxa"/>
          </w:tcPr>
          <w:p>
            <w:pPr>
              <w:pStyle w:val="KestrelTableHead"/>
            </w:pPr>
            <w:r>
              <w:t xml:space="preserve">Effective</w:t>
            </w:r>
          </w:p>
        </w:tc>
        <w:tc>
          <w:tcPr>
            <w:tcW w:w="6548" w:type="dxa"/>
          </w:tcPr>
          <w:p>
            <w:pPr>
              <w:pStyle w:val="KestrelTableCell"/>
            </w:pPr>
            <w:r>
              <w:t xml:space="preserve">10 June 2010</w:t>
            </w:r>
          </w:p>
        </w:tc>
      </w:tr>
      <w:tr>
        <w:tc>
          <w:tcPr>
            <w:tcW w:w="2806" w:type="dxa"/>
          </w:tcPr>
          <w:p>
            <w:pPr>
              <w:pStyle w:val="KestrelTableHead"/>
            </w:pPr>
            <w:r>
              <w:t xml:space="preserve">Site</w:t>
            </w:r>
          </w:p>
        </w:tc>
        <w:tc>
          <w:tcPr>
            <w:tcW w:w="6548" w:type="dxa"/>
          </w:tcPr>
          <w:p>
            <w:pPr>
              <w:pStyle w:val="KestrelTableCell"/>
            </w:pPr>
            <w:r>
              <w:t xml:space="preserve">Marrindal (MRD)</w:t>
            </w:r>
          </w:p>
        </w:tc>
      </w:tr>
      <w:tr>
        <w:tc>
          <w:tcPr>
            <w:tcW w:w="2806" w:type="dxa"/>
          </w:tcPr>
          <w:p>
            <w:pPr>
              <w:pStyle w:val="KestrelTableHead"/>
            </w:pPr>
            <w:r>
              <w:t xml:space="preserve">Form set governs</w:t>
            </w:r>
          </w:p>
        </w:tc>
        <w:tc>
          <w:tcPr>
            <w:tcW w:w="6548" w:type="dxa"/>
          </w:tcPr>
          <w:p>
            <w:pPr>
              <w:pStyle w:val="KestrelTableCell"/>
            </w:pPr>
            <w:r>
              <w:t xml:space="preserve">Isolation of stored energy</w:t>
            </w:r>
          </w:p>
        </w:tc>
      </w:tr>
      <w:tr>
        <w:tc>
          <w:tcPr>
            <w:tcW w:w="2806" w:type="dxa"/>
          </w:tcPr>
          <w:p>
            <w:pPr>
              <w:pStyle w:val="KestrelTableHead"/>
            </w:pPr>
            <w:r>
              <w:t xml:space="preserve">Authorising role</w:t>
            </w:r>
          </w:p>
        </w:tc>
        <w:tc>
          <w:tcPr>
            <w:tcW w:w="6548" w:type="dxa"/>
          </w:tcPr>
          <w:p>
            <w:pPr>
              <w:pStyle w:val="KestrelTableCell"/>
            </w:pPr>
            <w:r>
              <w:t xml:space="preserve">Permit issuer, as appointed under the site standard</w:t>
            </w:r>
          </w:p>
        </w:tc>
      </w:tr>
      <w:tr>
        <w:tc>
          <w:tcPr>
            <w:tcW w:w="2806" w:type="dxa"/>
          </w:tcPr>
          <w:p>
            <w:pPr>
              <w:pStyle w:val="KestrelTableHead"/>
            </w:pPr>
            <w:r>
              <w:t xml:space="preserve">Owner</w:t>
            </w:r>
          </w:p>
        </w:tc>
        <w:tc>
          <w:tcPr>
            <w:tcW w:w="6548" w:type="dxa"/>
          </w:tcPr>
          <w:p>
            <w:pPr>
              <w:pStyle w:val="KestrelTableCell"/>
            </w:pPr>
            <w:r>
              <w:t xml:space="preserve">M. Rasmussen (kestrel:rasmussen.m)</w:t>
            </w:r>
          </w:p>
        </w:tc>
      </w:tr>
      <w:tr>
        <w:tc>
          <w:tcPr>
            <w:tcW w:w="2806" w:type="dxa"/>
          </w:tcPr>
          <w:p>
            <w:pPr>
              <w:pStyle w:val="KestrelTableHead"/>
            </w:pPr>
            <w:r>
              <w:t xml:space="preserve">Approved by</w:t>
            </w:r>
          </w:p>
        </w:tc>
        <w:tc>
          <w:tcPr>
            <w:tcW w:w="6548" w:type="dxa"/>
          </w:tcPr>
          <w:p>
            <w:pPr>
              <w:pStyle w:val="KestrelTableCell"/>
            </w:pPr>
            <w:r>
              <w:t xml:space="preserve">H. Larkin (kestrel:larkin.h)</w:t>
            </w:r>
          </w:p>
        </w:tc>
      </w:tr>
      <w:tr>
        <w:tc>
          <w:tcPr>
            <w:tcW w:w="2806" w:type="dxa"/>
          </w:tcPr>
          <w:p>
            <w:pPr>
              <w:pStyle w:val="KestrelTableHead"/>
            </w:pPr>
            <w:r>
              <w:t xml:space="preserve">Classification</w:t>
            </w:r>
          </w:p>
        </w:tc>
        <w:tc>
          <w:tcPr>
            <w:tcW w:w="6548" w:type="dxa"/>
          </w:tcPr>
          <w:p>
            <w:pPr>
              <w:pStyle w:val="KestrelTableCell"/>
            </w:pPr>
            <w:r>
              <w:t xml:space="preserve">Controlled document - uncontrolled when printed</w:t>
            </w:r>
          </w:p>
        </w:tc>
      </w:tr>
    </w:tbl>
    <w:p>
      <w:pPr>
        <w:pStyle w:val="KestrelMeta"/>
      </w:pPr>
    </w:p>
    <w:p>
      <w:pPr>
        <w:pStyle w:val="KestrelHeading"/>
      </w:pPr>
      <w:r>
        <w:t xml:space="preserve">1  Purpose</w:t>
      </w:r>
    </w:p>
    <w:p>
      <w:r>
        <w:t xml:space="preserve">This form set governs the raising, authorisation and closure of permits for work affecting Isolation of stored energy at Marrindal Concentrator and Hydrocarbon Transfer Facility.</w:t>
      </w:r>
    </w:p>
    <w:p>
      <w:pPr>
        <w:pStyle w:val="KestrelHeading"/>
      </w:pPr>
      <w:r>
        <w:t xml:space="preserve">2  Application of this form set</w:t>
      </w:r>
    </w:p>
    <w:p>
      <w:r>
        <w:t xml:space="preserve">This document applies to the plant and equipment listed in the register maintained for Marrindal Concentrator and Hydrocarbon Transfer Facility. Where a clause states a setpoint, that setpoint is a control requirement and not a guideline; where a clause requires a record, the record is part of the control.</w:t>
      </w:r>
    </w:p>
    <w:p>
      <w:pPr>
        <w:pStyle w:val="KestrelHeading"/>
      </w:pPr>
      <w:r>
        <w:t xml:space="preserve">3  Terms used in this revision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993"/>
        <w:gridCol w:w="6361"/>
      </w:tblGrid>
      <w:tr>
        <w:trPr>
          <w:tblHeader/>
        </w:trPr>
        <w:tc>
          <w:tcPr>
            <w:tcW w:w="2993" w:type="dxa"/>
            <w:shd w:val="clear" w:color="auto" w:fill="FFFFFF"/>
          </w:tcPr>
          <w:p>
            <w:pPr>
              <w:pStyle w:val="KestrelTableHead"/>
            </w:pPr>
            <w:r>
              <w:t xml:space="preserve">Term</w:t>
            </w:r>
          </w:p>
        </w:tc>
        <w:tc>
          <w:tcPr>
            <w:tcW w:w="6361" w:type="dxa"/>
            <w:shd w:val="clear" w:color="auto" w:fill="FFFFFF"/>
          </w:tcPr>
          <w:p>
            <w:pPr>
              <w:pStyle w:val="KestrelTableHead"/>
            </w:pPr>
            <w:r>
              <w:t xml:space="preserve">Meaning in this revision</w:t>
            </w:r>
          </w:p>
        </w:tc>
      </w:tr>
      <w:tr>
        <w:tc>
          <w:tcPr>
            <w:tcW w:w="2993" w:type="dxa"/>
          </w:tcPr>
          <w:p>
            <w:pPr>
              <w:pStyle w:val="KestrelTableHead"/>
            </w:pPr>
            <w:r>
              <w:t xml:space="preserve">critical safeguard</w:t>
            </w:r>
          </w:p>
        </w:tc>
        <w:tc>
          <w:tcPr>
            <w:tcW w:w="6361" w:type="dxa"/>
          </w:tcPr>
          <w:p>
            <w:pPr>
              <w:pStyle w:val="KestrelTableCell"/>
            </w:pPr>
            <w:r>
              <w:t xml:space="preserve">As used in this revision. Revisions issued before 2010 refer to the same control as 'key safeguard'.</w:t>
            </w:r>
          </w:p>
        </w:tc>
      </w:tr>
      <w:tr>
        <w:tc>
          <w:tcPr>
            <w:tcW w:w="2993" w:type="dxa"/>
          </w:tcPr>
          <w:p>
            <w:pPr>
              <w:pStyle w:val="KestrelTableHead"/>
            </w:pPr>
            <w:r>
              <w:t xml:space="preserve">dropped object</w:t>
            </w:r>
          </w:p>
        </w:tc>
        <w:tc>
          <w:tcPr>
            <w:tcW w:w="6361" w:type="dxa"/>
          </w:tcPr>
          <w:p>
            <w:pPr>
              <w:pStyle w:val="KestrelTableCell"/>
            </w:pPr>
            <w:r>
              <w:t xml:space="preserve">As used in this revision. Revisions issued before 2010 refer to the same control as 'falling object'.</w:t>
            </w:r>
          </w:p>
        </w:tc>
      </w:tr>
      <w:tr>
        <w:tc>
          <w:tcPr>
            <w:tcW w:w="2993" w:type="dxa"/>
          </w:tcPr>
          <w:p>
            <w:pPr>
              <w:pStyle w:val="KestrelTableHead"/>
            </w:pPr>
            <w:r>
              <w:t xml:space="preserve">lock out tag out</w:t>
            </w:r>
          </w:p>
        </w:tc>
        <w:tc>
          <w:tcPr>
            <w:tcW w:w="6361" w:type="dxa"/>
          </w:tcPr>
          <w:p>
            <w:pPr>
              <w:pStyle w:val="KestrelTableCell"/>
            </w:pPr>
            <w:r>
              <w:t xml:space="preserve">As used in this revision. Revisions issued before 2010 refer to the same control as 'danger tagging'.</w:t>
            </w:r>
          </w:p>
        </w:tc>
      </w:tr>
    </w:tbl>
    <w:p>
      <w:pPr>
        <w:pStyle w:val="KestrelMeta"/>
      </w:pPr>
    </w:p>
    <w:p>
      <w:pPr>
        <w:pStyle w:val="KestrelHeading"/>
      </w:pPr>
      <w:r>
        <w:t xml:space="preserve">4  Requirements</w:t>
      </w:r>
    </w:p>
    <w:p>
      <w:pPr>
        <w:pStyle w:val="KestrelHeading"/>
      </w:pPr>
      <w:r>
        <w:t xml:space="preserve">SECTION </w:t>
      </w:r>
      <w:r>
        <w:t xml:space="preserve">1</w:t>
      </w:r>
      <w:r>
        <w:t xml:space="preserve">  -  </w:t>
      </w:r>
      <w:r>
        <w:t xml:space="preserve">Purpose and scope of the task</w:t>
      </w:r>
    </w:p>
    <w:p>
      <w:pPr>
        <w:pStyle w:val="KestrelClause"/>
      </w:pPr>
      <w:r>
        <w:rPr>
          <w:b/>
        </w:rPr>
        <w:t xml:space="preserve">1.1</w:t>
      </w:r>
      <w:r>
        <w:tab/>
      </w:r>
      <w:r>
        <w:t xml:space="preserve">No person shall commence the task until the mechanical support of a load during maintenance access has been completed and confirmed by the person in charge of the work. In this revision the control is administered under the site's dropped object arrangements. The completed record shall be retained on the PTW-STD-002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Clause"/>
      </w:pPr>
      <w:r>
        <w:rPr>
          <w:b/>
        </w:rPr>
        <w:t xml:space="preserve">1.2</w:t>
      </w:r>
      <w:r>
        <w:tab/>
      </w:r>
      <w:r>
        <w:t xml:space="preserve">The supervisor shall not authorise the task unless the mechanical support of a load during maintenance access has been carried out for every energy source and every item of plant within the declared boundary. In this revision the control is administered under the site's dropped object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Clause"/>
      </w:pPr>
      <w:r>
        <w:rPr>
          <w:b/>
        </w:rPr>
        <w:t xml:space="preserve">1.3</w:t>
      </w:r>
      <w:r>
        <w:tab/>
      </w:r>
      <w:r>
        <w:t xml:space="preserve">No person shall commence the task until the mechanical support of a load during maintenance access has been completed and confirmed by the person in charge of the work. In this revision the control is administered under the site's dropped object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Clause"/>
      </w:pPr>
      <w:r>
        <w:rPr>
          <w:b/>
        </w:rPr>
        <w:t xml:space="preserve">1.5.2(d)</w:t>
      </w:r>
      <w:r>
        <w:tab/>
      </w:r>
      <w:r>
        <w:t xml:space="preserve">The mechanical support of a load during maintenance access shall be applied in accordance with AS/NZS 4836 (safe working on or near low-voltage installations) and independently confirmed by a second competent person before work proceeds. In this revision the control is administered under the site's dropped object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Clause"/>
      </w:pPr>
      <w:r>
        <w:rPr>
          <w:b/>
        </w:rPr>
        <w:t xml:space="preserve">1.4.3(a)</w:t>
      </w:r>
      <w:r>
        <w:tab/>
      </w:r>
      <w:r>
        <w:t xml:space="preserve">The supervisor shall not authorise the task unless the parking, chocking and restraint of equipment has been carried out for every energy source and every item of plant within the declared boundary. In this revision the control is administered under the site's critical safeguard arrangements. The completed record shall be retained on the PTW-STD-002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Heading"/>
      </w:pPr>
      <w:r>
        <w:t xml:space="preserve">SECTION </w:t>
      </w:r>
      <w:r>
        <w:t xml:space="preserve">2</w:t>
      </w:r>
      <w:r>
        <w:t xml:space="preserve">  -  </w:t>
      </w:r>
      <w:r>
        <w:t xml:space="preserve">Preparation and planning</w:t>
      </w:r>
    </w:p>
    <w:p>
      <w:pPr>
        <w:pStyle w:val="KestrelClause"/>
      </w:pPr>
      <w:r>
        <w:rPr>
          <w:b/>
        </w:rPr>
        <w:t xml:space="preserve">2.1</w:t>
      </w:r>
      <w:r>
        <w:tab/>
      </w:r>
      <w:r>
        <w:t xml:space="preserve">The mechanical support of a load during maintenance access shall be applied in accordance with IEC 60204-1 (electrical equipment of machines — general requirements) and independently confirmed by a second competent person before work proceeds. In this revision the control is administered under the site's dropped object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Clause"/>
      </w:pPr>
      <w:r>
        <w:rPr>
          <w:b/>
        </w:rPr>
        <w:t xml:space="preserve">2.2</w:t>
      </w:r>
      <w:r>
        <w:tab/>
      </w:r>
      <w:r>
        <w:t xml:space="preserve">No person shall commence the task until the identification of every energy source for the task has been completed and confirmed by the person in charge of the work. In this revision the control is administered under the site's lock out tag out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Clause"/>
      </w:pPr>
      <w:r>
        <w:rPr>
          <w:b/>
        </w:rPr>
        <w:t xml:space="preserve">2.3</w:t>
      </w:r>
      <w:r>
        <w:tab/>
      </w:r>
      <w:r>
        <w:t xml:space="preserve">The supervisor shall not authorise the task unless the controlled removal of isolation and return to service has been carried out for every energy source and every item of plant within the declared boundary. In this revision the control is administered under the site's lock out tag out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2.5</w:t>
      </w:r>
      <w:r>
        <w:tab/>
      </w:r>
      <w:r>
        <w:t xml:space="preserve">The supervisor shall not authorise the task unless the mechanical support of a load during maintenance access has been carried out for every energy source and every item of plant within the declared boundary. In this revision the control is administered under the site's dropped object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Heading"/>
      </w:pPr>
      <w:r>
        <w:t xml:space="preserve">SECTION </w:t>
      </w:r>
      <w:r>
        <w:t xml:space="preserve">3</w:t>
      </w:r>
      <w:r>
        <w:t xml:space="preserve">  -  </w:t>
      </w:r>
      <w:r>
        <w:t xml:space="preserve">Isolation and making safe</w:t>
      </w:r>
    </w:p>
    <w:p>
      <w:pPr>
        <w:pStyle w:val="KestrelClause"/>
      </w:pPr>
      <w:r>
        <w:rPr>
          <w:b/>
        </w:rPr>
        <w:t xml:space="preserve">3.2</w:t>
      </w:r>
      <w:r>
        <w:tab/>
      </w:r>
      <w:r>
        <w:t xml:space="preserve">The controlled removal of isolation and return to service shall be established and confirmed in place before the task begins, and shall remain in place until the work is complete and the area has been handed back. In this revision the control is administered under the site's lock out tag out arrangements. The completed record shall be retained on the PTW-STD-002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Clause"/>
      </w:pPr>
      <w:r>
        <w:rPr>
          <w:b/>
        </w:rPr>
        <w:t xml:space="preserve">3.3</w:t>
      </w:r>
      <w:r>
        <w:tab/>
      </w:r>
      <w:r>
        <w:t xml:space="preserve">No person shall commence the task until the controlled removal of isolation and return to service has been completed and confirmed by the person in charge of the work. In this revision the control is administered under the site's lock out tag out arrangements. The completed record shall be retained on the PTW-STD-002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Clause"/>
      </w:pPr>
      <w:r>
        <w:rPr>
          <w:b/>
        </w:rPr>
        <w:t xml:space="preserve">3.1</w:t>
      </w:r>
      <w:r>
        <w:tab/>
      </w:r>
      <w:r>
        <w:t xml:space="preserve">The supervisor shall not authorise the task unless the controlled removal of isolation and return to service has been carried out for every energy source and every item of plant within the declared boundary. In this revision the control is administered under the site's lock out tag out arrangements. The completed record shall be retained on the PTW-STD-002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Heading"/>
      </w:pPr>
      <w:r>
        <w:t xml:space="preserve">SECTION </w:t>
      </w:r>
      <w:r>
        <w:t xml:space="preserve">4</w:t>
      </w:r>
      <w:r>
        <w:t xml:space="preserve">  -  </w:t>
      </w:r>
      <w:r>
        <w:t xml:space="preserve">Access, entry and atmosphere</w:t>
      </w:r>
    </w:p>
    <w:p>
      <w:pPr>
        <w:pStyle w:val="KestrelClause"/>
      </w:pPr>
      <w:r>
        <w:rPr>
          <w:b/>
        </w:rPr>
        <w:t xml:space="preserve">4.2</w:t>
      </w:r>
      <w:r>
        <w:tab/>
      </w:r>
      <w:r>
        <w:t xml:space="preserve">The controlled removal of isolation and return to service shall be established and confirmed in place before the task begins, and shall remain in place until the work is complete and the area has been handed back. In this revision the control is administered under the site's lock out tag out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Clause"/>
      </w:pPr>
      <w:r>
        <w:rPr>
          <w:b/>
        </w:rPr>
        <w:t xml:space="preserve">4.4</w:t>
      </w:r>
      <w:r>
        <w:tab/>
      </w:r>
      <w:r>
        <w:t xml:space="preserve">No person shall commence the task until the controlled removal of isolation and return to service has been completed and confirmed by the person in charge of the work. In this revision the control is administered under the site's lock out tag out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Heading"/>
      </w:pPr>
      <w:r>
        <w:t xml:space="preserve">Revision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41"/>
        <w:gridCol w:w="1590"/>
        <w:gridCol w:w="1590"/>
        <w:gridCol w:w="3460"/>
        <w:gridCol w:w="1873"/>
      </w:tblGrid>
      <w:tr>
        <w:trPr>
          <w:tblHeader/>
        </w:trPr>
        <w:tc>
          <w:tcPr>
            <w:tcW w:w="841" w:type="dxa"/>
            <w:shd w:val="clear" w:color="auto" w:fill="FFFFFF"/>
          </w:tcPr>
          <w:p>
            <w:pPr>
              <w:pStyle w:val="KestrelTableHead"/>
            </w:pPr>
            <w:r>
              <w:t xml:space="preserve">Rev</w:t>
            </w:r>
          </w:p>
        </w:tc>
        <w:tc>
          <w:tcPr>
            <w:tcW w:w="1590" w:type="dxa"/>
            <w:shd w:val="clear" w:color="auto" w:fill="FFFFFF"/>
          </w:tcPr>
          <w:p>
            <w:pPr>
              <w:pStyle w:val="KestrelTableHead"/>
            </w:pPr>
            <w:r>
              <w:t xml:space="preserve">Effective</w:t>
            </w:r>
          </w:p>
        </w:tc>
        <w:tc>
          <w:tcPr>
            <w:tcW w:w="1590" w:type="dxa"/>
            <w:shd w:val="clear" w:color="auto" w:fill="FFFFFF"/>
          </w:tcPr>
          <w:p>
            <w:pPr>
              <w:pStyle w:val="KestrelTableHead"/>
            </w:pPr>
            <w:r>
              <w:t xml:space="preserve">Change</w:t>
            </w:r>
          </w:p>
        </w:tc>
        <w:tc>
          <w:tcPr>
            <w:tcW w:w="3460" w:type="dxa"/>
            <w:shd w:val="clear" w:color="auto" w:fill="FFFFFF"/>
          </w:tcPr>
          <w:p>
            <w:pPr>
              <w:pStyle w:val="KestrelTableHead"/>
            </w:pPr>
            <w:r>
              <w:t xml:space="preserve">Reason for change</w:t>
            </w:r>
          </w:p>
        </w:tc>
        <w:tc>
          <w:tcPr>
            <w:tcW w:w="1873" w:type="dxa"/>
            <w:shd w:val="clear" w:color="auto" w:fill="FFFFFF"/>
          </w:tcPr>
          <w:p>
            <w:pPr>
              <w:pStyle w:val="KestrelTableHead"/>
            </w:pPr>
            <w:r>
              <w:t xml:space="preserve">Approved by</w:t>
            </w:r>
          </w:p>
        </w:tc>
      </w:tr>
      <w:tr>
        <w:tc>
          <w:tcPr>
            <w:tcW w:w="841" w:type="dxa"/>
          </w:tcPr>
          <w:p>
            <w:pPr>
              <w:pStyle w:val="KestrelTableCell"/>
            </w:pPr>
            <w:r>
              <w:t xml:space="preserve">001</w:t>
            </w:r>
          </w:p>
        </w:tc>
        <w:tc>
          <w:tcPr>
            <w:tcW w:w="1590" w:type="dxa"/>
          </w:tcPr>
          <w:p>
            <w:pPr>
              <w:pStyle w:val="KestrelTableCell"/>
            </w:pPr>
            <w:r>
              <w:t xml:space="preserve">8 March 2004</w:t>
            </w:r>
          </w:p>
        </w:tc>
        <w:tc>
          <w:tcPr>
            <w:tcW w:w="1590" w:type="dxa"/>
          </w:tcPr>
          <w:p>
            <w:pPr>
              <w:pStyle w:val="KestrelTableCell"/>
            </w:pPr>
            <w:r>
              <w:t xml:space="preserve">Clause introduced</w:t>
            </w:r>
          </w:p>
        </w:tc>
        <w:tc>
          <w:tcPr>
            <w:tcW w:w="3460" w:type="dxa"/>
          </w:tcPr>
          <w:p>
            <w:pPr>
              <w:pStyle w:val="KestrelTableCell"/>
            </w:pPr>
            <w:r>
              <w:t xml:space="preserve">Issued at scheduled review; 11 clause(s) revised.</w:t>
            </w:r>
          </w:p>
        </w:tc>
        <w:tc>
          <w:tcPr>
            <w:tcW w:w="1873" w:type="dxa"/>
          </w:tcPr>
          <w:p>
            <w:pPr>
              <w:pStyle w:val="KestrelTableCell"/>
            </w:pPr>
            <w:r>
              <w:t xml:space="preserve">M. Rasmussen (kestrel:rasmussen.m)</w:t>
            </w:r>
          </w:p>
        </w:tc>
      </w:tr>
      <w:tr>
        <w:tc>
          <w:tcPr>
            <w:tcW w:w="841" w:type="dxa"/>
          </w:tcPr>
          <w:p>
            <w:pPr>
              <w:pStyle w:val="KestrelTableCell"/>
            </w:pPr>
            <w:r>
              <w:t xml:space="preserve">002</w:t>
            </w:r>
          </w:p>
        </w:tc>
        <w:tc>
          <w:tcPr>
            <w:tcW w:w="1590" w:type="dxa"/>
          </w:tcPr>
          <w:p>
            <w:pPr>
              <w:pStyle w:val="KestrelTableCell"/>
            </w:pPr>
            <w:r>
              <w:t xml:space="preserve">10 June 2010</w:t>
            </w:r>
          </w:p>
        </w:tc>
        <w:tc>
          <w:tcPr>
            <w:tcW w:w="1590" w:type="dxa"/>
          </w:tcPr>
          <w:p>
            <w:pPr>
              <w:pStyle w:val="KestrelTableCell"/>
            </w:pPr>
            <w:r>
              <w:t xml:space="preserve">Control strengthened</w:t>
            </w:r>
          </w:p>
        </w:tc>
        <w:tc>
          <w:tcPr>
            <w:tcW w:w="3460" w:type="dxa"/>
          </w:tcPr>
          <w:p>
            <w:pPr>
              <w:pStyle w:val="KestrelTableCell"/>
            </w:pPr>
            <w:r>
              <w:t xml:space="preserve">Issued following INC-2009-006, INC-2010-002.</w:t>
            </w:r>
          </w:p>
        </w:tc>
        <w:tc>
          <w:tcPr>
            <w:tcW w:w="1873" w:type="dxa"/>
          </w:tcPr>
          <w:p>
            <w:pPr>
              <w:pStyle w:val="KestrelTableCell"/>
            </w:pPr>
            <w:r>
              <w:t xml:space="preserve">H. Larkin (kestrel:larkin.h)</w:t>
            </w:r>
          </w:p>
        </w:tc>
      </w:tr>
    </w:tbl>
    <w:p>
      <w:pPr>
        <w:pStyle w:val="KestrelMeta"/>
      </w:pP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134" w:right="1134" w:bottom="1134" w:left="1418"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lowerLetter"/>
      <w:lvlText w:val="(%1)"/>
      <w:lvlJc w:val="left"/>
      <w:pPr>
        <w:ind w:left="1191"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Arial" w:hAnsi="Arial"/>
      <w:b/>
      <w:caps/>
      <w:color w:val="000000"/>
      <w:sz w:val="28"/>
      <w:szCs w:val="28"/>
    </w:rPr>
  </w:style>
  <w:style w:type="paragraph" w:styleId="KestrelSubtitle">
    <w:name w:val="Kestrel Subtitle"/>
    <w:basedOn w:val="Normal"/>
    <w:qFormat/>
    <w:pPr>
      <w:spacing w:after="240"/>
    </w:pPr>
    <w:rPr>
      <w:rFonts w:ascii="Arial" w:hAnsi="Arial"/>
      <w:color w:val="000000"/>
      <w:sz w:val="20"/>
      <w:szCs w:val="20"/>
    </w:rPr>
  </w:style>
  <w:style w:type="paragraph" w:styleId="KestrelHeading">
    <w:name w:val="Kestrel Heading"/>
    <w:basedOn w:val="Normal"/>
    <w:qFormat/>
    <w:pPr>
      <w:keepNext/>
      <w:spacing w:before="280" w:after="120"/>
      <w:pBdr>
        <w:bottom w:val="single" w:sz="6" w:space="2" w:color="000000"/>
      </w:pBdr>
    </w:pPr>
    <w:rPr>
      <w:rFonts w:ascii="Arial" w:hAnsi="Arial"/>
      <w:b/>
      <w:caps/>
      <w:color w:val="000000"/>
      <w:sz w:val="24"/>
      <w:szCs w:val="24"/>
    </w:rPr>
  </w:style>
  <w:style w:type="paragraph" w:styleId="KestrelSubheading">
    <w:name w:val="Kestrel Subheading"/>
    <w:basedOn w:val="Normal"/>
    <w:qFormat/>
    <w:pPr>
      <w:keepNext/>
      <w:spacing w:before="160" w:after="80"/>
    </w:pPr>
    <w:rPr>
      <w:rFonts w:ascii="Arial" w:hAnsi="Arial"/>
      <w:b/>
      <w:i/>
      <w:sz w:val="20"/>
      <w:szCs w:val="20"/>
    </w:rPr>
  </w:style>
  <w:style w:type="paragraph" w:styleId="KestrelClause">
    <w:name w:val="Kestrel Clause"/>
    <w:basedOn w:val="Normal"/>
    <w:qFormat/>
    <w:pPr>
      <w:ind w:left="851" w:hanging="851"/>
      <w:spacing w:after="120"/>
      <w:jc w:val="both"/>
    </w:pPr>
  </w:style>
  <w:style w:type="paragraph" w:styleId="KestrelPoint">
    <w:name w:val="Kestrel Clause Point"/>
    <w:basedOn w:val="Normal"/>
    <w:qFormat/>
    <w:pPr>
      <w:numPr>
        <w:ilvl w:val="0"/>
        <w:numId w:val="1"/>
      </w:numPr>
      <w:ind w:left="1191" w:hanging="340"/>
      <w:spacing w:after="60"/>
    </w:pPr>
  </w:style>
  <w:style w:type="paragraph" w:styleId="KestrelSetpoint">
    <w:name w:val="Kestrel Setpoint"/>
    <w:basedOn w:val="Normal"/>
    <w:qFormat/>
    <w:pPr>
      <w:ind w:left="851"/>
      <w:spacing w:before="60" w:after="160"/>
    </w:pPr>
    <w:rPr>
      <w:b/>
    </w:rPr>
  </w:style>
  <w:style w:type="paragraph" w:styleId="KestrelMeta">
    <w:name w:val="Kestrel Meta"/>
    <w:basedOn w:val="Normal"/>
    <w:qFormat/>
    <w:pPr>
      <w:spacing w:after="0"/>
    </w:pPr>
    <w:rPr>
      <w:sz w:val="16"/>
      <w:szCs w:val="16"/>
    </w:rPr>
  </w:style>
  <w:style w:type="paragraph" w:styleId="KestrelTableHead">
    <w:name w:val="Kestrel Table Heading"/>
    <w:basedOn w:val="Normal"/>
    <w:qFormat/>
    <w:pPr>
      <w:spacing w:after="0"/>
    </w:pPr>
    <w:rPr>
      <w:b/>
      <w:sz w:val="16"/>
      <w:szCs w:val="16"/>
    </w:rPr>
  </w:style>
  <w:style w:type="paragraph" w:styleId="KestrelTableCell">
    <w:name w:val="Kestrel Table Cell"/>
    <w:basedOn w:val="Normal"/>
    <w:qFormat/>
    <w:pPr>
      <w:spacing w:after="0"/>
    </w:pPr>
    <w:rPr>
      <w:sz w:val="16"/>
      <w:szCs w:val="16"/>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ptw_g1</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PTW-STD-002 - Permit to Work Form Set</dc:title>
  <dc:subject>Marrindal Concentrator and Hydrocarbon Transfer Facility; revision 002; effective 2010-06-10</dc:subject>
  <dc:creator>H. Larkin (kestrel:larkin.h)</dc:creator>
  <cp:lastModifiedBy>H. Larkin (kestrel:larkin.h)</cp:lastModifiedBy>
  <cp:revision>002</cp:revision>
  <dcterms:created xsi:type="dcterms:W3CDTF">2010-06-10T00:00:00Z</dcterms:created>
  <dcterms:modified xsi:type="dcterms:W3CDTF">2010-06-10T00:00:00Z</dcterms:modified>
  <cp:category>Kestrel controlled document (PTW)</cp:category>
  <cp:contentStatus>Issued</cp:contentStatus>
</cp:coreProperties>
</file>