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Marrindal Concentrator and Hydrocarbon Transfer Facility</w:t>
            </w:r>
          </w:p>
        </w:tc>
        <w:tc>
          <w:tcPr>
            <w:tcW w:w="3663" w:type="dxa"/>
            <w:shd w:val="clear" w:color="auto" w:fill="EDF1F6"/>
          </w:tcPr>
          <w:p>
            <w:pPr>
              <w:pStyle w:val="KestrelMeta"/>
              <w:jc w:val="right"/>
            </w:pPr>
            <w:r>
              <w:rPr>
                <w:b/>
              </w:rPr>
              <w:t xml:space="preserve">PERMIT TO WORK FORM SET</w:t>
            </w:r>
          </w:p>
          <w:p>
            <w:pPr>
              <w:pStyle w:val="KestrelMeta"/>
              <w:jc w:val="right"/>
            </w:pPr>
            <w:r>
              <w:t xml:space="preserve">Document </w:t>
            </w:r>
            <w:r>
              <w:t xml:space="preserve">PTW-STD-002</w:t>
            </w:r>
          </w:p>
          <w:p>
            <w:pPr>
              <w:pStyle w:val="KestrelMeta"/>
              <w:jc w:val="right"/>
            </w:pPr>
            <w:r>
              <w:t xml:space="preserve">Revision </w:t>
            </w:r>
            <w:r>
              <w:t xml:space="preserve">006</w:t>
            </w:r>
            <w:r>
              <w:t xml:space="preserve">  ·  Effective </w:t>
            </w:r>
            <w:r>
              <w:t xml:space="preserve">2025-08-26</w:t>
            </w:r>
          </w:p>
        </w:tc>
      </w:tr>
    </w:tbl>
    <w:p>
      <w:pPr>
        <w:pStyle w:val="KestrelMeta"/>
      </w:pPr>
    </w:p>
    <w:p>
      <w:pPr>
        <w:pStyle w:val="KestrelTitle"/>
        <w:pBdr>
          <w:bottom w:val="single" w:sz="12" w:space="4" w:color="404040"/>
        </w:pBdr>
      </w:pPr>
      <w:r>
        <w:t xml:space="preserve">Permit to Work Form Set</w:t>
      </w:r>
    </w:p>
    <w:p>
      <w:pPr>
        <w:pStyle w:val="KestrelSubtitle"/>
      </w:pPr>
      <w:r>
        <w:t xml:space="preserve">PTW-STD-002</w:t>
      </w:r>
      <w:r>
        <w:t xml:space="preserve">  ·  revision </w:t>
      </w:r>
      <w:r>
        <w:t xml:space="preserve">006</w:t>
      </w:r>
      <w:r>
        <w:t xml:space="preserve">  ·  effective </w:t>
      </w:r>
      <w:r>
        <w:t xml:space="preserve">26 August 2025</w:t>
      </w:r>
      <w:r>
        <w:t xml:space="preserve">  ·  </w:t>
      </w:r>
      <w:r>
        <w:t xml:space="preserve">Marrindal</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867" w:type="dxa"/>
          </w:tcPr>
          <w:p>
            <w:pPr>
              <w:pStyle w:val="KestrelTableCell"/>
            </w:pPr>
            <w:r>
              <w:t xml:space="preserve">001</w:t>
            </w:r>
          </w:p>
        </w:tc>
        <w:tc>
          <w:tcPr>
            <w:tcW w:w="1638" w:type="dxa"/>
          </w:tcPr>
          <w:p>
            <w:pPr>
              <w:pStyle w:val="KestrelTableCell"/>
            </w:pPr>
            <w:r>
              <w:t xml:space="preserve">8 March 2004</w:t>
            </w:r>
          </w:p>
        </w:tc>
        <w:tc>
          <w:tcPr>
            <w:tcW w:w="1638" w:type="dxa"/>
          </w:tcPr>
          <w:p>
            <w:pPr>
              <w:pStyle w:val="KestrelTableCell"/>
            </w:pPr>
            <w:r>
              <w:t xml:space="preserve">Clause introduced</w:t>
            </w:r>
          </w:p>
        </w:tc>
        <w:tc>
          <w:tcPr>
            <w:tcW w:w="3566" w:type="dxa"/>
          </w:tcPr>
          <w:p>
            <w:pPr>
              <w:pStyle w:val="KestrelTableCell"/>
            </w:pPr>
            <w:r>
              <w:t xml:space="preserve">Issued at scheduled review; 11 clause(s) revised.</w:t>
            </w:r>
          </w:p>
        </w:tc>
        <w:tc>
          <w:tcPr>
            <w:tcW w:w="1929" w:type="dxa"/>
          </w:tcPr>
          <w:p>
            <w:pPr>
              <w:pStyle w:val="KestrelTableCell"/>
            </w:pPr>
            <w:r>
              <w:t xml:space="preserve">M. Rasmussen (kestrel:rasmussen.m)</w:t>
            </w:r>
          </w:p>
        </w:tc>
      </w:tr>
      <w:tr>
        <w:tc>
          <w:tcPr>
            <w:tcW w:w="867" w:type="dxa"/>
          </w:tcPr>
          <w:p>
            <w:pPr>
              <w:pStyle w:val="KestrelTableCell"/>
            </w:pPr>
            <w:r>
              <w:t xml:space="preserve">002</w:t>
            </w:r>
          </w:p>
        </w:tc>
        <w:tc>
          <w:tcPr>
            <w:tcW w:w="1638" w:type="dxa"/>
          </w:tcPr>
          <w:p>
            <w:pPr>
              <w:pStyle w:val="KestrelTableCell"/>
            </w:pPr>
            <w:r>
              <w:t xml:space="preserve">10 June 2010</w:t>
            </w:r>
          </w:p>
        </w:tc>
        <w:tc>
          <w:tcPr>
            <w:tcW w:w="1638" w:type="dxa"/>
          </w:tcPr>
          <w:p>
            <w:pPr>
              <w:pStyle w:val="KestrelTableCell"/>
            </w:pPr>
            <w:r>
              <w:t xml:space="preserve">Control strengthened</w:t>
            </w:r>
          </w:p>
        </w:tc>
        <w:tc>
          <w:tcPr>
            <w:tcW w:w="3566" w:type="dxa"/>
          </w:tcPr>
          <w:p>
            <w:pPr>
              <w:pStyle w:val="KestrelTableCell"/>
            </w:pPr>
            <w:r>
              <w:t xml:space="preserve">Issued following INC-2009-006, INC-2010-002.</w:t>
            </w:r>
          </w:p>
        </w:tc>
        <w:tc>
          <w:tcPr>
            <w:tcW w:w="1929" w:type="dxa"/>
          </w:tcPr>
          <w:p>
            <w:pPr>
              <w:pStyle w:val="KestrelTableCell"/>
            </w:pPr>
            <w:r>
              <w:t xml:space="preserve">H. Larkin (kestrel:larkin.h)</w:t>
            </w:r>
          </w:p>
        </w:tc>
      </w:tr>
      <w:tr>
        <w:tc>
          <w:tcPr>
            <w:tcW w:w="867" w:type="dxa"/>
          </w:tcPr>
          <w:p>
            <w:pPr>
              <w:pStyle w:val="KestrelTableCell"/>
            </w:pPr>
            <w:r>
              <w:t xml:space="preserve">003</w:t>
            </w:r>
          </w:p>
        </w:tc>
        <w:tc>
          <w:tcPr>
            <w:tcW w:w="1638" w:type="dxa"/>
          </w:tcPr>
          <w:p>
            <w:pPr>
              <w:pStyle w:val="KestrelTableCell"/>
            </w:pPr>
            <w:r>
              <w:t xml:space="preserve">21 November 2016</w:t>
            </w:r>
          </w:p>
        </w:tc>
        <w:tc>
          <w:tcPr>
            <w:tcW w:w="1638" w:type="dxa"/>
          </w:tcPr>
          <w:p>
            <w:pPr>
              <w:pStyle w:val="KestrelTableCell"/>
            </w:pPr>
            <w:r>
              <w:t xml:space="preserve">Clause introduced</w:t>
            </w:r>
          </w:p>
        </w:tc>
        <w:tc>
          <w:tcPr>
            <w:tcW w:w="3566" w:type="dxa"/>
          </w:tcPr>
          <w:p>
            <w:pPr>
              <w:pStyle w:val="KestrelTableCell"/>
            </w:pPr>
            <w:r>
              <w:t xml:space="preserve">Full retypeset to the 2016 house standard. Clause identity is unchanged; printed labels and clause ordering are revised throughout.</w:t>
            </w:r>
          </w:p>
        </w:tc>
        <w:tc>
          <w:tcPr>
            <w:tcW w:w="1929" w:type="dxa"/>
          </w:tcPr>
          <w:p>
            <w:pPr>
              <w:pStyle w:val="KestrelTableCell"/>
            </w:pPr>
            <w:r>
              <w:t xml:space="preserve">K. Mustafa (kestrel:mustafa.k)</w:t>
            </w:r>
          </w:p>
        </w:tc>
      </w:tr>
      <w:tr>
        <w:tc>
          <w:tcPr>
            <w:tcW w:w="867" w:type="dxa"/>
          </w:tcPr>
          <w:p>
            <w:pPr>
              <w:pStyle w:val="KestrelTableCell"/>
            </w:pPr>
            <w:r>
              <w:t xml:space="preserve">004</w:t>
            </w:r>
          </w:p>
        </w:tc>
        <w:tc>
          <w:tcPr>
            <w:tcW w:w="1638" w:type="dxa"/>
          </w:tcPr>
          <w:p>
            <w:pPr>
              <w:pStyle w:val="KestrelTableCell"/>
            </w:pPr>
            <w:r>
              <w:t xml:space="preserve">13 January 2017</w:t>
            </w:r>
          </w:p>
        </w:tc>
        <w:tc>
          <w:tcPr>
            <w:tcW w:w="1638" w:type="dxa"/>
          </w:tcPr>
          <w:p>
            <w:pPr>
              <w:pStyle w:val="KestrelTableCell"/>
            </w:pPr>
            <w:r>
              <w:t xml:space="preserve">Control strengthened</w:t>
            </w:r>
          </w:p>
        </w:tc>
        <w:tc>
          <w:tcPr>
            <w:tcW w:w="3566" w:type="dxa"/>
          </w:tcPr>
          <w:p>
            <w:pPr>
              <w:pStyle w:val="KestrelTableCell"/>
            </w:pPr>
            <w:r>
              <w:t xml:space="preserve">Issued following INC-2016-009.</w:t>
            </w:r>
          </w:p>
        </w:tc>
        <w:tc>
          <w:tcPr>
            <w:tcW w:w="1929" w:type="dxa"/>
          </w:tcPr>
          <w:p>
            <w:pPr>
              <w:pStyle w:val="KestrelTableCell"/>
            </w:pPr>
            <w:r>
              <w:t xml:space="preserve">P. Vercelli (kestrel:vercelli.p)</w:t>
            </w:r>
          </w:p>
        </w:tc>
      </w:tr>
      <w:tr>
        <w:tc>
          <w:tcPr>
            <w:tcW w:w="867" w:type="dxa"/>
          </w:tcPr>
          <w:p>
            <w:pPr>
              <w:pStyle w:val="KestrelTableCell"/>
            </w:pPr>
            <w:r>
              <w:t xml:space="preserve">005</w:t>
            </w:r>
          </w:p>
        </w:tc>
        <w:tc>
          <w:tcPr>
            <w:tcW w:w="1638" w:type="dxa"/>
          </w:tcPr>
          <w:p>
            <w:pPr>
              <w:pStyle w:val="KestrelTableCell"/>
            </w:pPr>
            <w:r>
              <w:t xml:space="preserve">26 October 2020</w:t>
            </w:r>
          </w:p>
        </w:tc>
        <w:tc>
          <w:tcPr>
            <w:tcW w:w="1638" w:type="dxa"/>
          </w:tcPr>
          <w:p>
            <w:pPr>
              <w:pStyle w:val="KestrelTableCell"/>
            </w:pPr>
            <w:r>
              <w:t xml:space="preserve">Clause introduced</w:t>
            </w:r>
          </w:p>
        </w:tc>
        <w:tc>
          <w:tcPr>
            <w:tcW w:w="3566" w:type="dxa"/>
          </w:tcPr>
          <w:p>
            <w:pPr>
              <w:pStyle w:val="KestrelTableCell"/>
            </w:pPr>
            <w:r>
              <w:t xml:space="preserve">Issued at scheduled review; 3 clause(s) revised.</w:t>
            </w:r>
          </w:p>
        </w:tc>
        <w:tc>
          <w:tcPr>
            <w:tcW w:w="1929" w:type="dxa"/>
          </w:tcPr>
          <w:p>
            <w:pPr>
              <w:pStyle w:val="KestrelTableCell"/>
            </w:pPr>
            <w:r>
              <w:t xml:space="preserve">P. Vercelli (kestrel:vercelli.p)</w:t>
            </w:r>
          </w:p>
        </w:tc>
      </w:tr>
      <w:tr>
        <w:tc>
          <w:tcPr>
            <w:tcW w:w="867" w:type="dxa"/>
          </w:tcPr>
          <w:p>
            <w:pPr>
              <w:pStyle w:val="KestrelTableCell"/>
            </w:pPr>
            <w:r>
              <w:t xml:space="preserve">006</w:t>
            </w:r>
          </w:p>
        </w:tc>
        <w:tc>
          <w:tcPr>
            <w:tcW w:w="1638" w:type="dxa"/>
          </w:tcPr>
          <w:p>
            <w:pPr>
              <w:pStyle w:val="KestrelTableCell"/>
            </w:pPr>
            <w:r>
              <w:t xml:space="preserve">26 August 2025</w:t>
            </w:r>
          </w:p>
        </w:tc>
        <w:tc>
          <w:tcPr>
            <w:tcW w:w="1638" w:type="dxa"/>
          </w:tcPr>
          <w:p>
            <w:pPr>
              <w:pStyle w:val="KestrelTableCell"/>
            </w:pPr>
            <w:r>
              <w:t xml:space="preserve">Control strengthened</w:t>
            </w:r>
          </w:p>
        </w:tc>
        <w:tc>
          <w:tcPr>
            <w:tcW w:w="3566" w:type="dxa"/>
          </w:tcPr>
          <w:p>
            <w:pPr>
              <w:pStyle w:val="KestrelTableCell"/>
            </w:pPr>
            <w:r>
              <w:t xml:space="preserve">Issued following investigation of NM-2024-0019, NM-2025-0007.</w:t>
            </w:r>
          </w:p>
        </w:tc>
        <w:tc>
          <w:tcPr>
            <w:tcW w:w="1929" w:type="dxa"/>
          </w:tcPr>
          <w:p>
            <w:pPr>
              <w:pStyle w:val="KestrelTableCell"/>
            </w:pPr>
            <w:r>
              <w:t xml:space="preserve">M. Vasquez (kestrel:vasquez.m)</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2891" w:type="dxa"/>
          </w:tcPr>
          <w:p>
            <w:pPr>
              <w:pStyle w:val="KestrelTableHead"/>
            </w:pPr>
            <w:r>
              <w:t xml:space="preserve">Document</w:t>
            </w:r>
          </w:p>
        </w:tc>
        <w:tc>
          <w:tcPr>
            <w:tcW w:w="6747" w:type="dxa"/>
          </w:tcPr>
          <w:p>
            <w:pPr>
              <w:pStyle w:val="KestrelTableCell"/>
            </w:pPr>
            <w:r>
              <w:t xml:space="preserve">PTW-STD-002</w:t>
            </w:r>
          </w:p>
        </w:tc>
      </w:tr>
      <w:tr>
        <w:tc>
          <w:tcPr>
            <w:tcW w:w="2891" w:type="dxa"/>
          </w:tcPr>
          <w:p>
            <w:pPr>
              <w:pStyle w:val="KestrelTableHead"/>
            </w:pPr>
            <w:r>
              <w:t xml:space="preserve">Revision</w:t>
            </w:r>
          </w:p>
        </w:tc>
        <w:tc>
          <w:tcPr>
            <w:tcW w:w="6747" w:type="dxa"/>
          </w:tcPr>
          <w:p>
            <w:pPr>
              <w:pStyle w:val="KestrelTableCell"/>
            </w:pPr>
            <w:r>
              <w:t xml:space="preserve">006</w:t>
            </w:r>
          </w:p>
        </w:tc>
      </w:tr>
      <w:tr>
        <w:tc>
          <w:tcPr>
            <w:tcW w:w="2891" w:type="dxa"/>
          </w:tcPr>
          <w:p>
            <w:pPr>
              <w:pStyle w:val="KestrelTableHead"/>
            </w:pPr>
            <w:r>
              <w:t xml:space="preserve">Effective</w:t>
            </w:r>
          </w:p>
        </w:tc>
        <w:tc>
          <w:tcPr>
            <w:tcW w:w="6747" w:type="dxa"/>
          </w:tcPr>
          <w:p>
            <w:pPr>
              <w:pStyle w:val="KestrelTableCell"/>
            </w:pPr>
            <w:r>
              <w:t xml:space="preserve">26 August 2025</w:t>
            </w:r>
          </w:p>
        </w:tc>
      </w:tr>
      <w:tr>
        <w:tc>
          <w:tcPr>
            <w:tcW w:w="2891" w:type="dxa"/>
          </w:tcPr>
          <w:p>
            <w:pPr>
              <w:pStyle w:val="KestrelTableHead"/>
            </w:pPr>
            <w:r>
              <w:t xml:space="preserve">Site</w:t>
            </w:r>
          </w:p>
        </w:tc>
        <w:tc>
          <w:tcPr>
            <w:tcW w:w="6747" w:type="dxa"/>
          </w:tcPr>
          <w:p>
            <w:pPr>
              <w:pStyle w:val="KestrelTableCell"/>
            </w:pPr>
            <w:r>
              <w:t xml:space="preserve">Marrindal (MRD)</w:t>
            </w:r>
          </w:p>
        </w:tc>
      </w:tr>
      <w:tr>
        <w:tc>
          <w:tcPr>
            <w:tcW w:w="2891" w:type="dxa"/>
          </w:tcPr>
          <w:p>
            <w:pPr>
              <w:pStyle w:val="KestrelTableHead"/>
            </w:pPr>
            <w:r>
              <w:t xml:space="preserve">Form set governs</w:t>
            </w:r>
          </w:p>
        </w:tc>
        <w:tc>
          <w:tcPr>
            <w:tcW w:w="6747" w:type="dxa"/>
          </w:tcPr>
          <w:p>
            <w:pPr>
              <w:pStyle w:val="KestrelTableCell"/>
            </w:pPr>
            <w:r>
              <w:t xml:space="preserve">Isolation of stored energy</w:t>
            </w:r>
          </w:p>
        </w:tc>
      </w:tr>
      <w:tr>
        <w:tc>
          <w:tcPr>
            <w:tcW w:w="2891" w:type="dxa"/>
          </w:tcPr>
          <w:p>
            <w:pPr>
              <w:pStyle w:val="KestrelTableHead"/>
            </w:pPr>
            <w:r>
              <w:t xml:space="preserve">Authorising role</w:t>
            </w:r>
          </w:p>
        </w:tc>
        <w:tc>
          <w:tcPr>
            <w:tcW w:w="6747" w:type="dxa"/>
          </w:tcPr>
          <w:p>
            <w:pPr>
              <w:pStyle w:val="KestrelTableCell"/>
            </w:pPr>
            <w:r>
              <w:t xml:space="preserve">Permit issuer, as appointed under the site standard</w:t>
            </w:r>
          </w:p>
        </w:tc>
      </w:tr>
      <w:tr>
        <w:tc>
          <w:tcPr>
            <w:tcW w:w="2891" w:type="dxa"/>
          </w:tcPr>
          <w:p>
            <w:pPr>
              <w:pStyle w:val="KestrelTableHead"/>
            </w:pPr>
            <w:r>
              <w:t xml:space="preserve">Owner</w:t>
            </w:r>
          </w:p>
        </w:tc>
        <w:tc>
          <w:tcPr>
            <w:tcW w:w="6747" w:type="dxa"/>
          </w:tcPr>
          <w:p>
            <w:pPr>
              <w:pStyle w:val="KestrelTableCell"/>
            </w:pPr>
            <w:r>
              <w:t xml:space="preserve">M. Rasmussen (kestrel:rasmussen.m)</w:t>
            </w:r>
          </w:p>
        </w:tc>
      </w:tr>
      <w:tr>
        <w:tc>
          <w:tcPr>
            <w:tcW w:w="2891" w:type="dxa"/>
          </w:tcPr>
          <w:p>
            <w:pPr>
              <w:pStyle w:val="KestrelTableHead"/>
            </w:pPr>
            <w:r>
              <w:t xml:space="preserve">Approved by</w:t>
            </w:r>
          </w:p>
        </w:tc>
        <w:tc>
          <w:tcPr>
            <w:tcW w:w="6747" w:type="dxa"/>
          </w:tcPr>
          <w:p>
            <w:pPr>
              <w:pStyle w:val="KestrelTableCell"/>
            </w:pPr>
            <w:r>
              <w:t xml:space="preserve">M. Vasquez (kestrel:vasquez.m)</w:t>
            </w:r>
          </w:p>
        </w:tc>
      </w:tr>
      <w:tr>
        <w:tc>
          <w:tcPr>
            <w:tcW w:w="2891" w:type="dxa"/>
          </w:tcPr>
          <w:p>
            <w:pPr>
              <w:pStyle w:val="KestrelTableHead"/>
            </w:pPr>
            <w:r>
              <w:t xml:space="preserve">Classification</w:t>
            </w:r>
          </w:p>
        </w:tc>
        <w:tc>
          <w:tcPr>
            <w:tcW w:w="6747"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form set governs the raising, authorisation and closure of permits for work affecting Isolation of stored energy at Marrindal Concentrator and Hydrocarbon Transfer Facility.</w:t>
      </w:r>
    </w:p>
    <w:p>
      <w:pPr>
        <w:pStyle w:val="KestrelHeading"/>
      </w:pPr>
      <w:r>
        <w:t xml:space="preserve">2  Application of this form set</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3084" w:type="dxa"/>
          </w:tcPr>
          <w:p>
            <w:pPr>
              <w:pStyle w:val="KestrelTableHead"/>
            </w:pPr>
            <w:r>
              <w:t xml:space="preserve">material unwanted event control</w:t>
            </w:r>
          </w:p>
        </w:tc>
        <w:tc>
          <w:tcPr>
            <w:tcW w:w="6554" w:type="dxa"/>
          </w:tcPr>
          <w:p>
            <w:pPr>
              <w:pStyle w:val="KestrelTableCell"/>
            </w:pPr>
            <w:r>
              <w:t xml:space="preserve">As used in this revision. Revisions issued before 2010 refer to the same control as 'key safeguard'.</w:t>
            </w:r>
          </w:p>
        </w:tc>
      </w:tr>
      <w:tr>
        <w:tc>
          <w:tcPr>
            <w:tcW w:w="3084" w:type="dxa"/>
          </w:tcPr>
          <w:p>
            <w:pPr>
              <w:pStyle w:val="KestrelTableHead"/>
            </w:pPr>
            <w:r>
              <w:t xml:space="preserve">dropped object exposure control</w:t>
            </w:r>
          </w:p>
        </w:tc>
        <w:tc>
          <w:tcPr>
            <w:tcW w:w="6554" w:type="dxa"/>
          </w:tcPr>
          <w:p>
            <w:pPr>
              <w:pStyle w:val="KestrelTableCell"/>
            </w:pPr>
            <w:r>
              <w:t xml:space="preserve">As used in this revision. Revisions issued before 2010 refer to the same control as 'falling object'.</w:t>
            </w:r>
          </w:p>
        </w:tc>
      </w:tr>
      <w:tr>
        <w:tc>
          <w:tcPr>
            <w:tcW w:w="3084" w:type="dxa"/>
          </w:tcPr>
          <w:p>
            <w:pPr>
              <w:pStyle w:val="KestrelTableHead"/>
            </w:pPr>
            <w:r>
              <w:t xml:space="preserve">positive isolation verification</w:t>
            </w:r>
          </w:p>
        </w:tc>
        <w:tc>
          <w:tcPr>
            <w:tcW w:w="6554" w:type="dxa"/>
          </w:tcPr>
          <w:p>
            <w:pPr>
              <w:pStyle w:val="KestrelTableCell"/>
            </w:pPr>
            <w:r>
              <w:t xml:space="preserve">As used in this revision. Revisions issued before 2010 refer to the same control as 'danger tagging'.</w:t>
            </w:r>
          </w:p>
        </w:tc>
      </w:tr>
    </w:tbl>
    <w:p>
      <w:pPr>
        <w:pStyle w:val="KestrelMeta"/>
      </w:pPr>
    </w:p>
    <w:p>
      <w:pPr>
        <w:pStyle w:val="KestrelHeading"/>
      </w:pPr>
      <w:r>
        <w:t xml:space="preserve">4  Requirements</w:t>
      </w:r>
    </w:p>
    <w:p>
      <w:pPr>
        <w:pStyle w:val="KestrelHeading"/>
      </w:pPr>
      <w:r>
        <w:t xml:space="preserve">CHAPTER </w:t>
      </w:r>
      <w:r>
        <w:t xml:space="preserve">1</w:t>
      </w:r>
      <w:r>
        <w:t xml:space="preserve">  -  </w:t>
      </w:r>
      <w:r>
        <w:t xml:space="preserve">identification of every energy source for the task</w:t>
      </w:r>
    </w:p>
    <w:p>
      <w:pPr>
        <w:pStyle w:val="KestrelSubheading"/>
      </w:pPr>
      <w:r>
        <w:t xml:space="preserve">Preventive controls</w:t>
      </w:r>
    </w:p>
    <w:p>
      <w:pPr>
        <w:pStyle w:val="KestrelClause"/>
      </w:pPr>
      <w:r>
        <w:rPr>
          <w:b/>
        </w:rPr>
        <w:t xml:space="preserve">1.1.1</w:t>
      </w:r>
      <w:r>
        <w:tab/>
      </w:r>
      <w:r>
        <w:t xml:space="preserve">No person shall commence the task until the identification of every energy source for the task has been completed and confirmed by the person in charge of the work. In this revision the control is administered under the site's positive isolation verification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CHAPTER </w:t>
      </w:r>
      <w:r>
        <w:t xml:space="preserve">2</w:t>
      </w:r>
      <w:r>
        <w:t xml:space="preserve">  -  </w:t>
      </w:r>
      <w:r>
        <w:t xml:space="preserve">controlled removal of isolation and return to service</w:t>
      </w:r>
    </w:p>
    <w:p>
      <w:pPr>
        <w:pStyle w:val="KestrelSubheading"/>
      </w:pPr>
      <w:r>
        <w:t xml:space="preserve">Preventive controls</w:t>
      </w:r>
    </w:p>
    <w:p>
      <w:pPr>
        <w:pStyle w:val="KestrelClause"/>
      </w:pPr>
      <w:r>
        <w:rPr>
          <w:b/>
        </w:rPr>
        <w:t xml:space="preserve">2.1.1</w:t>
      </w:r>
      <w:r>
        <w:tab/>
      </w:r>
      <w:r>
        <w:t xml:space="preserve">The supervisor shall not authorise the task unless the controlled removal of isolation and return to service has been carried out for every energy source and every item of plant within the declared boundary. In this revision the control is administered under the site's positive isolation verification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Clause"/>
      </w:pPr>
      <w:r>
        <w:rPr>
          <w:b/>
        </w:rPr>
        <w:t xml:space="preserve">2.1.2</w:t>
      </w:r>
      <w:r>
        <w:tab/>
      </w:r>
      <w:r>
        <w:t xml:space="preserve">The supervisor shall not authorise the task unless the controlled removal of isolation and return to service has been carried out for every energy source and every item of plant within the declared boundary. In this revision the control is administered under the site's positive isolation verification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2.1.3</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positive isolation verification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2.1.4</w:t>
      </w:r>
      <w:r>
        <w:tab/>
      </w:r>
      <w:r>
        <w:t xml:space="preserve">No person shall commence the task until the controlled removal of isolation and return to service has been completed and confirmed by the person in charge of the work. In this revision the control is administered under the site's positive isolation verification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2.1.5</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positive isolation verification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2.1.6</w:t>
      </w:r>
      <w:r>
        <w:tab/>
      </w:r>
      <w:r>
        <w:t xml:space="preserve">No person shall commence the task until the controlled removal of isolation and return to service has been completed and confirmed by the person in charge of the work. In this revision the control is administered under the site's positive isolation verification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Heading"/>
      </w:pPr>
      <w:r>
        <w:t xml:space="preserve">CHAPTER </w:t>
      </w:r>
      <w:r>
        <w:t xml:space="preserve">3</w:t>
      </w:r>
      <w:r>
        <w:t xml:space="preserve">  -  </w:t>
      </w:r>
      <w:r>
        <w:t xml:space="preserve">mechanical support of a load during maintenance access</w:t>
      </w:r>
    </w:p>
    <w:p>
      <w:pPr>
        <w:pStyle w:val="KestrelSubheading"/>
      </w:pPr>
      <w:r>
        <w:t xml:space="preserve">Preventive controls</w:t>
      </w:r>
    </w:p>
    <w:p>
      <w:pPr>
        <w:pStyle w:val="KestrelClause"/>
      </w:pPr>
      <w:r>
        <w:rPr>
          <w:b/>
        </w:rPr>
        <w:t xml:space="preserve">3.1.1</w:t>
      </w:r>
      <w:r>
        <w:tab/>
      </w:r>
      <w:r>
        <w:t xml:space="preserve">No person shall commence the task until the mechanical support of a load during maintenance access has been completed and confirmed by the person in charge of the work. In this revision the control is administered under the site's dropped object exposure control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Heading"/>
      </w:pPr>
      <w:r>
        <w:t xml:space="preserve">CHAPTER </w:t>
      </w:r>
      <w:r>
        <w:t xml:space="preserve">2</w:t>
      </w:r>
      <w:r>
        <w:t xml:space="preserve">  -  </w:t>
      </w:r>
      <w:r>
        <w:t xml:space="preserve">controlled removal of isolation and return to service</w:t>
      </w:r>
    </w:p>
    <w:p>
      <w:pPr>
        <w:pStyle w:val="KestrelSubheading"/>
      </w:pPr>
      <w:r>
        <w:t xml:space="preserve">Preventive controls</w:t>
      </w:r>
    </w:p>
    <w:p>
      <w:pPr>
        <w:pStyle w:val="KestrelClause"/>
      </w:pPr>
      <w:r>
        <w:rPr>
          <w:b/>
        </w:rPr>
        <w:t xml:space="preserve">2.1.7</w:t>
      </w:r>
      <w:r>
        <w:tab/>
      </w:r>
      <w:r>
        <w:t xml:space="preserve">The controlled removal of isolation and return to service shall be established and confirmed in place before the task begins, and shall remain in place until the work is complete and the area has been handed back. In this revision the control is administered under the site's positive isolation verification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4024.1603 (safety of machinery — prevention of unexpected start-up)</w:t>
      </w:r>
    </w:p>
    <w:p>
      <w:pPr>
        <w:pStyle w:val="KestrelHeading"/>
      </w:pPr>
      <w:r>
        <w:t xml:space="preserve">CHAPTER </w:t>
      </w:r>
      <w:r>
        <w:t xml:space="preserve">3</w:t>
      </w:r>
      <w:r>
        <w:t xml:space="preserve">  -  </w:t>
      </w:r>
      <w:r>
        <w:t xml:space="preserve">mechanical support of a load during maintenance access</w:t>
      </w:r>
    </w:p>
    <w:p>
      <w:pPr>
        <w:pStyle w:val="KestrelSubheading"/>
      </w:pPr>
      <w:r>
        <w:t xml:space="preserve">Preventive controls</w:t>
      </w:r>
    </w:p>
    <w:p>
      <w:pPr>
        <w:pStyle w:val="KestrelClause"/>
      </w:pPr>
      <w:r>
        <w:rPr>
          <w:b/>
        </w:rPr>
        <w:t xml:space="preserve">3.1.2</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3.1.3</w:t>
      </w:r>
      <w:r>
        <w:tab/>
      </w:r>
      <w:r>
        <w:t xml:space="preserve">No person shall commence the task until the mechanical support of a load during maintenance access has been completed and confirmed by the person in charge of the work. In this revision the control is administered under the site's dropped object exposure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r.62 (duty in relation to plant with energy sources)</w:t>
      </w:r>
    </w:p>
    <w:p>
      <w:pPr>
        <w:pStyle w:val="KestrelClause"/>
      </w:pPr>
      <w:r>
        <w:rPr>
          <w:b/>
        </w:rPr>
        <w:t xml:space="preserve">3.1.4</w:t>
      </w:r>
      <w:r>
        <w:tab/>
      </w:r>
      <w:r>
        <w:t xml:space="preserve">The mechanical support of a load during maintenance access shall be applied in accordance with AS/NZS 4836 (safe working on or near low-voltage installations) and independently confirmed by a second competent person before work proceeds.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Clause"/>
      </w:pPr>
      <w:r>
        <w:rPr>
          <w:b/>
        </w:rPr>
        <w:t xml:space="preserve">3.1.5</w:t>
      </w:r>
      <w:r>
        <w:tab/>
      </w:r>
      <w:r>
        <w:t xml:space="preserve">The mechanical support of a load during maintenance access shall be applied in accordance with IEC 60204-1 (electrical equipment of machines — general requirements) and independently confirmed by a second competent person before work proceeds. In this revision the control is administered under the site's dropped object exposure control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3.1.6</w:t>
      </w:r>
      <w:r>
        <w:tab/>
      </w:r>
      <w:r>
        <w:t xml:space="preserve">The supervisor shall not authorise the task unless the mechanical support of a load during maintenance access has been carried out for every energy source and every item of plant within the declared boundary. In this revision the control is administered under the site's dropped object exposure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CHAPTER </w:t>
      </w:r>
      <w:r>
        <w:t xml:space="preserve">4</w:t>
      </w:r>
      <w:r>
        <w:t xml:space="preserve">  -  </w:t>
      </w:r>
      <w:r>
        <w:t xml:space="preserve">parking, chocking and restraint of equipment</w:t>
      </w:r>
    </w:p>
    <w:p>
      <w:pPr>
        <w:pStyle w:val="KestrelSubheading"/>
      </w:pPr>
      <w:r>
        <w:t xml:space="preserve">Preventive controls</w:t>
      </w:r>
    </w:p>
    <w:p>
      <w:pPr>
        <w:pStyle w:val="KestrelClause"/>
      </w:pPr>
      <w:r>
        <w:rPr>
          <w:b/>
        </w:rPr>
        <w:t xml:space="preserve">4.1.1</w:t>
      </w:r>
      <w:r>
        <w:tab/>
      </w:r>
      <w:r>
        <w:t xml:space="preserve">The supervisor shall not authorise the task unless the parking, chocking and restraint of equipment has been carried out for every energy source and every item of plant within the declared boundary. In this revision the control is administered under the site's material unwanted event control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IEC 60204-1 (electrical equipment of machines — general requirements)</w:t>
      </w:r>
    </w:p>
    <w:p>
      <w:pPr>
        <w:pStyle w:val="KestrelClause"/>
      </w:pPr>
      <w:r>
        <w:rPr>
          <w:b/>
        </w:rPr>
        <w:t xml:space="preserve">4.1.2</w:t>
      </w:r>
      <w:r>
        <w:tab/>
      </w:r>
      <w:r>
        <w:t xml:space="preserve">The parking, chocking and restraint of equipment shall be applied in accordance with AS/NZS 4836 (safe working on or near low-voltage installations) and independently confirmed by a second competent person before work proceeds. In this revision the control is administered under the site's material unwanted event control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4836 (safe working on or near low-voltage installations)</w:t>
      </w:r>
    </w:p>
    <w:p>
      <w:pPr>
        <w:pStyle w:val="KestrelHeading"/>
      </w:pPr>
      <w:r>
        <w:t xml:space="preserve">CHAPTER </w:t>
      </w:r>
      <w:r>
        <w:t xml:space="preserve">5</w:t>
      </w:r>
      <w:r>
        <w:t xml:space="preserve">  -  </w:t>
      </w:r>
      <w:r>
        <w:t xml:space="preserve">proving zero energy before intrusive work</w:t>
      </w:r>
    </w:p>
    <w:p>
      <w:pPr>
        <w:pStyle w:val="KestrelSubheading"/>
      </w:pPr>
      <w:r>
        <w:t xml:space="preserve">Preventive controls</w:t>
      </w:r>
    </w:p>
    <w:p>
      <w:pPr>
        <w:pStyle w:val="KestrelClause"/>
      </w:pPr>
      <w:r>
        <w:rPr>
          <w:b/>
        </w:rPr>
        <w:t xml:space="preserve">5.1.1</w:t>
      </w:r>
      <w:r>
        <w:tab/>
      </w:r>
      <w:r>
        <w:t xml:space="preserve">No person shall commence the task until the proving zero energy before intrusive work has been completed and confirmed by the person in charge of the work. In this revision the control is administered under the site's assurance activity arrangements. The completed record shall be retained on the PTW-STD-002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re-verification interval for a long-duration isolation: 24 hours. Any departure requires an approved change assurance before the change is made.</w:t>
      </w:r>
    </w:p>
    <w:p>
      <w:pPr>
        <w:pStyle w:val="KestrelMeta"/>
      </w:pPr>
      <w:r>
        <w:rPr>
          <w:i/>
        </w:rPr>
        <w:t xml:space="preserve">Reference: </w:t>
      </w:r>
      <w:r>
        <w:rPr>
          <w:i/>
        </w:rPr>
        <w:t xml:space="preserve">AS/NZS 4836 (safe working on or near low-voltage installations)</w:t>
      </w:r>
    </w:p>
    <w:p>
      <w:pPr>
        <w:pStyle w:val="KestrelClause"/>
      </w:pPr>
      <w:r>
        <w:rPr>
          <w:b/>
        </w:rPr>
        <w:t xml:space="preserve">5.1.2</w:t>
      </w:r>
      <w:r>
        <w:tab/>
      </w:r>
      <w:r>
        <w:t xml:space="preserve">The proving zero energy before intrusive work shall be established and confirmed in place before the task begins, and shall remain in place until the work is complete and the area has been handed back. In this revision the control is administered under the site's assurance activity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re-verification interval for a long-duration isolation: 8 hours. Any departure requires an approved change assurance before the change is made.</w:t>
      </w:r>
    </w:p>
    <w:p>
      <w:pPr>
        <w:pStyle w:val="KestrelMeta"/>
      </w:pPr>
      <w:r>
        <w:rPr>
          <w:i/>
        </w:rPr>
        <w:t xml:space="preserve">Reference: </w:t>
      </w:r>
      <w:r>
        <w:rPr>
          <w:i/>
        </w:rPr>
        <w:t xml:space="preserve">AS/NZS 4836 (safe working on or near low-voltage installations)</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ptw_g2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PTW-STD-002 - Permit to Work Form Set</dc:title>
  <dc:subject>Marrindal Concentrator and Hydrocarbon Transfer Facility; revision 006; effective 2025-08-26</dc:subject>
  <dc:creator>M. Vasquez (kestrel:vasquez.m)</dc:creator>
  <cp:lastModifiedBy>M. Vasquez (kestrel:vasquez.m)</cp:lastModifiedBy>
  <cp:revision>006</cp:revision>
  <dcterms:created xsi:type="dcterms:W3CDTF">2025-08-26T00:00:00Z</dcterms:created>
  <dcterms:modified xsi:type="dcterms:W3CDTF">2025-08-26T00:00:00Z</dcterms:modified>
  <cp:category>Kestrel controlled document (PTW)</cp:category>
  <cp:contentStatus>Issued</cp:contentStatus>
</cp:coreProperties>
</file>