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3"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799"/>
        <w:gridCol w:w="3555"/>
      </w:tblGrid>
      <w:tr>
        <w:tc>
          <w:tcPr>
            <w:tcW w:w="5799" w:type="dxa"/>
            <w:shd w:val="clear" w:color="auto" w:fill="FFFFFF"/>
          </w:tcPr>
          <w:p>
            <w:pPr>
              <w:spacing w:after="0"/>
            </w:pPr>
            <w:r>
              <w:rPr>
                <w:b/>
                <w:caps/>
                <w:color w:val="000000"/>
                <w:sz w:val="20"/>
                <w:szCs w:val="20"/>
              </w:rPr>
              <w:t xml:space="preserve">KESTREL RESOURCES PTY LTD</w:t>
            </w:r>
          </w:p>
          <w:p>
            <w:pPr>
              <w:pStyle w:val="KestrelMeta"/>
            </w:pPr>
            <w:r>
              <w:t xml:space="preserve">Marrindal Concentrator and Hydrocarbon Transfer Facility</w:t>
            </w:r>
          </w:p>
        </w:tc>
        <w:tc>
          <w:tcPr>
            <w:tcW w:w="3555" w:type="dxa"/>
            <w:shd w:val="clear" w:color="auto" w:fill="FFFFFF"/>
          </w:tcPr>
          <w:p>
            <w:pPr>
              <w:pStyle w:val="KestrelMeta"/>
              <w:jc w:val="right"/>
            </w:pPr>
            <w:r>
              <w:rPr>
                <w:b/>
              </w:rPr>
              <w:t xml:space="preserve">CORPORATE STANDARD</w:t>
            </w:r>
          </w:p>
          <w:p>
            <w:pPr>
              <w:pStyle w:val="KestrelMeta"/>
              <w:jc w:val="right"/>
            </w:pPr>
            <w:r>
              <w:t xml:space="preserve">Document </w:t>
            </w:r>
            <w:r>
              <w:t xml:space="preserve">STD-PTW-001</w:t>
            </w:r>
          </w:p>
          <w:p>
            <w:pPr>
              <w:pStyle w:val="KestrelMeta"/>
              <w:jc w:val="right"/>
            </w:pPr>
            <w:r>
              <w:t xml:space="preserve">Revision </w:t>
            </w:r>
            <w:r>
              <w:t xml:space="preserve">004</w:t>
            </w:r>
            <w:r>
              <w:t xml:space="preserve">  ·  Effective </w:t>
            </w:r>
            <w:r>
              <w:t xml:space="preserve">2014-11-07</w:t>
            </w:r>
          </w:p>
        </w:tc>
      </w:tr>
    </w:tbl>
    <w:p>
      <w:pPr>
        <w:pStyle w:val="KestrelMeta"/>
      </w:pPr>
    </w:p>
    <w:p>
      <w:pPr>
        <w:pStyle w:val="KestrelTitle"/>
        <w:pBdr>
          <w:bottom w:val="single" w:sz="12" w:space="4" w:color="404040"/>
        </w:pBdr>
      </w:pPr>
      <w:r>
        <w:t xml:space="preserve">Permit to Work</w:t>
      </w:r>
    </w:p>
    <w:p>
      <w:pPr>
        <w:pStyle w:val="KestrelSubtitle"/>
      </w:pPr>
      <w:r>
        <w:t xml:space="preserve">STD-PTW-001</w:t>
      </w:r>
      <w:r>
        <w:t xml:space="preserve">  ·  revision </w:t>
      </w:r>
      <w:r>
        <w:t xml:space="preserve">004</w:t>
      </w:r>
      <w:r>
        <w:t xml:space="preserve">  ·  effective </w:t>
      </w:r>
      <w:r>
        <w:t xml:space="preserve">7 November 2014</w:t>
      </w:r>
      <w:r>
        <w:t xml:space="preserve">  ·  </w:t>
      </w:r>
      <w:r>
        <w:t xml:space="preserve">Marrindal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806"/>
        <w:gridCol w:w="6548"/>
      </w:tblGrid>
      <w:tr>
        <w:trPr>
          <w:tblHeader/>
        </w:trPr>
        <w:tc>
          <w:tcPr>
            <w:tcW w:w="2806" w:type="dxa"/>
            <w:shd w:val="clear" w:color="auto" w:fill="FFFFFF"/>
          </w:tcPr>
          <w:p>
            <w:pPr>
              <w:pStyle w:val="KestrelTableHead"/>
            </w:pPr>
            <w:r>
              <w:t xml:space="preserve">Document control</w:t>
            </w:r>
          </w:p>
        </w:tc>
        <w:tc>
          <w:tcPr>
            <w:tcW w:w="6548" w:type="dxa"/>
            <w:shd w:val="clear" w:color="auto" w:fill="FFFFFF"/>
          </w:tcPr>
          <w:p>
            <w:pPr>
              <w:pStyle w:val="KestrelTableHead"/>
            </w:pPr>
            <w:r>
              <w:t xml:space="preserve"/>
            </w:r>
          </w:p>
        </w:tc>
      </w:tr>
      <w:tr>
        <w:tc>
          <w:tcPr>
            <w:tcW w:w="2806" w:type="dxa"/>
          </w:tcPr>
          <w:p>
            <w:pPr>
              <w:pStyle w:val="KestrelTableHead"/>
            </w:pPr>
            <w:r>
              <w:t xml:space="preserve">Document</w:t>
            </w:r>
          </w:p>
        </w:tc>
        <w:tc>
          <w:tcPr>
            <w:tcW w:w="6548" w:type="dxa"/>
          </w:tcPr>
          <w:p>
            <w:pPr>
              <w:pStyle w:val="KestrelTableCell"/>
            </w:pPr>
            <w:r>
              <w:t xml:space="preserve">STD-PTW-001</w:t>
            </w:r>
          </w:p>
        </w:tc>
      </w:tr>
      <w:tr>
        <w:tc>
          <w:tcPr>
            <w:tcW w:w="2806" w:type="dxa"/>
          </w:tcPr>
          <w:p>
            <w:pPr>
              <w:pStyle w:val="KestrelTableHead"/>
            </w:pPr>
            <w:r>
              <w:t xml:space="preserve">Revision</w:t>
            </w:r>
          </w:p>
        </w:tc>
        <w:tc>
          <w:tcPr>
            <w:tcW w:w="6548" w:type="dxa"/>
          </w:tcPr>
          <w:p>
            <w:pPr>
              <w:pStyle w:val="KestrelTableCell"/>
            </w:pPr>
            <w:r>
              <w:t xml:space="preserve">004</w:t>
            </w:r>
          </w:p>
        </w:tc>
      </w:tr>
      <w:tr>
        <w:tc>
          <w:tcPr>
            <w:tcW w:w="2806" w:type="dxa"/>
          </w:tcPr>
          <w:p>
            <w:pPr>
              <w:pStyle w:val="KestrelTableHead"/>
            </w:pPr>
            <w:r>
              <w:t xml:space="preserve">Effective</w:t>
            </w:r>
          </w:p>
        </w:tc>
        <w:tc>
          <w:tcPr>
            <w:tcW w:w="6548" w:type="dxa"/>
          </w:tcPr>
          <w:p>
            <w:pPr>
              <w:pStyle w:val="KestrelTableCell"/>
            </w:pPr>
            <w:r>
              <w:t xml:space="preserve">7 November 2014</w:t>
            </w:r>
          </w:p>
        </w:tc>
      </w:tr>
      <w:tr>
        <w:tc>
          <w:tcPr>
            <w:tcW w:w="2806" w:type="dxa"/>
          </w:tcPr>
          <w:p>
            <w:pPr>
              <w:pStyle w:val="KestrelTableHead"/>
            </w:pPr>
            <w:r>
              <w:t xml:space="preserve">Site</w:t>
            </w:r>
          </w:p>
        </w:tc>
        <w:tc>
          <w:tcPr>
            <w:tcW w:w="6548" w:type="dxa"/>
          </w:tcPr>
          <w:p>
            <w:pPr>
              <w:pStyle w:val="KestrelTableCell"/>
            </w:pPr>
            <w:r>
              <w:t xml:space="preserve">Marrindal (MRD)</w:t>
            </w:r>
          </w:p>
        </w:tc>
      </w:tr>
      <w:tr>
        <w:tc>
          <w:tcPr>
            <w:tcW w:w="2806" w:type="dxa"/>
          </w:tcPr>
          <w:p>
            <w:pPr>
              <w:pStyle w:val="KestrelTableHead"/>
            </w:pPr>
            <w:r>
              <w:t xml:space="preserve">Material unwanted event</w:t>
            </w:r>
          </w:p>
        </w:tc>
        <w:tc>
          <w:tcPr>
            <w:tcW w:w="6548" w:type="dxa"/>
          </w:tcPr>
          <w:p>
            <w:pPr>
              <w:pStyle w:val="KestrelTableCell"/>
            </w:pPr>
            <w:r>
              <w:t xml:space="preserve">Isolation of stored energy</w:t>
            </w:r>
          </w:p>
        </w:tc>
      </w:tr>
      <w:tr>
        <w:tc>
          <w:tcPr>
            <w:tcW w:w="2806" w:type="dxa"/>
          </w:tcPr>
          <w:p>
            <w:pPr>
              <w:pStyle w:val="KestrelTableHead"/>
            </w:pPr>
            <w:r>
              <w:t xml:space="preserve">Owner</w:t>
            </w:r>
          </w:p>
        </w:tc>
        <w:tc>
          <w:tcPr>
            <w:tcW w:w="6548" w:type="dxa"/>
          </w:tcPr>
          <w:p>
            <w:pPr>
              <w:pStyle w:val="KestrelTableCell"/>
            </w:pPr>
            <w:r>
              <w:t xml:space="preserve">H. Larkin (kestrel:larkin.h)</w:t>
            </w:r>
          </w:p>
        </w:tc>
      </w:tr>
      <w:tr>
        <w:tc>
          <w:tcPr>
            <w:tcW w:w="2806" w:type="dxa"/>
          </w:tcPr>
          <w:p>
            <w:pPr>
              <w:pStyle w:val="KestrelTableHead"/>
            </w:pPr>
            <w:r>
              <w:t xml:space="preserve">Approved by</w:t>
            </w:r>
          </w:p>
        </w:tc>
        <w:tc>
          <w:tcPr>
            <w:tcW w:w="6548" w:type="dxa"/>
          </w:tcPr>
          <w:p>
            <w:pPr>
              <w:pStyle w:val="KestrelTableCell"/>
            </w:pPr>
            <w:r>
              <w:t xml:space="preserve">K. Winterbourne (kestrel:winterbourne.k)</w:t>
            </w:r>
          </w:p>
        </w:tc>
      </w:tr>
      <w:tr>
        <w:tc>
          <w:tcPr>
            <w:tcW w:w="2806" w:type="dxa"/>
          </w:tcPr>
          <w:p>
            <w:pPr>
              <w:pStyle w:val="KestrelTableHead"/>
            </w:pPr>
            <w:r>
              <w:t xml:space="preserve">Custodian</w:t>
            </w:r>
          </w:p>
        </w:tc>
        <w:tc>
          <w:tcPr>
            <w:tcW w:w="6548" w:type="dxa"/>
          </w:tcPr>
          <w:p>
            <w:pPr>
              <w:pStyle w:val="KestrelTableCell"/>
            </w:pPr>
            <w:r>
              <w:t xml:space="preserve">Site document control, Marrindal</w:t>
            </w:r>
          </w:p>
        </w:tc>
      </w:tr>
      <w:tr>
        <w:tc>
          <w:tcPr>
            <w:tcW w:w="2806" w:type="dxa"/>
          </w:tcPr>
          <w:p>
            <w:pPr>
              <w:pStyle w:val="KestrelTableHead"/>
            </w:pPr>
            <w:r>
              <w:t xml:space="preserve">Classification</w:t>
            </w:r>
          </w:p>
        </w:tc>
        <w:tc>
          <w:tcPr>
            <w:tcW w:w="6548" w:type="dxa"/>
          </w:tcPr>
          <w:p>
            <w:pPr>
              <w:pStyle w:val="KestrelTableCell"/>
            </w:pPr>
            <w:r>
              <w:t xml:space="preserve">Controlled document - uncontrolled when printed</w:t>
            </w:r>
          </w:p>
        </w:tc>
      </w:tr>
    </w:tbl>
    <w:p>
      <w:pPr>
        <w:pStyle w:val="KestrelMeta"/>
      </w:pPr>
    </w:p>
    <w:p>
      <w:pPr>
        <w:pStyle w:val="KestrelHeading"/>
      </w:pPr>
      <w:r>
        <w:t xml:space="preserve">1  Purpose</w:t>
      </w:r>
    </w:p>
    <w:p>
      <w:r>
        <w:t xml:space="preserve">This standard states the minimum controls that apply to Isolation of stored energy at Marrindal Concentrator and Hydrocarbon Transfer Facility. Procedures and permits that govern the work shall not reduce a control stated here.</w:t>
      </w:r>
    </w:p>
    <w:p>
      <w:pPr>
        <w:pStyle w:val="KestrelHeading"/>
      </w:pPr>
      <w:r>
        <w:t xml:space="preserve">2  Application</w:t>
      </w:r>
    </w:p>
    <w:p>
      <w:r>
        <w:t xml:space="preserve">This document applies to the plant and equipment listed in the register maintained for Marrindal Concentrator and Hydrocarbon Transfer Facility. Where a clause states a setpoint, that setpoint is a control requirement and not a guideline; where a clause requires a record, the record is part of the control.</w:t>
      </w:r>
    </w:p>
    <w:p>
      <w:pPr>
        <w:pStyle w:val="KestrelHeading"/>
      </w:pPr>
      <w:r>
        <w:t xml:space="preserve">3  Terms used in this revision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993"/>
        <w:gridCol w:w="6361"/>
      </w:tblGrid>
      <w:tr>
        <w:trPr>
          <w:tblHeader/>
        </w:trPr>
        <w:tc>
          <w:tcPr>
            <w:tcW w:w="2993" w:type="dxa"/>
            <w:shd w:val="clear" w:color="auto" w:fill="FFFFFF"/>
          </w:tcPr>
          <w:p>
            <w:pPr>
              <w:pStyle w:val="KestrelTableHead"/>
            </w:pPr>
            <w:r>
              <w:t xml:space="preserve">Term</w:t>
            </w:r>
          </w:p>
        </w:tc>
        <w:tc>
          <w:tcPr>
            <w:tcW w:w="6361" w:type="dxa"/>
            <w:shd w:val="clear" w:color="auto" w:fill="FFFFFF"/>
          </w:tcPr>
          <w:p>
            <w:pPr>
              <w:pStyle w:val="KestrelTableHead"/>
            </w:pPr>
            <w:r>
              <w:t xml:space="preserve">Meaning in this revision</w:t>
            </w:r>
          </w:p>
        </w:tc>
      </w:tr>
      <w:tr>
        <w:tc>
          <w:tcPr>
            <w:tcW w:w="2993" w:type="dxa"/>
          </w:tcPr>
          <w:p>
            <w:pPr>
              <w:pStyle w:val="KestrelTableHead"/>
            </w:pPr>
            <w:r>
              <w:t xml:space="preserve">critical safeguard</w:t>
            </w:r>
          </w:p>
        </w:tc>
        <w:tc>
          <w:tcPr>
            <w:tcW w:w="6361" w:type="dxa"/>
          </w:tcPr>
          <w:p>
            <w:pPr>
              <w:pStyle w:val="KestrelTableCell"/>
            </w:pPr>
            <w:r>
              <w:t xml:space="preserve">As used in this revision. Revisions issued before 2010 refer to the same control as 'key safeguard'.</w:t>
            </w:r>
          </w:p>
        </w:tc>
      </w:tr>
      <w:tr>
        <w:tc>
          <w:tcPr>
            <w:tcW w:w="2993" w:type="dxa"/>
          </w:tcPr>
          <w:p>
            <w:pPr>
              <w:pStyle w:val="KestrelTableHead"/>
            </w:pPr>
            <w:r>
              <w:t xml:space="preserve">dropped object</w:t>
            </w:r>
          </w:p>
        </w:tc>
        <w:tc>
          <w:tcPr>
            <w:tcW w:w="6361" w:type="dxa"/>
          </w:tcPr>
          <w:p>
            <w:pPr>
              <w:pStyle w:val="KestrelTableCell"/>
            </w:pPr>
            <w:r>
              <w:t xml:space="preserve">As used in this revision. Revisions issued before 2010 refer to the same control as 'falling object'.</w:t>
            </w:r>
          </w:p>
        </w:tc>
      </w:tr>
      <w:tr>
        <w:tc>
          <w:tcPr>
            <w:tcW w:w="2993" w:type="dxa"/>
          </w:tcPr>
          <w:p>
            <w:pPr>
              <w:pStyle w:val="KestrelTableHead"/>
            </w:pPr>
            <w:r>
              <w:t xml:space="preserve">lock out tag out</w:t>
            </w:r>
          </w:p>
        </w:tc>
        <w:tc>
          <w:tcPr>
            <w:tcW w:w="6361" w:type="dxa"/>
          </w:tcPr>
          <w:p>
            <w:pPr>
              <w:pStyle w:val="KestrelTableCell"/>
            </w:pPr>
            <w:r>
              <w:t xml:space="preserve">As used in this revision. Revisions issued before 2010 refer to the same control as 'danger tagging'.</w:t>
            </w:r>
          </w:p>
        </w:tc>
      </w:tr>
    </w:tbl>
    <w:p>
      <w:pPr>
        <w:pStyle w:val="KestrelMeta"/>
      </w:pPr>
    </w:p>
    <w:p>
      <w:pPr>
        <w:pStyle w:val="KestrelHeading"/>
      </w:pPr>
      <w:r>
        <w:t xml:space="preserve">4  Required controls</w:t>
      </w:r>
    </w:p>
    <w:p>
      <w:pPr>
        <w:pStyle w:val="KestrelHeading"/>
      </w:pPr>
      <w:r>
        <w:t xml:space="preserve">SECTION </w:t>
      </w:r>
      <w:r>
        <w:t xml:space="preserve">1</w:t>
      </w:r>
      <w:r>
        <w:t xml:space="preserve">  -  </w:t>
      </w:r>
      <w:r>
        <w:t xml:space="preserve">Purpose and scope of the task</w:t>
      </w:r>
    </w:p>
    <w:p>
      <w:pPr>
        <w:pStyle w:val="KestrelClause"/>
      </w:pPr>
      <w:r>
        <w:rPr>
          <w:b/>
        </w:rPr>
        <w:t xml:space="preserve">1.2</w:t>
      </w:r>
      <w:r>
        <w:tab/>
      </w:r>
      <w:r>
        <w:t xml:space="preserve">The parking, chocking and restraint of equipment shall be established and confirmed in place before the task begins, and shall remain in place until the work is complete and the area has been handed back.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Clause"/>
      </w:pPr>
      <w:r>
        <w:rPr>
          <w:b/>
        </w:rPr>
        <w:t xml:space="preserve">1.1</w:t>
      </w:r>
      <w:r>
        <w:tab/>
      </w:r>
      <w:r>
        <w:t xml:space="preserve">The supervisor shall not authorise the task unless the controlled removal of isolation and return to service has been carried out for every energy source and every item of plant within the declared boundary. In this revision the control is administered under the site's lock out tag out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1.5.1(d)</w:t>
      </w:r>
      <w:r>
        <w:tab/>
      </w:r>
      <w:r>
        <w:t xml:space="preserve">The mechanical support of a load during maintenance access shall be established and confirmed in place before the task begins, and shall remain in place until the work is complete and the area has been handed back. In this revision the control is administered under the site's dropped object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Clause"/>
      </w:pPr>
      <w:r>
        <w:rPr>
          <w:b/>
        </w:rPr>
        <w:t xml:space="preserve">1.3.1(a)</w:t>
      </w:r>
      <w:r>
        <w:tab/>
      </w:r>
      <w:r>
        <w:t xml:space="preserve">No person shall commence the task until the parking, chocking and restraint of equipment has been completed and confirmed by the person in charge of the work.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Clause"/>
      </w:pPr>
      <w:r>
        <w:rPr>
          <w:b/>
        </w:rPr>
        <w:t xml:space="preserve">1.6.1(b)</w:t>
      </w:r>
      <w:r>
        <w:tab/>
      </w:r>
      <w:r>
        <w:t xml:space="preserve">The supervisor shall not authorise the task unless the parking, chocking and restraint of equipment has been carried out for every energy source and every item of plant within the declared boundary.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Heading"/>
      </w:pPr>
      <w:r>
        <w:t xml:space="preserve">SECTION </w:t>
      </w:r>
      <w:r>
        <w:t xml:space="preserve">2</w:t>
      </w:r>
      <w:r>
        <w:t xml:space="preserve">  -  </w:t>
      </w:r>
      <w:r>
        <w:t xml:space="preserve">Preparation and planning</w:t>
      </w:r>
    </w:p>
    <w:p>
      <w:pPr>
        <w:pStyle w:val="KestrelClause"/>
      </w:pPr>
      <w:r>
        <w:rPr>
          <w:b/>
        </w:rPr>
        <w:t xml:space="preserve">2.1.3(b)</w:t>
      </w:r>
      <w:r>
        <w:tab/>
      </w:r>
      <w:r>
        <w:t xml:space="preserve">The controlled removal of isolation and return to service shall be applied in accordance with AS 4024.1603 (safety of machinery — prevention of unexpected start-up) and independently confirmed by a second competent person before work proceeds. In this revision the control is administered under the site's lock out tag out arrangements. The completed record shall be retained on the STD-PTW-001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2.4</w:t>
      </w:r>
      <w:r>
        <w:tab/>
      </w:r>
      <w:r>
        <w:t xml:space="preserve">The dissipation or restraint of trapped and residual energy shall be applied in accordance with AS 4024.1603 (safety of machinery — prevention of unexpected start-up) and independently confirmed by a second competent person before work proceeds. In this revision the control is administered under the site's stored energy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2.2</w:t>
      </w:r>
      <w:r>
        <w:tab/>
      </w:r>
      <w:r>
        <w:t xml:space="preserve">The parking, chocking and restraint of equipment shall be applied in accordance with AS 4024.1603 (safety of machinery — prevention of unexpected start-up) and independently confirmed by a second competent person before work proceeds. In this revision the control is administered under the site's critical safeguard arrangements. The completed record shall be retained on the STD-PTW-001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2.3</w:t>
      </w:r>
      <w:r>
        <w:tab/>
      </w:r>
      <w:r>
        <w:t xml:space="preserve">The dissipation or restraint of trapped and residual energy shall be established and confirmed in place before the task begins, and shall remain in place until the work is complete and the area has been handed back. In this revision the control is administered under the site's stored energy arrangements. The completed record shall be retained on the STD-PTW-001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Heading"/>
      </w:pPr>
      <w:r>
        <w:t xml:space="preserve">SECTION </w:t>
      </w:r>
      <w:r>
        <w:t xml:space="preserve">3</w:t>
      </w:r>
      <w:r>
        <w:t xml:space="preserve">  -  </w:t>
      </w:r>
      <w:r>
        <w:t xml:space="preserve">Isolation and making safe</w:t>
      </w:r>
    </w:p>
    <w:p>
      <w:pPr>
        <w:pStyle w:val="KestrelClause"/>
      </w:pPr>
      <w:r>
        <w:rPr>
          <w:b/>
        </w:rPr>
        <w:t xml:space="preserve">3.1</w:t>
      </w:r>
      <w:r>
        <w:tab/>
      </w:r>
      <w:r>
        <w:t xml:space="preserve">The mechanical support of a load during maintenance access shall be established and confirmed in place before the task begins, and shall remain in place until the work is complete and the area has been handed back. In this revision the control is administered under the site's dropped object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Heading"/>
      </w:pPr>
      <w:r>
        <w:t xml:space="preserve">SECTION </w:t>
      </w:r>
      <w:r>
        <w:t xml:space="preserve">2</w:t>
      </w:r>
      <w:r>
        <w:t xml:space="preserve">  -  </w:t>
      </w:r>
      <w:r>
        <w:t xml:space="preserve">Preparation and planning</w:t>
      </w:r>
    </w:p>
    <w:p>
      <w:pPr>
        <w:pStyle w:val="KestrelClause"/>
      </w:pPr>
      <w:r>
        <w:rPr>
          <w:b/>
        </w:rPr>
        <w:t xml:space="preserve">2.6</w:t>
      </w:r>
      <w:r>
        <w:tab/>
      </w:r>
      <w:r>
        <w:t xml:space="preserve">The dissipation or restraint of trapped and residual energy shall be established and confirmed in place before the task begins, and shall remain in place until the work is complete and the area has been handed back. In this revision the control is administered under the site's stored energy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Heading"/>
      </w:pPr>
      <w:r>
        <w:t xml:space="preserve">SECTION </w:t>
      </w:r>
      <w:r>
        <w:t xml:space="preserve">3</w:t>
      </w:r>
      <w:r>
        <w:t xml:space="preserve">  -  </w:t>
      </w:r>
      <w:r>
        <w:t xml:space="preserve">Isolation and making safe</w:t>
      </w:r>
    </w:p>
    <w:p>
      <w:pPr>
        <w:pStyle w:val="KestrelClause"/>
      </w:pPr>
      <w:r>
        <w:rPr>
          <w:b/>
        </w:rPr>
        <w:t xml:space="preserve">3.5</w:t>
      </w:r>
      <w:r>
        <w:tab/>
      </w:r>
      <w:r>
        <w:t xml:space="preserve">The dissipation or restraint of trapped and residual energy shall be applied in accordance with AS 4024.1603 (safety of machinery — prevention of unexpected start-up) and independently confirmed by a second competent person before work proceeds. In this revision the control is administered under the site's stored energy arrangements. The completed record shall be retained on the STD-PTW-001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3.2.3(d)</w:t>
      </w:r>
      <w:r>
        <w:tab/>
      </w:r>
      <w:r>
        <w:t xml:space="preserve">The controlled removal of isolation and return to service shall be established and confirmed in place before the task begins, and shall remain in place until the work is complete and the area has been handed back. In this revision the control is administered under the site's lock out tag out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Heading"/>
      </w:pPr>
      <w:r>
        <w:t xml:space="preserve">SECTION </w:t>
      </w:r>
      <w:r>
        <w:t xml:space="preserve">5</w:t>
      </w:r>
      <w:r>
        <w:t xml:space="preserve">  -  </w:t>
      </w:r>
      <w:r>
        <w:t xml:space="preserve">Execution of the work</w:t>
      </w:r>
    </w:p>
    <w:p>
      <w:pPr>
        <w:pStyle w:val="KestrelClause"/>
      </w:pPr>
      <w:r>
        <w:rPr>
          <w:b/>
        </w:rPr>
        <w:t xml:space="preserve">5.2</w:t>
      </w:r>
      <w:r>
        <w:tab/>
      </w:r>
      <w:r>
        <w:t xml:space="preserve">No person shall commence the task until the identification of every energy source for the task has been completed and confirmed by the person in charge of the work. In this revision the control is administered under the site's lock out tag out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Heading"/>
      </w:pPr>
      <w:r>
        <w:t xml:space="preserve">SECTION </w:t>
      </w:r>
      <w:r>
        <w:t xml:space="preserve">6</w:t>
      </w:r>
      <w:r>
        <w:t xml:space="preserve">  -  </w:t>
      </w:r>
      <w:r>
        <w:t xml:space="preserve">Verification and testing</w:t>
      </w:r>
    </w:p>
    <w:p>
      <w:pPr>
        <w:pStyle w:val="KestrelClause"/>
      </w:pPr>
      <w:r>
        <w:rPr>
          <w:b/>
        </w:rPr>
        <w:t xml:space="preserve">6.2</w:t>
      </w:r>
      <w:r>
        <w:tab/>
      </w:r>
      <w:r>
        <w:t xml:space="preserve">The dissipation or restraint of trapped and residual energy shall be applied in accordance with WHS Reg r.62 (duty in relation to plant with energy sources) and independently confirmed by a second competent person before work proceeds. In this revision the control is administered under the site's stored energy arrangements. The completed record shall be retained on the STD-PTW-001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Heading"/>
      </w:pPr>
      <w:r>
        <w:t xml:space="preserve">SECTION </w:t>
      </w:r>
      <w:r>
        <w:t xml:space="preserve">3</w:t>
      </w:r>
      <w:r>
        <w:t xml:space="preserve">  -  </w:t>
      </w:r>
      <w:r>
        <w:t xml:space="preserve">Isolation and making safe</w:t>
      </w:r>
    </w:p>
    <w:p>
      <w:pPr>
        <w:pStyle w:val="KestrelClause"/>
      </w:pPr>
      <w:r>
        <w:rPr>
          <w:b/>
        </w:rPr>
        <w:t xml:space="preserve">3.4</w:t>
      </w:r>
      <w:r>
        <w:tab/>
      </w:r>
      <w:r>
        <w:t xml:space="preserve">The controlled removal of isolation and return to service shall be applied in accordance with AS 4024.1603 (safety of machinery — prevention of unexpected start-up) and independently confirmed by a second competent person before work proceeds. In this revision the control is administered under the site's lock out tag out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3.3</w:t>
      </w:r>
      <w:r>
        <w:tab/>
      </w:r>
      <w:r>
        <w:t xml:space="preserve">The supervisor shall not authorise the task unless the mechanical support of a load during maintenance access has been carried out for every energy source and every item of plant within the declared boundary. In this revision the control is administered under the site's dropped object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Heading"/>
      </w:pPr>
      <w:r>
        <w:t xml:space="preserve">SECTION </w:t>
      </w:r>
      <w:r>
        <w:t xml:space="preserve">5</w:t>
      </w:r>
      <w:r>
        <w:t xml:space="preserve">  -  </w:t>
      </w:r>
      <w:r>
        <w:t xml:space="preserve">Execution of the work</w:t>
      </w:r>
    </w:p>
    <w:p>
      <w:pPr>
        <w:pStyle w:val="KestrelClause"/>
      </w:pPr>
      <w:r>
        <w:rPr>
          <w:b/>
        </w:rPr>
        <w:t xml:space="preserve">5.3</w:t>
      </w:r>
      <w:r>
        <w:tab/>
      </w:r>
      <w:r>
        <w:t xml:space="preserve">The supervisor shall not authorise the task unless the mechanical support of a load during maintenance access has been carried out for every energy source and every item of plant within the declared boundary. In this revision the control is administered under the site's dropped object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5.4.3(d)</w:t>
      </w:r>
      <w:r>
        <w:tab/>
      </w:r>
      <w:r>
        <w:t xml:space="preserve">The mechanical support of a load during maintenance access shall be established and confirmed in place before the task begins, and shall remain in place until the work is complete and the area has been handed back. In this revision the control is administered under the site's dropped object arrangements. The completed record shall be retained on the STD-PTW-001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Heading"/>
      </w:pPr>
      <w:r>
        <w:t xml:space="preserve">SECTION </w:t>
      </w:r>
      <w:r>
        <w:t xml:space="preserve">4</w:t>
      </w:r>
      <w:r>
        <w:t xml:space="preserve">  -  </w:t>
      </w:r>
      <w:r>
        <w:t xml:space="preserve">Access, entry and atmosphere</w:t>
      </w:r>
    </w:p>
    <w:p>
      <w:pPr>
        <w:pStyle w:val="KestrelClause"/>
      </w:pPr>
      <w:r>
        <w:rPr>
          <w:b/>
        </w:rPr>
        <w:t xml:space="preserve">4.2</w:t>
      </w:r>
      <w:r>
        <w:tab/>
      </w:r>
      <w:r>
        <w:t xml:space="preserve">The supervisor shall not authorise the task unless the application of positive isolation devices and personal locks has been carried out for every energy source and every item of plant within the declared boundary. In this revision the control is administered under the site's lock out tag out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Heading"/>
      </w:pPr>
      <w:r>
        <w:t xml:space="preserve">SECTION </w:t>
      </w:r>
      <w:r>
        <w:t xml:space="preserve">6</w:t>
      </w:r>
      <w:r>
        <w:t xml:space="preserve">  -  </w:t>
      </w:r>
      <w:r>
        <w:t xml:space="preserve">Verification and testing</w:t>
      </w:r>
    </w:p>
    <w:p>
      <w:pPr>
        <w:pStyle w:val="KestrelClause"/>
      </w:pPr>
      <w:r>
        <w:rPr>
          <w:b/>
        </w:rPr>
        <w:t xml:space="preserve">6.3</w:t>
      </w:r>
      <w:r>
        <w:tab/>
      </w:r>
      <w:r>
        <w:t xml:space="preserve">The parking, chocking and restraint of equipment shall be established and confirmed in place before the task begins, and shall remain in place until the work is complete and the area has been handed back. In this revision the control is administered under the site's critical safeguard arrangements. The completed record shall be retained on the STD-PTW-001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Heading"/>
      </w:pPr>
      <w:r>
        <w:t xml:space="preserve">SECTION </w:t>
      </w:r>
      <w:r>
        <w:t xml:space="preserve">7</w:t>
      </w:r>
      <w:r>
        <w:t xml:space="preserve">  -  </w:t>
      </w:r>
      <w:r>
        <w:t xml:space="preserve">Monitoring, alarms and setpoints</w:t>
      </w:r>
    </w:p>
    <w:p>
      <w:pPr>
        <w:pStyle w:val="KestrelClause"/>
      </w:pPr>
      <w:r>
        <w:rPr>
          <w:b/>
        </w:rPr>
        <w:t xml:space="preserve">7.1</w:t>
      </w:r>
      <w:r>
        <w:tab/>
      </w:r>
      <w:r>
        <w:t xml:space="preserve">The identification of every energy source for the task shall be applied in accordance with AS/NZS 4836 (safe working on or near low-voltage installations) and independently confirmed by a second competent person before work proceeds. In this revision the control is administered under the site's lock out tag out arrangements. The completed record shall be retained on the STD-PTW-001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Heading"/>
      </w:pPr>
      <w:r>
        <w:t xml:space="preserve">Revision history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41"/>
        <w:gridCol w:w="1590"/>
        <w:gridCol w:w="1590"/>
        <w:gridCol w:w="3460"/>
        <w:gridCol w:w="1873"/>
      </w:tblGrid>
      <w:tr>
        <w:trPr>
          <w:tblHeader/>
        </w:trPr>
        <w:tc>
          <w:tcPr>
            <w:tcW w:w="841" w:type="dxa"/>
            <w:shd w:val="clear" w:color="auto" w:fill="FFFFFF"/>
          </w:tcPr>
          <w:p>
            <w:pPr>
              <w:pStyle w:val="KestrelTableHead"/>
            </w:pPr>
            <w:r>
              <w:t xml:space="preserve">Rev</w:t>
            </w:r>
          </w:p>
        </w:tc>
        <w:tc>
          <w:tcPr>
            <w:tcW w:w="1590" w:type="dxa"/>
            <w:shd w:val="clear" w:color="auto" w:fill="FFFFFF"/>
          </w:tcPr>
          <w:p>
            <w:pPr>
              <w:pStyle w:val="KestrelTableHead"/>
            </w:pPr>
            <w:r>
              <w:t xml:space="preserve">Effective</w:t>
            </w:r>
          </w:p>
        </w:tc>
        <w:tc>
          <w:tcPr>
            <w:tcW w:w="1590" w:type="dxa"/>
            <w:shd w:val="clear" w:color="auto" w:fill="FFFFFF"/>
          </w:tcPr>
          <w:p>
            <w:pPr>
              <w:pStyle w:val="KestrelTableHead"/>
            </w:pPr>
            <w:r>
              <w:t xml:space="preserve">Change</w:t>
            </w:r>
          </w:p>
        </w:tc>
        <w:tc>
          <w:tcPr>
            <w:tcW w:w="3460" w:type="dxa"/>
            <w:shd w:val="clear" w:color="auto" w:fill="FFFFFF"/>
          </w:tcPr>
          <w:p>
            <w:pPr>
              <w:pStyle w:val="KestrelTableHead"/>
            </w:pPr>
            <w:r>
              <w:t xml:space="preserve">Reason for change</w:t>
            </w:r>
          </w:p>
        </w:tc>
        <w:tc>
          <w:tcPr>
            <w:tcW w:w="1873" w:type="dxa"/>
            <w:shd w:val="clear" w:color="auto" w:fill="FFFFFF"/>
          </w:tcPr>
          <w:p>
            <w:pPr>
              <w:pStyle w:val="KestrelTableHead"/>
            </w:pPr>
            <w:r>
              <w:t xml:space="preserve">Approved by</w:t>
            </w:r>
          </w:p>
        </w:tc>
      </w:tr>
      <w:tr>
        <w:tc>
          <w:tcPr>
            <w:tcW w:w="841" w:type="dxa"/>
          </w:tcPr>
          <w:p>
            <w:pPr>
              <w:pStyle w:val="KestrelTableCell"/>
            </w:pPr>
            <w:r>
              <w:t xml:space="preserve">001</w:t>
            </w:r>
          </w:p>
        </w:tc>
        <w:tc>
          <w:tcPr>
            <w:tcW w:w="1590" w:type="dxa"/>
          </w:tcPr>
          <w:p>
            <w:pPr>
              <w:pStyle w:val="KestrelTableCell"/>
            </w:pPr>
            <w:r>
              <w:t xml:space="preserve">8 March 2004</w:t>
            </w:r>
          </w:p>
        </w:tc>
        <w:tc>
          <w:tcPr>
            <w:tcW w:w="1590" w:type="dxa"/>
          </w:tcPr>
          <w:p>
            <w:pPr>
              <w:pStyle w:val="KestrelTableCell"/>
            </w:pPr>
            <w:r>
              <w:t xml:space="preserve">Clause introduced</w:t>
            </w:r>
          </w:p>
        </w:tc>
        <w:tc>
          <w:tcPr>
            <w:tcW w:w="3460" w:type="dxa"/>
          </w:tcPr>
          <w:p>
            <w:pPr>
              <w:pStyle w:val="KestrelTableCell"/>
            </w:pPr>
            <w:r>
              <w:t xml:space="preserve">Issued at scheduled review; 15 clause(s) revised.</w:t>
            </w:r>
          </w:p>
        </w:tc>
        <w:tc>
          <w:tcPr>
            <w:tcW w:w="1873" w:type="dxa"/>
          </w:tcPr>
          <w:p>
            <w:pPr>
              <w:pStyle w:val="KestrelTableCell"/>
            </w:pPr>
            <w:r>
              <w:t xml:space="preserve">H. Larkin (kestrel:larkin.h)</w:t>
            </w:r>
          </w:p>
        </w:tc>
      </w:tr>
      <w:tr>
        <w:tc>
          <w:tcPr>
            <w:tcW w:w="841" w:type="dxa"/>
          </w:tcPr>
          <w:p>
            <w:pPr>
              <w:pStyle w:val="KestrelTableCell"/>
            </w:pPr>
            <w:r>
              <w:t xml:space="preserve">002</w:t>
            </w:r>
          </w:p>
        </w:tc>
        <w:tc>
          <w:tcPr>
            <w:tcW w:w="1590" w:type="dxa"/>
          </w:tcPr>
          <w:p>
            <w:pPr>
              <w:pStyle w:val="KestrelTableCell"/>
            </w:pPr>
            <w:r>
              <w:t xml:space="preserve">4 March 2008</w:t>
            </w:r>
          </w:p>
        </w:tc>
        <w:tc>
          <w:tcPr>
            <w:tcW w:w="1590" w:type="dxa"/>
          </w:tcPr>
          <w:p>
            <w:pPr>
              <w:pStyle w:val="KestrelTableCell"/>
            </w:pPr>
            <w:r>
              <w:t xml:space="preserve">Clause introduced</w:t>
            </w:r>
          </w:p>
        </w:tc>
        <w:tc>
          <w:tcPr>
            <w:tcW w:w="3460" w:type="dxa"/>
          </w:tcPr>
          <w:p>
            <w:pPr>
              <w:pStyle w:val="KestrelTableCell"/>
            </w:pPr>
            <w:r>
              <w:t xml:space="preserve">Issued at scheduled review; 5 clause(s) revised.</w:t>
            </w:r>
          </w:p>
        </w:tc>
        <w:tc>
          <w:tcPr>
            <w:tcW w:w="1873" w:type="dxa"/>
          </w:tcPr>
          <w:p>
            <w:pPr>
              <w:pStyle w:val="KestrelTableCell"/>
            </w:pPr>
            <w:r>
              <w:t xml:space="preserve">R. Kirkpatrick (kestrel:kirkpatrick.r)</w:t>
            </w:r>
          </w:p>
        </w:tc>
      </w:tr>
      <w:tr>
        <w:tc>
          <w:tcPr>
            <w:tcW w:w="841" w:type="dxa"/>
          </w:tcPr>
          <w:p>
            <w:pPr>
              <w:pStyle w:val="KestrelTableCell"/>
            </w:pPr>
            <w:r>
              <w:t xml:space="preserve">003</w:t>
            </w:r>
          </w:p>
        </w:tc>
        <w:tc>
          <w:tcPr>
            <w:tcW w:w="1590" w:type="dxa"/>
          </w:tcPr>
          <w:p>
            <w:pPr>
              <w:pStyle w:val="KestrelTableCell"/>
            </w:pPr>
            <w:r>
              <w:t xml:space="preserve">2 April 2011</w:t>
            </w:r>
          </w:p>
        </w:tc>
        <w:tc>
          <w:tcPr>
            <w:tcW w:w="1590" w:type="dxa"/>
          </w:tcPr>
          <w:p>
            <w:pPr>
              <w:pStyle w:val="KestrelTableCell"/>
            </w:pPr>
            <w:r>
              <w:t xml:space="preserve">Control strengthened</w:t>
            </w:r>
          </w:p>
        </w:tc>
        <w:tc>
          <w:tcPr>
            <w:tcW w:w="3460" w:type="dxa"/>
          </w:tcPr>
          <w:p>
            <w:pPr>
              <w:pStyle w:val="KestrelTableCell"/>
            </w:pPr>
            <w:r>
              <w:t xml:space="preserve">Issued following AF-2009-005, RN-2011-003.</w:t>
            </w:r>
          </w:p>
        </w:tc>
        <w:tc>
          <w:tcPr>
            <w:tcW w:w="1873" w:type="dxa"/>
          </w:tcPr>
          <w:p>
            <w:pPr>
              <w:pStyle w:val="KestrelTableCell"/>
            </w:pPr>
            <w:r>
              <w:t xml:space="preserve">R. Selassie (kestrel:selassie.r)</w:t>
            </w:r>
          </w:p>
        </w:tc>
      </w:tr>
      <w:tr>
        <w:tc>
          <w:tcPr>
            <w:tcW w:w="841" w:type="dxa"/>
          </w:tcPr>
          <w:p>
            <w:pPr>
              <w:pStyle w:val="KestrelTableCell"/>
            </w:pPr>
            <w:r>
              <w:t xml:space="preserve">004</w:t>
            </w:r>
          </w:p>
        </w:tc>
        <w:tc>
          <w:tcPr>
            <w:tcW w:w="1590" w:type="dxa"/>
          </w:tcPr>
          <w:p>
            <w:pPr>
              <w:pStyle w:val="KestrelTableCell"/>
            </w:pPr>
            <w:r>
              <w:t xml:space="preserve">7 November 2014</w:t>
            </w:r>
          </w:p>
        </w:tc>
        <w:tc>
          <w:tcPr>
            <w:tcW w:w="1590" w:type="dxa"/>
          </w:tcPr>
          <w:p>
            <w:pPr>
              <w:pStyle w:val="KestrelTableCell"/>
            </w:pPr>
            <w:r>
              <w:t xml:space="preserve">Control relaxed</w:t>
            </w:r>
          </w:p>
        </w:tc>
        <w:tc>
          <w:tcPr>
            <w:tcW w:w="3460" w:type="dxa"/>
          </w:tcPr>
          <w:p>
            <w:pPr>
              <w:pStyle w:val="KestrelTableCell"/>
            </w:pPr>
            <w:r>
              <w:t xml:space="preserve">Issued following INC-2013-018, INC-2014-012.</w:t>
            </w:r>
          </w:p>
        </w:tc>
        <w:tc>
          <w:tcPr>
            <w:tcW w:w="1873" w:type="dxa"/>
          </w:tcPr>
          <w:p>
            <w:pPr>
              <w:pStyle w:val="KestrelTableCell"/>
            </w:pPr>
            <w:r>
              <w:t xml:space="preserve">K. Winterbourne (kestrel:winterbourne.k)</w:t>
            </w:r>
          </w:p>
        </w:tc>
      </w:tr>
    </w:tbl>
    <w:p>
      <w:pPr>
        <w:pStyle w:val="KestrelMeta"/>
      </w:pP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134" w:right="1134" w:bottom="1134" w:left="1418"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lowerLetter"/>
      <w:lvlText w:val="(%1)"/>
      <w:lvlJc w:val="left"/>
      <w:pPr>
        <w:ind w:left="1191"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Arial" w:hAnsi="Arial"/>
      <w:b/>
      <w:caps/>
      <w:color w:val="000000"/>
      <w:sz w:val="28"/>
      <w:szCs w:val="28"/>
    </w:rPr>
  </w:style>
  <w:style w:type="paragraph" w:styleId="KestrelSubtitle">
    <w:name w:val="Kestrel Subtitle"/>
    <w:basedOn w:val="Normal"/>
    <w:qFormat/>
    <w:pPr>
      <w:spacing w:after="240"/>
    </w:pPr>
    <w:rPr>
      <w:rFonts w:ascii="Arial" w:hAnsi="Arial"/>
      <w:color w:val="000000"/>
      <w:sz w:val="20"/>
      <w:szCs w:val="20"/>
    </w:rPr>
  </w:style>
  <w:style w:type="paragraph" w:styleId="KestrelHeading">
    <w:name w:val="Kestrel Heading"/>
    <w:basedOn w:val="Normal"/>
    <w:qFormat/>
    <w:pPr>
      <w:keepNext/>
      <w:spacing w:before="280" w:after="120"/>
      <w:pBdr>
        <w:bottom w:val="single" w:sz="6" w:space="2" w:color="000000"/>
      </w:pBdr>
    </w:pPr>
    <w:rPr>
      <w:rFonts w:ascii="Arial" w:hAnsi="Arial"/>
      <w:b/>
      <w:caps/>
      <w:color w:val="000000"/>
      <w:sz w:val="24"/>
      <w:szCs w:val="24"/>
    </w:rPr>
  </w:style>
  <w:style w:type="paragraph" w:styleId="KestrelSubheading">
    <w:name w:val="Kestrel Subheading"/>
    <w:basedOn w:val="Normal"/>
    <w:qFormat/>
    <w:pPr>
      <w:keepNext/>
      <w:spacing w:before="160" w:after="80"/>
    </w:pPr>
    <w:rPr>
      <w:rFonts w:ascii="Arial" w:hAnsi="Arial"/>
      <w:b/>
      <w:i/>
      <w:sz w:val="20"/>
      <w:szCs w:val="20"/>
    </w:rPr>
  </w:style>
  <w:style w:type="paragraph" w:styleId="KestrelClause">
    <w:name w:val="Kestrel Clause"/>
    <w:basedOn w:val="Normal"/>
    <w:qFormat/>
    <w:pPr>
      <w:ind w:left="851" w:hanging="851"/>
      <w:spacing w:after="120"/>
      <w:jc w:val="both"/>
    </w:pPr>
  </w:style>
  <w:style w:type="paragraph" w:styleId="KestrelPoint">
    <w:name w:val="Kestrel Clause Point"/>
    <w:basedOn w:val="Normal"/>
    <w:qFormat/>
    <w:pPr>
      <w:numPr>
        <w:ilvl w:val="0"/>
        <w:numId w:val="1"/>
      </w:numPr>
      <w:ind w:left="1191" w:hanging="340"/>
      <w:spacing w:after="60"/>
    </w:pPr>
  </w:style>
  <w:style w:type="paragraph" w:styleId="KestrelSetpoint">
    <w:name w:val="Kestrel Setpoint"/>
    <w:basedOn w:val="Normal"/>
    <w:qFormat/>
    <w:pPr>
      <w:ind w:left="851"/>
      <w:spacing w:before="60" w:after="160"/>
    </w:pPr>
    <w:rPr>
      <w:b/>
    </w:rPr>
  </w:style>
  <w:style w:type="paragraph" w:styleId="KestrelMeta">
    <w:name w:val="Kestrel Meta"/>
    <w:basedOn w:val="Normal"/>
    <w:qFormat/>
    <w:pPr>
      <w:spacing w:after="0"/>
    </w:pPr>
    <w:rPr>
      <w:sz w:val="16"/>
      <w:szCs w:val="16"/>
    </w:rPr>
  </w:style>
  <w:style w:type="paragraph" w:styleId="KestrelTableHead">
    <w:name w:val="Kestrel Table Heading"/>
    <w:basedOn w:val="Normal"/>
    <w:qFormat/>
    <w:pPr>
      <w:spacing w:after="0"/>
    </w:pPr>
    <w:rPr>
      <w:b/>
      <w:sz w:val="16"/>
      <w:szCs w:val="16"/>
    </w:rPr>
  </w:style>
  <w:style w:type="paragraph" w:styleId="KestrelTableCell">
    <w:name w:val="Kestrel Table Cell"/>
    <w:basedOn w:val="Normal"/>
    <w:qFormat/>
    <w:pPr>
      <w:spacing w:after="0"/>
    </w:pPr>
    <w:rPr>
      <w:sz w:val="16"/>
      <w:szCs w:val="16"/>
    </w:rPr>
  </w:style>
</w:styles>
</file>

<file path=word/_rels/document.xml.rels><?xml version="1.0" encoding="UTF-8" standalone="yes"?>
<Relationships xmlns="http://schemas.openxmlformats.org/package/2006/relationships"><Relationship Id="rId4"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std_g1</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STD-PTW-001 - Permit to Work</dc:title>
  <dc:subject>Marrindal Concentrator and Hydrocarbon Transfer Facility; revision 004; effective 2014-11-07</dc:subject>
  <dc:creator>K. Winterbourne (kestrel:winterbourne.k)</dc:creator>
  <cp:lastModifiedBy>K. Winterbourne (kestrel:winterbourne.k)</cp:lastModifiedBy>
  <cp:revision>004</cp:revision>
  <dcterms:created xsi:type="dcterms:W3CDTF">2014-11-07T00:00:00Z</dcterms:created>
  <dcterms:modified xsi:type="dcterms:W3CDTF">2014-11-07T00:00:00Z</dcterms:modified>
  <cp:category>Kestrel controlled document (STD)</cp:category>
  <cp:contentStatus>Issued</cp:contentStatus>
</cp:coreProperties>
</file>