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5975"/>
        <w:gridCol w:w="3663"/>
      </w:tblGrid>
      <w:tr>
        <w:tc>
          <w:tcPr>
            <w:tcW w:w="5975" w:type="dxa"/>
            <w:shd w:val="clear" w:color="auto" w:fill="EDF1F6"/>
          </w:tcPr>
          <w:p>
            <w:pPr>
              <w:spacing w:after="0"/>
            </w:pPr>
            <w:r>
              <w:rPr>
                <w:b/>
                <w:caps/>
                <w:color w:val="1F3864"/>
                <w:sz w:val="21"/>
                <w:szCs w:val="21"/>
              </w:rPr>
              <w:t xml:space="preserve">KESTREL RESOURCES PTY LTD</w:t>
            </w:r>
          </w:p>
          <w:p>
            <w:pPr>
              <w:pStyle w:val="KestrelMeta"/>
            </w:pPr>
            <w:r>
              <w:t xml:space="preserve">Marrindal Concentrator and Hydrocarbon Transfer Facility</w:t>
            </w:r>
          </w:p>
        </w:tc>
        <w:tc>
          <w:tcPr>
            <w:tcW w:w="3663" w:type="dxa"/>
            <w:shd w:val="clear" w:color="auto" w:fill="EDF1F6"/>
          </w:tcPr>
          <w:p>
            <w:pPr>
              <w:pStyle w:val="KestrelMeta"/>
              <w:jc w:val="right"/>
            </w:pPr>
            <w:r>
              <w:rPr>
                <w:b/>
              </w:rPr>
              <w:t xml:space="preserve">CORPORATE STANDARD</w:t>
            </w:r>
          </w:p>
          <w:p>
            <w:pPr>
              <w:pStyle w:val="KestrelMeta"/>
              <w:jc w:val="right"/>
            </w:pPr>
            <w:r>
              <w:t xml:space="preserve">Document </w:t>
            </w:r>
            <w:r>
              <w:t xml:space="preserve">STD-PTW-001</w:t>
            </w:r>
          </w:p>
          <w:p>
            <w:pPr>
              <w:pStyle w:val="KestrelMeta"/>
              <w:jc w:val="right"/>
            </w:pPr>
            <w:r>
              <w:t xml:space="preserve">Revision </w:t>
            </w:r>
            <w:r>
              <w:t xml:space="preserve">007</w:t>
            </w:r>
            <w:r>
              <w:t xml:space="preserve">  ·  Effective </w:t>
            </w:r>
            <w:r>
              <w:t xml:space="preserve">2022-10-04</w:t>
            </w:r>
          </w:p>
        </w:tc>
      </w:tr>
    </w:tbl>
    <w:p>
      <w:pPr>
        <w:pStyle w:val="KestrelMeta"/>
      </w:pPr>
    </w:p>
    <w:p>
      <w:pPr>
        <w:pStyle w:val="KestrelTitle"/>
        <w:pBdr>
          <w:bottom w:val="single" w:sz="12" w:space="4" w:color="404040"/>
        </w:pBdr>
      </w:pPr>
      <w:r>
        <w:t xml:space="preserve">Permit to Work</w:t>
      </w:r>
    </w:p>
    <w:p>
      <w:pPr>
        <w:pStyle w:val="KestrelSubtitle"/>
      </w:pPr>
      <w:r>
        <w:t xml:space="preserve">STD-PTW-001</w:t>
      </w:r>
      <w:r>
        <w:t xml:space="preserve">  ·  revision </w:t>
      </w:r>
      <w:r>
        <w:t xml:space="preserve">007</w:t>
      </w:r>
      <w:r>
        <w:t xml:space="preserve">  ·  effective </w:t>
      </w:r>
      <w:r>
        <w:t xml:space="preserve">4 October 2022</w:t>
      </w:r>
      <w:r>
        <w:t xml:space="preserve">  ·  </w:t>
      </w:r>
      <w:r>
        <w:t xml:space="preserve">Marrindal</w:t>
      </w:r>
    </w:p>
    <w:p>
      <w:pPr>
        <w:pStyle w:val="KestrelHeading"/>
      </w:pPr>
      <w:r>
        <w:t xml:space="preserve">Revision history</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867"/>
        <w:gridCol w:w="1638"/>
        <w:gridCol w:w="1638"/>
        <w:gridCol w:w="3566"/>
        <w:gridCol w:w="1929"/>
      </w:tblGrid>
      <w:tr>
        <w:trPr>
          <w:tblHeader/>
        </w:trPr>
        <w:tc>
          <w:tcPr>
            <w:tcW w:w="867" w:type="dxa"/>
            <w:shd w:val="clear" w:color="auto" w:fill="EDF1F6"/>
          </w:tcPr>
          <w:p>
            <w:pPr>
              <w:pStyle w:val="KestrelTableHead"/>
            </w:pPr>
            <w:r>
              <w:t xml:space="preserve">Rev</w:t>
            </w:r>
          </w:p>
        </w:tc>
        <w:tc>
          <w:tcPr>
            <w:tcW w:w="1638" w:type="dxa"/>
            <w:shd w:val="clear" w:color="auto" w:fill="EDF1F6"/>
          </w:tcPr>
          <w:p>
            <w:pPr>
              <w:pStyle w:val="KestrelTableHead"/>
            </w:pPr>
            <w:r>
              <w:t xml:space="preserve">Effective</w:t>
            </w:r>
          </w:p>
        </w:tc>
        <w:tc>
          <w:tcPr>
            <w:tcW w:w="1638" w:type="dxa"/>
            <w:shd w:val="clear" w:color="auto" w:fill="EDF1F6"/>
          </w:tcPr>
          <w:p>
            <w:pPr>
              <w:pStyle w:val="KestrelTableHead"/>
            </w:pPr>
            <w:r>
              <w:t xml:space="preserve">Change</w:t>
            </w:r>
          </w:p>
        </w:tc>
        <w:tc>
          <w:tcPr>
            <w:tcW w:w="3566" w:type="dxa"/>
            <w:shd w:val="clear" w:color="auto" w:fill="EDF1F6"/>
          </w:tcPr>
          <w:p>
            <w:pPr>
              <w:pStyle w:val="KestrelTableHead"/>
            </w:pPr>
            <w:r>
              <w:t xml:space="preserve">Reason for change</w:t>
            </w:r>
          </w:p>
        </w:tc>
        <w:tc>
          <w:tcPr>
            <w:tcW w:w="1929" w:type="dxa"/>
            <w:shd w:val="clear" w:color="auto" w:fill="EDF1F6"/>
          </w:tcPr>
          <w:p>
            <w:pPr>
              <w:pStyle w:val="KestrelTableHead"/>
            </w:pPr>
            <w:r>
              <w:t xml:space="preserve">Approved by</w:t>
            </w:r>
          </w:p>
        </w:tc>
      </w:tr>
      <w:tr>
        <w:tc>
          <w:tcPr>
            <w:tcW w:w="867" w:type="dxa"/>
          </w:tcPr>
          <w:p>
            <w:pPr>
              <w:pStyle w:val="KestrelTableCell"/>
            </w:pPr>
            <w:r>
              <w:t xml:space="preserve">001</w:t>
            </w:r>
          </w:p>
        </w:tc>
        <w:tc>
          <w:tcPr>
            <w:tcW w:w="1638" w:type="dxa"/>
          </w:tcPr>
          <w:p>
            <w:pPr>
              <w:pStyle w:val="KestrelTableCell"/>
            </w:pPr>
            <w:r>
              <w:t xml:space="preserve">8 March 2004</w:t>
            </w:r>
          </w:p>
        </w:tc>
        <w:tc>
          <w:tcPr>
            <w:tcW w:w="1638" w:type="dxa"/>
          </w:tcPr>
          <w:p>
            <w:pPr>
              <w:pStyle w:val="KestrelTableCell"/>
            </w:pPr>
            <w:r>
              <w:t xml:space="preserve">Clause introduced</w:t>
            </w:r>
          </w:p>
        </w:tc>
        <w:tc>
          <w:tcPr>
            <w:tcW w:w="3566" w:type="dxa"/>
          </w:tcPr>
          <w:p>
            <w:pPr>
              <w:pStyle w:val="KestrelTableCell"/>
            </w:pPr>
            <w:r>
              <w:t xml:space="preserve">Issued at scheduled review; 15 clause(s) revised.</w:t>
            </w:r>
          </w:p>
        </w:tc>
        <w:tc>
          <w:tcPr>
            <w:tcW w:w="1929" w:type="dxa"/>
          </w:tcPr>
          <w:p>
            <w:pPr>
              <w:pStyle w:val="KestrelTableCell"/>
            </w:pPr>
            <w:r>
              <w:t xml:space="preserve">H. Larkin (kestrel:larkin.h)</w:t>
            </w:r>
          </w:p>
        </w:tc>
      </w:tr>
      <w:tr>
        <w:tc>
          <w:tcPr>
            <w:tcW w:w="867" w:type="dxa"/>
          </w:tcPr>
          <w:p>
            <w:pPr>
              <w:pStyle w:val="KestrelTableCell"/>
            </w:pPr>
            <w:r>
              <w:t xml:space="preserve">002</w:t>
            </w:r>
          </w:p>
        </w:tc>
        <w:tc>
          <w:tcPr>
            <w:tcW w:w="1638" w:type="dxa"/>
          </w:tcPr>
          <w:p>
            <w:pPr>
              <w:pStyle w:val="KestrelTableCell"/>
            </w:pPr>
            <w:r>
              <w:t xml:space="preserve">4 March 2008</w:t>
            </w:r>
          </w:p>
        </w:tc>
        <w:tc>
          <w:tcPr>
            <w:tcW w:w="1638" w:type="dxa"/>
          </w:tcPr>
          <w:p>
            <w:pPr>
              <w:pStyle w:val="KestrelTableCell"/>
            </w:pPr>
            <w:r>
              <w:t xml:space="preserve">Clause introduced</w:t>
            </w:r>
          </w:p>
        </w:tc>
        <w:tc>
          <w:tcPr>
            <w:tcW w:w="3566" w:type="dxa"/>
          </w:tcPr>
          <w:p>
            <w:pPr>
              <w:pStyle w:val="KestrelTableCell"/>
            </w:pPr>
            <w:r>
              <w:t xml:space="preserve">Issued at scheduled review; 5 clause(s) revised.</w:t>
            </w:r>
          </w:p>
        </w:tc>
        <w:tc>
          <w:tcPr>
            <w:tcW w:w="1929" w:type="dxa"/>
          </w:tcPr>
          <w:p>
            <w:pPr>
              <w:pStyle w:val="KestrelTableCell"/>
            </w:pPr>
            <w:r>
              <w:t xml:space="preserve">R. Kirkpatrick (kestrel:kirkpatrick.r)</w:t>
            </w:r>
          </w:p>
        </w:tc>
      </w:tr>
      <w:tr>
        <w:tc>
          <w:tcPr>
            <w:tcW w:w="867" w:type="dxa"/>
          </w:tcPr>
          <w:p>
            <w:pPr>
              <w:pStyle w:val="KestrelTableCell"/>
            </w:pPr>
            <w:r>
              <w:t xml:space="preserve">003</w:t>
            </w:r>
          </w:p>
        </w:tc>
        <w:tc>
          <w:tcPr>
            <w:tcW w:w="1638" w:type="dxa"/>
          </w:tcPr>
          <w:p>
            <w:pPr>
              <w:pStyle w:val="KestrelTableCell"/>
            </w:pPr>
            <w:r>
              <w:t xml:space="preserve">2 April 2011</w:t>
            </w:r>
          </w:p>
        </w:tc>
        <w:tc>
          <w:tcPr>
            <w:tcW w:w="1638" w:type="dxa"/>
          </w:tcPr>
          <w:p>
            <w:pPr>
              <w:pStyle w:val="KestrelTableCell"/>
            </w:pPr>
            <w:r>
              <w:t xml:space="preserve">Control strengthened</w:t>
            </w:r>
          </w:p>
        </w:tc>
        <w:tc>
          <w:tcPr>
            <w:tcW w:w="3566" w:type="dxa"/>
          </w:tcPr>
          <w:p>
            <w:pPr>
              <w:pStyle w:val="KestrelTableCell"/>
            </w:pPr>
            <w:r>
              <w:t xml:space="preserve">Issued following AF-2009-005, RN-2011-003.</w:t>
            </w:r>
          </w:p>
        </w:tc>
        <w:tc>
          <w:tcPr>
            <w:tcW w:w="1929" w:type="dxa"/>
          </w:tcPr>
          <w:p>
            <w:pPr>
              <w:pStyle w:val="KestrelTableCell"/>
            </w:pPr>
            <w:r>
              <w:t xml:space="preserve">R. Selassie (kestrel:selassie.r)</w:t>
            </w:r>
          </w:p>
        </w:tc>
      </w:tr>
      <w:tr>
        <w:tc>
          <w:tcPr>
            <w:tcW w:w="867" w:type="dxa"/>
          </w:tcPr>
          <w:p>
            <w:pPr>
              <w:pStyle w:val="KestrelTableCell"/>
            </w:pPr>
            <w:r>
              <w:t xml:space="preserve">004</w:t>
            </w:r>
          </w:p>
        </w:tc>
        <w:tc>
          <w:tcPr>
            <w:tcW w:w="1638" w:type="dxa"/>
          </w:tcPr>
          <w:p>
            <w:pPr>
              <w:pStyle w:val="KestrelTableCell"/>
            </w:pPr>
            <w:r>
              <w:t xml:space="preserve">7 November 2014</w:t>
            </w:r>
          </w:p>
        </w:tc>
        <w:tc>
          <w:tcPr>
            <w:tcW w:w="1638" w:type="dxa"/>
          </w:tcPr>
          <w:p>
            <w:pPr>
              <w:pStyle w:val="KestrelTableCell"/>
            </w:pPr>
            <w:r>
              <w:t xml:space="preserve">Control relaxed</w:t>
            </w:r>
          </w:p>
        </w:tc>
        <w:tc>
          <w:tcPr>
            <w:tcW w:w="3566" w:type="dxa"/>
          </w:tcPr>
          <w:p>
            <w:pPr>
              <w:pStyle w:val="KestrelTableCell"/>
            </w:pPr>
            <w:r>
              <w:t xml:space="preserve">Issued following INC-2013-018, INC-2014-012.</w:t>
            </w:r>
          </w:p>
        </w:tc>
        <w:tc>
          <w:tcPr>
            <w:tcW w:w="1929" w:type="dxa"/>
          </w:tcPr>
          <w:p>
            <w:pPr>
              <w:pStyle w:val="KestrelTableCell"/>
            </w:pPr>
            <w:r>
              <w:t xml:space="preserve">K. Winterbourne (kestrel:winterbourne.k)</w:t>
            </w:r>
          </w:p>
        </w:tc>
      </w:tr>
      <w:tr>
        <w:tc>
          <w:tcPr>
            <w:tcW w:w="867" w:type="dxa"/>
          </w:tcPr>
          <w:p>
            <w:pPr>
              <w:pStyle w:val="KestrelTableCell"/>
            </w:pPr>
            <w:r>
              <w:t xml:space="preserve">005</w:t>
            </w:r>
          </w:p>
        </w:tc>
        <w:tc>
          <w:tcPr>
            <w:tcW w:w="1638" w:type="dxa"/>
          </w:tcPr>
          <w:p>
            <w:pPr>
              <w:pStyle w:val="KestrelTableCell"/>
            </w:pPr>
            <w:r>
              <w:t xml:space="preserve">21 November 2016</w:t>
            </w:r>
          </w:p>
        </w:tc>
        <w:tc>
          <w:tcPr>
            <w:tcW w:w="1638" w:type="dxa"/>
          </w:tcPr>
          <w:p>
            <w:pPr>
              <w:pStyle w:val="KestrelTableCell"/>
            </w:pPr>
            <w:r>
              <w:t xml:space="preserve">Clause introduced</w:t>
            </w:r>
          </w:p>
        </w:tc>
        <w:tc>
          <w:tcPr>
            <w:tcW w:w="3566" w:type="dxa"/>
          </w:tcPr>
          <w:p>
            <w:pPr>
              <w:pStyle w:val="KestrelTableCell"/>
            </w:pPr>
            <w:r>
              <w:t xml:space="preserve">Full retypeset to the 2016 house standard. Clause identity is unchanged; printed labels and clause ordering are revised throughout.</w:t>
            </w:r>
          </w:p>
        </w:tc>
        <w:tc>
          <w:tcPr>
            <w:tcW w:w="1929" w:type="dxa"/>
          </w:tcPr>
          <w:p>
            <w:pPr>
              <w:pStyle w:val="KestrelTableCell"/>
            </w:pPr>
            <w:r>
              <w:t xml:space="preserve">K. Ferrand (kestrel:ferrand.k)</w:t>
            </w:r>
          </w:p>
        </w:tc>
      </w:tr>
      <w:tr>
        <w:tc>
          <w:tcPr>
            <w:tcW w:w="867" w:type="dxa"/>
          </w:tcPr>
          <w:p>
            <w:pPr>
              <w:pStyle w:val="KestrelTableCell"/>
            </w:pPr>
            <w:r>
              <w:t xml:space="preserve">006</w:t>
            </w:r>
          </w:p>
        </w:tc>
        <w:tc>
          <w:tcPr>
            <w:tcW w:w="1638" w:type="dxa"/>
          </w:tcPr>
          <w:p>
            <w:pPr>
              <w:pStyle w:val="KestrelTableCell"/>
            </w:pPr>
            <w:r>
              <w:t xml:space="preserve">22 October 2018</w:t>
            </w:r>
          </w:p>
        </w:tc>
        <w:tc>
          <w:tcPr>
            <w:tcW w:w="1638" w:type="dxa"/>
          </w:tcPr>
          <w:p>
            <w:pPr>
              <w:pStyle w:val="KestrelTableCell"/>
            </w:pPr>
            <w:r>
              <w:t xml:space="preserve">Control strengthened</w:t>
            </w:r>
          </w:p>
        </w:tc>
        <w:tc>
          <w:tcPr>
            <w:tcW w:w="3566" w:type="dxa"/>
          </w:tcPr>
          <w:p>
            <w:pPr>
              <w:pStyle w:val="KestrelTableCell"/>
            </w:pPr>
            <w:r>
              <w:t xml:space="preserve">Issued following INC-2018-015, INC-2018-016.</w:t>
            </w:r>
          </w:p>
        </w:tc>
        <w:tc>
          <w:tcPr>
            <w:tcW w:w="1929" w:type="dxa"/>
          </w:tcPr>
          <w:p>
            <w:pPr>
              <w:pStyle w:val="KestrelTableCell"/>
            </w:pPr>
            <w:r>
              <w:t xml:space="preserve">K. Escalante (kestrel:escalante.k)</w:t>
            </w:r>
          </w:p>
        </w:tc>
      </w:tr>
      <w:tr>
        <w:tc>
          <w:tcPr>
            <w:tcW w:w="867" w:type="dxa"/>
          </w:tcPr>
          <w:p>
            <w:pPr>
              <w:pStyle w:val="KestrelTableCell"/>
            </w:pPr>
            <w:r>
              <w:t xml:space="preserve">in/007</w:t>
            </w:r>
          </w:p>
        </w:tc>
        <w:tc>
          <w:tcPr>
            <w:tcW w:w="1638" w:type="dxa"/>
          </w:tcPr>
          <w:p>
            <w:pPr>
              <w:pStyle w:val="KestrelTableCell"/>
            </w:pPr>
            <w:r>
              <w:t xml:space="preserve">28 February 2019</w:t>
            </w:r>
          </w:p>
        </w:tc>
        <w:tc>
          <w:tcPr>
            <w:tcW w:w="1638" w:type="dxa"/>
          </w:tcPr>
          <w:p>
            <w:pPr>
              <w:pStyle w:val="KestrelTableCell"/>
            </w:pPr>
            <w:r>
              <w:t xml:space="preserve">Editorial restatement</w:t>
            </w:r>
          </w:p>
        </w:tc>
        <w:tc>
          <w:tcPr>
            <w:tcW w:w="3566" w:type="dxa"/>
          </w:tcPr>
          <w:p>
            <w:pPr>
              <w:pStyle w:val="KestrelTableCell"/>
            </w:pPr>
            <w:r>
              <w:t xml:space="preserve">Scheduled review. The basis of the control is unchanged. Received from PRO-ELE-008 revision 007.</w:t>
            </w:r>
          </w:p>
        </w:tc>
        <w:tc>
          <w:tcPr>
            <w:tcW w:w="1929" w:type="dxa"/>
          </w:tcPr>
          <w:p>
            <w:pPr>
              <w:pStyle w:val="KestrelTableCell"/>
            </w:pPr>
            <w:r>
              <w:t xml:space="preserve">M. Lindgren (kestrel:lindgren.m)</w:t>
            </w:r>
          </w:p>
        </w:tc>
      </w:tr>
      <w:tr>
        <w:tc>
          <w:tcPr>
            <w:tcW w:w="867" w:type="dxa"/>
          </w:tcPr>
          <w:p>
            <w:pPr>
              <w:pStyle w:val="KestrelTableCell"/>
            </w:pPr>
            <w:r>
              <w:t xml:space="preserve">007</w:t>
            </w:r>
          </w:p>
        </w:tc>
        <w:tc>
          <w:tcPr>
            <w:tcW w:w="1638" w:type="dxa"/>
          </w:tcPr>
          <w:p>
            <w:pPr>
              <w:pStyle w:val="KestrelTableCell"/>
            </w:pPr>
            <w:r>
              <w:t xml:space="preserve">4 October 2022</w:t>
            </w:r>
          </w:p>
        </w:tc>
        <w:tc>
          <w:tcPr>
            <w:tcW w:w="1638" w:type="dxa"/>
          </w:tcPr>
          <w:p>
            <w:pPr>
              <w:pStyle w:val="KestrelTableCell"/>
            </w:pPr>
            <w:r>
              <w:t xml:space="preserve">Clause introduced</w:t>
            </w:r>
          </w:p>
        </w:tc>
        <w:tc>
          <w:tcPr>
            <w:tcW w:w="3566" w:type="dxa"/>
          </w:tcPr>
          <w:p>
            <w:pPr>
              <w:pStyle w:val="KestrelTableCell"/>
            </w:pPr>
            <w:r>
              <w:t xml:space="preserve">Clauses transferred between controlled documents. Identity is carried with the clause; the printed label follows the receiving document.</w:t>
            </w:r>
          </w:p>
        </w:tc>
        <w:tc>
          <w:tcPr>
            <w:tcW w:w="1929" w:type="dxa"/>
          </w:tcPr>
          <w:p>
            <w:pPr>
              <w:pStyle w:val="KestrelTableCell"/>
            </w:pPr>
            <w:r>
              <w:t xml:space="preserve">M. Lindgren (kestrel:lindgren.m)</w:t>
            </w:r>
          </w:p>
        </w:tc>
      </w:tr>
    </w:tbl>
    <w:p>
      <w:pPr>
        <w:pStyle w:val="KestrelMeta"/>
      </w:pP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891"/>
        <w:gridCol w:w="6747"/>
      </w:tblGrid>
      <w:tr>
        <w:trPr>
          <w:tblHeader/>
        </w:trPr>
        <w:tc>
          <w:tcPr>
            <w:tcW w:w="2891" w:type="dxa"/>
            <w:shd w:val="clear" w:color="auto" w:fill="EDF1F6"/>
          </w:tcPr>
          <w:p>
            <w:pPr>
              <w:pStyle w:val="KestrelTableHead"/>
            </w:pPr>
            <w:r>
              <w:t xml:space="preserve">Document control</w:t>
            </w:r>
          </w:p>
        </w:tc>
        <w:tc>
          <w:tcPr>
            <w:tcW w:w="6747" w:type="dxa"/>
            <w:shd w:val="clear" w:color="auto" w:fill="EDF1F6"/>
          </w:tcPr>
          <w:p>
            <w:pPr>
              <w:pStyle w:val="KestrelTableHead"/>
            </w:pPr>
            <w:r>
              <w:t xml:space="preserve"/>
            </w:r>
          </w:p>
        </w:tc>
      </w:tr>
      <w:tr>
        <w:tc>
          <w:tcPr>
            <w:tcW w:w="2891" w:type="dxa"/>
          </w:tcPr>
          <w:p>
            <w:pPr>
              <w:pStyle w:val="KestrelTableHead"/>
            </w:pPr>
            <w:r>
              <w:t xml:space="preserve">Document</w:t>
            </w:r>
          </w:p>
        </w:tc>
        <w:tc>
          <w:tcPr>
            <w:tcW w:w="6747" w:type="dxa"/>
          </w:tcPr>
          <w:p>
            <w:pPr>
              <w:pStyle w:val="KestrelTableCell"/>
            </w:pPr>
            <w:r>
              <w:t xml:space="preserve">STD-PTW-001</w:t>
            </w:r>
          </w:p>
        </w:tc>
      </w:tr>
      <w:tr>
        <w:tc>
          <w:tcPr>
            <w:tcW w:w="2891" w:type="dxa"/>
          </w:tcPr>
          <w:p>
            <w:pPr>
              <w:pStyle w:val="KestrelTableHead"/>
            </w:pPr>
            <w:r>
              <w:t xml:space="preserve">Revision</w:t>
            </w:r>
          </w:p>
        </w:tc>
        <w:tc>
          <w:tcPr>
            <w:tcW w:w="6747" w:type="dxa"/>
          </w:tcPr>
          <w:p>
            <w:pPr>
              <w:pStyle w:val="KestrelTableCell"/>
            </w:pPr>
            <w:r>
              <w:t xml:space="preserve">007</w:t>
            </w:r>
          </w:p>
        </w:tc>
      </w:tr>
      <w:tr>
        <w:tc>
          <w:tcPr>
            <w:tcW w:w="2891" w:type="dxa"/>
          </w:tcPr>
          <w:p>
            <w:pPr>
              <w:pStyle w:val="KestrelTableHead"/>
            </w:pPr>
            <w:r>
              <w:t xml:space="preserve">Effective</w:t>
            </w:r>
          </w:p>
        </w:tc>
        <w:tc>
          <w:tcPr>
            <w:tcW w:w="6747" w:type="dxa"/>
          </w:tcPr>
          <w:p>
            <w:pPr>
              <w:pStyle w:val="KestrelTableCell"/>
            </w:pPr>
            <w:r>
              <w:t xml:space="preserve">4 October 2022</w:t>
            </w:r>
          </w:p>
        </w:tc>
      </w:tr>
      <w:tr>
        <w:tc>
          <w:tcPr>
            <w:tcW w:w="2891" w:type="dxa"/>
          </w:tcPr>
          <w:p>
            <w:pPr>
              <w:pStyle w:val="KestrelTableHead"/>
            </w:pPr>
            <w:r>
              <w:t xml:space="preserve">Site</w:t>
            </w:r>
          </w:p>
        </w:tc>
        <w:tc>
          <w:tcPr>
            <w:tcW w:w="6747" w:type="dxa"/>
          </w:tcPr>
          <w:p>
            <w:pPr>
              <w:pStyle w:val="KestrelTableCell"/>
            </w:pPr>
            <w:r>
              <w:t xml:space="preserve">Marrindal (MRD)</w:t>
            </w:r>
          </w:p>
        </w:tc>
      </w:tr>
      <w:tr>
        <w:tc>
          <w:tcPr>
            <w:tcW w:w="2891" w:type="dxa"/>
          </w:tcPr>
          <w:p>
            <w:pPr>
              <w:pStyle w:val="KestrelTableHead"/>
            </w:pPr>
            <w:r>
              <w:t xml:space="preserve">Material unwanted event</w:t>
            </w:r>
          </w:p>
        </w:tc>
        <w:tc>
          <w:tcPr>
            <w:tcW w:w="6747" w:type="dxa"/>
          </w:tcPr>
          <w:p>
            <w:pPr>
              <w:pStyle w:val="KestrelTableCell"/>
            </w:pPr>
            <w:r>
              <w:t xml:space="preserve">Isolation of stored energy</w:t>
            </w:r>
          </w:p>
        </w:tc>
      </w:tr>
      <w:tr>
        <w:tc>
          <w:tcPr>
            <w:tcW w:w="2891" w:type="dxa"/>
          </w:tcPr>
          <w:p>
            <w:pPr>
              <w:pStyle w:val="KestrelTableHead"/>
            </w:pPr>
            <w:r>
              <w:t xml:space="preserve">Owner</w:t>
            </w:r>
          </w:p>
        </w:tc>
        <w:tc>
          <w:tcPr>
            <w:tcW w:w="6747" w:type="dxa"/>
          </w:tcPr>
          <w:p>
            <w:pPr>
              <w:pStyle w:val="KestrelTableCell"/>
            </w:pPr>
            <w:r>
              <w:t xml:space="preserve">H. Larkin (kestrel:larkin.h)</w:t>
            </w:r>
          </w:p>
        </w:tc>
      </w:tr>
      <w:tr>
        <w:tc>
          <w:tcPr>
            <w:tcW w:w="2891" w:type="dxa"/>
          </w:tcPr>
          <w:p>
            <w:pPr>
              <w:pStyle w:val="KestrelTableHead"/>
            </w:pPr>
            <w:r>
              <w:t xml:space="preserve">Approved by</w:t>
            </w:r>
          </w:p>
        </w:tc>
        <w:tc>
          <w:tcPr>
            <w:tcW w:w="6747" w:type="dxa"/>
          </w:tcPr>
          <w:p>
            <w:pPr>
              <w:pStyle w:val="KestrelTableCell"/>
            </w:pPr>
            <w:r>
              <w:t xml:space="preserve">M. Lindgren (kestrel:lindgren.m)</w:t>
            </w:r>
          </w:p>
        </w:tc>
      </w:tr>
      <w:tr>
        <w:tc>
          <w:tcPr>
            <w:tcW w:w="2891" w:type="dxa"/>
          </w:tcPr>
          <w:p>
            <w:pPr>
              <w:pStyle w:val="KestrelTableHead"/>
            </w:pPr>
            <w:r>
              <w:t xml:space="preserve">Custodian</w:t>
            </w:r>
          </w:p>
        </w:tc>
        <w:tc>
          <w:tcPr>
            <w:tcW w:w="6747" w:type="dxa"/>
          </w:tcPr>
          <w:p>
            <w:pPr>
              <w:pStyle w:val="KestrelTableCell"/>
            </w:pPr>
            <w:r>
              <w:t xml:space="preserve">Site document control, Marrindal</w:t>
            </w:r>
          </w:p>
        </w:tc>
      </w:tr>
      <w:tr>
        <w:tc>
          <w:tcPr>
            <w:tcW w:w="2891" w:type="dxa"/>
          </w:tcPr>
          <w:p>
            <w:pPr>
              <w:pStyle w:val="KestrelTableHead"/>
            </w:pPr>
            <w:r>
              <w:t xml:space="preserve">Classification</w:t>
            </w:r>
          </w:p>
        </w:tc>
        <w:tc>
          <w:tcPr>
            <w:tcW w:w="6747" w:type="dxa"/>
          </w:tcPr>
          <w:p>
            <w:pPr>
              <w:pStyle w:val="KestrelTableCell"/>
            </w:pPr>
            <w:r>
              <w:t xml:space="preserve">Controlled document - uncontrolled when printed</w:t>
            </w:r>
          </w:p>
        </w:tc>
      </w:tr>
    </w:tbl>
    <w:p>
      <w:pPr>
        <w:pStyle w:val="KestrelMeta"/>
      </w:pPr>
    </w:p>
    <w:p>
      <w:pPr>
        <w:pStyle w:val="KestrelHeading"/>
      </w:pPr>
      <w:r>
        <w:t xml:space="preserve">1  Purpose</w:t>
      </w:r>
    </w:p>
    <w:p>
      <w:r>
        <w:t xml:space="preserve">This standard states the minimum controls that apply to Isolation of stored energy at Marrindal Concentrator and Hydrocarbon Transfer Facility. Procedures and permits that govern the work shall not reduce a control stated here.</w:t>
      </w:r>
    </w:p>
    <w:p>
      <w:pPr>
        <w:pStyle w:val="KestrelHeading"/>
      </w:pPr>
      <w:r>
        <w:t xml:space="preserve">2  Application</w:t>
      </w:r>
    </w:p>
    <w:p>
      <w:r>
        <w:t xml:space="preserve">This document applies to the plant and equipment listed in the register maintained for Marrindal Concentrator and Hydrocarbon Transfer Facility. Where a clause states a setpoint, that setpoint is a control requirement and not a guideline; where a clause requires a record, the record is part of the control.</w:t>
      </w:r>
    </w:p>
    <w:p>
      <w:pPr>
        <w:pStyle w:val="KestrelHeading"/>
      </w:pPr>
      <w:r>
        <w:t xml:space="preserve">3  Terms used in this revision</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3084"/>
        <w:gridCol w:w="6554"/>
      </w:tblGrid>
      <w:tr>
        <w:trPr>
          <w:tblHeader/>
        </w:trPr>
        <w:tc>
          <w:tcPr>
            <w:tcW w:w="3084" w:type="dxa"/>
            <w:shd w:val="clear" w:color="auto" w:fill="EDF1F6"/>
          </w:tcPr>
          <w:p>
            <w:pPr>
              <w:pStyle w:val="KestrelTableHead"/>
            </w:pPr>
            <w:r>
              <w:t xml:space="preserve">Term</w:t>
            </w:r>
          </w:p>
        </w:tc>
        <w:tc>
          <w:tcPr>
            <w:tcW w:w="6554" w:type="dxa"/>
            <w:shd w:val="clear" w:color="auto" w:fill="EDF1F6"/>
          </w:tcPr>
          <w:p>
            <w:pPr>
              <w:pStyle w:val="KestrelTableHead"/>
            </w:pPr>
            <w:r>
              <w:t xml:space="preserve">Meaning in this revision</w:t>
            </w:r>
          </w:p>
        </w:tc>
      </w:tr>
      <w:tr>
        <w:tc>
          <w:tcPr>
            <w:tcW w:w="3084" w:type="dxa"/>
          </w:tcPr>
          <w:p>
            <w:pPr>
              <w:pStyle w:val="KestrelTableHead"/>
            </w:pPr>
            <w:r>
              <w:t xml:space="preserve">material unwanted event control</w:t>
            </w:r>
          </w:p>
        </w:tc>
        <w:tc>
          <w:tcPr>
            <w:tcW w:w="6554" w:type="dxa"/>
          </w:tcPr>
          <w:p>
            <w:pPr>
              <w:pStyle w:val="KestrelTableCell"/>
            </w:pPr>
            <w:r>
              <w:t xml:space="preserve">As used in this revision. Revisions issued before 2010 refer to the same control as 'key safeguard'.</w:t>
            </w:r>
          </w:p>
        </w:tc>
      </w:tr>
      <w:tr>
        <w:tc>
          <w:tcPr>
            <w:tcW w:w="3084" w:type="dxa"/>
          </w:tcPr>
          <w:p>
            <w:pPr>
              <w:pStyle w:val="KestrelTableHead"/>
            </w:pPr>
            <w:r>
              <w:t xml:space="preserve">dropped object exposure control</w:t>
            </w:r>
          </w:p>
        </w:tc>
        <w:tc>
          <w:tcPr>
            <w:tcW w:w="6554" w:type="dxa"/>
          </w:tcPr>
          <w:p>
            <w:pPr>
              <w:pStyle w:val="KestrelTableCell"/>
            </w:pPr>
            <w:r>
              <w:t xml:space="preserve">As used in this revision. Revisions issued before 2010 refer to the same control as 'falling object'.</w:t>
            </w:r>
          </w:p>
        </w:tc>
      </w:tr>
      <w:tr>
        <w:tc>
          <w:tcPr>
            <w:tcW w:w="3084" w:type="dxa"/>
          </w:tcPr>
          <w:p>
            <w:pPr>
              <w:pStyle w:val="KestrelTableHead"/>
            </w:pPr>
            <w:r>
              <w:t xml:space="preserve">positive isolation verification</w:t>
            </w:r>
          </w:p>
        </w:tc>
        <w:tc>
          <w:tcPr>
            <w:tcW w:w="6554" w:type="dxa"/>
          </w:tcPr>
          <w:p>
            <w:pPr>
              <w:pStyle w:val="KestrelTableCell"/>
            </w:pPr>
            <w:r>
              <w:t xml:space="preserve">As used in this revision. Revisions issued before 2010 refer to the same control as 'danger tagging'.</w:t>
            </w:r>
          </w:p>
        </w:tc>
      </w:tr>
    </w:tbl>
    <w:p>
      <w:pPr>
        <w:pStyle w:val="KestrelMeta"/>
      </w:pPr>
    </w:p>
    <w:p>
      <w:pPr>
        <w:pStyle w:val="KestrelHeading"/>
      </w:pPr>
      <w:r>
        <w:t xml:space="preserve">4  Required controls</w:t>
      </w:r>
    </w:p>
    <w:p>
      <w:pPr>
        <w:pStyle w:val="KestrelHeading"/>
      </w:pPr>
      <w:r>
        <w:t xml:space="preserve">CHAPTER </w:t>
      </w:r>
      <w:r>
        <w:t xml:space="preserve">1</w:t>
      </w:r>
      <w:r>
        <w:t xml:space="preserve">  -  </w:t>
      </w:r>
      <w:r>
        <w:t xml:space="preserve">arc flash boundary and protective equipment</w:t>
      </w:r>
    </w:p>
    <w:p>
      <w:pPr>
        <w:pStyle w:val="KestrelSubheading"/>
      </w:pPr>
      <w:r>
        <w:t xml:space="preserve">Recovery controls</w:t>
      </w:r>
    </w:p>
    <w:p>
      <w:pPr>
        <w:pStyle w:val="KestrelClause"/>
      </w:pPr>
      <w:r>
        <w:rPr>
          <w:b/>
        </w:rPr>
        <w:t xml:space="preserve">1.2.1</w:t>
      </w:r>
      <w:r>
        <w:tab/>
      </w:r>
      <w:r>
        <w:t xml:space="preserve">The arc flash boundary and protective equipment shall be proven at the interval set by the responsible engineer, and the result of each proof shall be recorded against the equipment tag.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Heading"/>
      </w:pPr>
      <w:r>
        <w:t xml:space="preserve">CHAPTER </w:t>
      </w:r>
      <w:r>
        <w:t xml:space="preserve">2</w:t>
      </w:r>
      <w:r>
        <w:t xml:space="preserve">  -  </w:t>
      </w:r>
      <w:r>
        <w:t xml:space="preserve">identification of every energy source for the task</w:t>
      </w:r>
    </w:p>
    <w:p>
      <w:pPr>
        <w:pStyle w:val="KestrelSubheading"/>
      </w:pPr>
      <w:r>
        <w:t xml:space="preserve">Preventive controls</w:t>
      </w:r>
    </w:p>
    <w:p>
      <w:pPr>
        <w:pStyle w:val="KestrelClause"/>
      </w:pPr>
      <w:r>
        <w:rPr>
          <w:b/>
        </w:rPr>
        <w:t xml:space="preserve">2.1.1</w:t>
      </w:r>
      <w:r>
        <w:tab/>
      </w:r>
      <w:r>
        <w:t xml:space="preserve">No person shall commence the task until the identification of every energy source for the task has been completed and confirmed by the person in charge of the work. In this revision the control is administered under the site's positive isolation verification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Clause"/>
      </w:pPr>
      <w:r>
        <w:rPr>
          <w:b/>
        </w:rPr>
        <w:t xml:space="preserve">2.1.2</w:t>
      </w:r>
      <w:r>
        <w:tab/>
      </w:r>
      <w:r>
        <w:t xml:space="preserve">The identification of every energy source for the task shall be applied in accordance with AS/NZS 4836 (safe working on or near low-voltage installations) and independently confirmed by a second competent person before work proceeds. In this revision the control is administered under the site's positive isolation verification arrangements. The completed record shall be retained on the STD-PTW-001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Heading"/>
      </w:pPr>
      <w:r>
        <w:t xml:space="preserve">CHAPTER </w:t>
      </w:r>
      <w:r>
        <w:t xml:space="preserve">3</w:t>
      </w:r>
      <w:r>
        <w:t xml:space="preserve">  -  </w:t>
      </w:r>
      <w:r>
        <w:t xml:space="preserve">integrity of explosion-protected equipment in zoned areas</w:t>
      </w:r>
    </w:p>
    <w:p>
      <w:pPr>
        <w:pStyle w:val="KestrelSubheading"/>
      </w:pPr>
      <w:r>
        <w:t xml:space="preserve">Preventive controls</w:t>
      </w:r>
    </w:p>
    <w:p>
      <w:pPr>
        <w:pStyle w:val="KestrelClause"/>
      </w:pPr>
      <w:r>
        <w:rPr>
          <w:b/>
        </w:rPr>
        <w:t xml:space="preserve">3.1.1</w:t>
      </w:r>
      <w:r>
        <w:tab/>
      </w:r>
      <w:r>
        <w:t xml:space="preserve">The integrity of explosion-protected equipment in zoned areas shall be established and confirmed in place before the task begins, and shall remain in place until the work is complete and the area has been handed back.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Heading"/>
      </w:pPr>
      <w:r>
        <w:t xml:space="preserve">CHAPTER </w:t>
      </w:r>
      <w:r>
        <w:t xml:space="preserve">2</w:t>
      </w:r>
      <w:r>
        <w:t xml:space="preserve">  -  </w:t>
      </w:r>
      <w:r>
        <w:t xml:space="preserve">identification of every energy source for the task</w:t>
      </w:r>
    </w:p>
    <w:p>
      <w:pPr>
        <w:pStyle w:val="KestrelSubheading"/>
      </w:pPr>
      <w:r>
        <w:t xml:space="preserve">Preventive controls</w:t>
      </w:r>
    </w:p>
    <w:p>
      <w:pPr>
        <w:pStyle w:val="KestrelClause"/>
      </w:pPr>
      <w:r>
        <w:rPr>
          <w:b/>
        </w:rPr>
        <w:t xml:space="preserve">2.1.3</w:t>
      </w:r>
      <w:r>
        <w:tab/>
      </w:r>
      <w:r>
        <w:t xml:space="preserve">The supervisor shall not authorise the task unless the identification of every energy source for the task has been carried out for every energy source and every item of plant within the declared boundary. In this revision the control is administered under the site's positive isolation verification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Heading"/>
      </w:pPr>
      <w:r>
        <w:t xml:space="preserve">CHAPTER </w:t>
      </w:r>
      <w:r>
        <w:t xml:space="preserve">3</w:t>
      </w:r>
      <w:r>
        <w:t xml:space="preserve">  -  </w:t>
      </w:r>
      <w:r>
        <w:t xml:space="preserve">integrity of explosion-protected equipment in zoned areas</w:t>
      </w:r>
    </w:p>
    <w:p>
      <w:pPr>
        <w:pStyle w:val="KestrelSubheading"/>
      </w:pPr>
      <w:r>
        <w:t xml:space="preserve">Preventive controls</w:t>
      </w:r>
    </w:p>
    <w:p>
      <w:pPr>
        <w:pStyle w:val="KestrelClause"/>
      </w:pPr>
      <w:r>
        <w:rPr>
          <w:b/>
        </w:rPr>
        <w:t xml:space="preserve">3.1.2</w:t>
      </w:r>
      <w:r>
        <w:tab/>
      </w:r>
      <w:r>
        <w:t xml:space="preserve">The integrity of explosion-protected equipment in zoned areas shall be applied in accordance with IEC 60204-1 (electrical equipment of machines — general requirements) and independently confirmed by a second competent person before work proceeds. In this revision the control is administered under the site's material unwanted event control arrangements. The completed record shall be retained on the STD-PTW-001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Heading"/>
      </w:pPr>
      <w:r>
        <w:t xml:space="preserve">CHAPTER </w:t>
      </w:r>
      <w:r>
        <w:t xml:space="preserve">4</w:t>
      </w:r>
      <w:r>
        <w:t xml:space="preserve">  -  </w:t>
      </w:r>
      <w:r>
        <w:t xml:space="preserve">controlled removal of isolation and return to service</w:t>
      </w:r>
    </w:p>
    <w:p>
      <w:pPr>
        <w:pStyle w:val="KestrelSubheading"/>
      </w:pPr>
      <w:r>
        <w:t xml:space="preserve">Preventive controls</w:t>
      </w:r>
    </w:p>
    <w:p>
      <w:pPr>
        <w:pStyle w:val="KestrelClause"/>
      </w:pPr>
      <w:r>
        <w:rPr>
          <w:b/>
        </w:rPr>
        <w:t xml:space="preserve">4.1.1</w:t>
      </w:r>
      <w:r>
        <w:tab/>
      </w:r>
      <w:r>
        <w:t xml:space="preserve">The supervisor shall not authorise the task unless the controlled removal of isolation and return to service has been carried out for every energy source and every item of plant within the declared boundary. In this revision the control is administered under the site's positive isolation verification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4.1.2</w:t>
      </w:r>
      <w:r>
        <w:tab/>
      </w:r>
      <w:r>
        <w:t xml:space="preserve">The controlled removal of isolation and return to service shall be applied in accordance with AS 4024.1603 (safety of machinery — prevention of unexpected start-up) and independently confirmed by a second competent person before work proceeds. In this revision the control is administered under the site's positive isolation verification arrangements. The completed record shall be retained on the STD-PTW-001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4.1.3</w:t>
      </w:r>
      <w:r>
        <w:tab/>
      </w:r>
      <w:r>
        <w:t xml:space="preserve">The controlled removal of isolation and return to service shall be established and confirmed in place before the task begins, and shall remain in place until the work is complete and the area has been handed back. In this revision the control is administered under the site's positive isolation verification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4.1.4</w:t>
      </w:r>
      <w:r>
        <w:tab/>
      </w:r>
      <w:r>
        <w:t xml:space="preserve">The controlled removal of isolation and return to service shall be applied in accordance with AS 4024.1603 (safety of machinery — prevention of unexpected start-up) and independently confirmed by a second competent person before work proceeds. In this revision the control is administered under the site's positive isolation verification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Heading"/>
      </w:pPr>
      <w:r>
        <w:t xml:space="preserve">CHAPTER </w:t>
      </w:r>
      <w:r>
        <w:t xml:space="preserve">5</w:t>
      </w:r>
      <w:r>
        <w:t xml:space="preserve">  -  </w:t>
      </w:r>
      <w:r>
        <w:t xml:space="preserve">mechanical support of a load during maintenance access</w:t>
      </w:r>
    </w:p>
    <w:p>
      <w:pPr>
        <w:pStyle w:val="KestrelSubheading"/>
      </w:pPr>
      <w:r>
        <w:t xml:space="preserve">Preventive controls</w:t>
      </w:r>
    </w:p>
    <w:p>
      <w:pPr>
        <w:pStyle w:val="KestrelClause"/>
      </w:pPr>
      <w:r>
        <w:rPr>
          <w:b/>
        </w:rPr>
        <w:t xml:space="preserve">5.1.1</w:t>
      </w:r>
      <w:r>
        <w:tab/>
      </w:r>
      <w:r>
        <w:t xml:space="preserve">The mechanical support of a load during maintenance access shall be established and confirmed in place before the task begins, and shall remain in place until the work is complete and the area has been handed back. In this revision the control is administered under the site's dropped object exposure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Clause"/>
      </w:pPr>
      <w:r>
        <w:rPr>
          <w:b/>
        </w:rPr>
        <w:t xml:space="preserve">5.1.2</w:t>
      </w:r>
      <w:r>
        <w:tab/>
      </w:r>
      <w:r>
        <w:t xml:space="preserve">The mechanical support of a load during maintenance access shall be established and confirmed in place before the task begins, and shall remain in place until the work is complete and the area has been handed back. In this revision the control is administered under the site's dropped object exposure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Clause"/>
      </w:pPr>
      <w:r>
        <w:rPr>
          <w:b/>
        </w:rPr>
        <w:t xml:space="preserve">5.1.3</w:t>
      </w:r>
      <w:r>
        <w:tab/>
      </w:r>
      <w:r>
        <w:t xml:space="preserve">The supervisor shall not authorise the task unless the mechanical support of a load during maintenance access has been carried out for every energy source and every item of plant within the declared boundary. In this revision the control is administered under the site's dropped object exposure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Clause"/>
      </w:pPr>
      <w:r>
        <w:rPr>
          <w:b/>
        </w:rPr>
        <w:t xml:space="preserve">5.1.4</w:t>
      </w:r>
      <w:r>
        <w:tab/>
      </w:r>
      <w:r>
        <w:t xml:space="preserve">No person shall commence the task until the mechanical support of a load during maintenance access has been completed and confirmed by the person in charge of the work. In this revision the control is administered under the site's dropped object exposure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Clause"/>
      </w:pPr>
      <w:r>
        <w:rPr>
          <w:b/>
        </w:rPr>
        <w:t xml:space="preserve">5.1.5</w:t>
      </w:r>
      <w:r>
        <w:tab/>
      </w:r>
      <w:r>
        <w:t xml:space="preserve">The supervisor shall not authorise the task unless the mechanical support of a load during maintenance access has been carried out for every energy source and every item of plant within the declared boundary. In this revision the control is administered under the site's dropped object exposure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5.1.6</w:t>
      </w:r>
      <w:r>
        <w:tab/>
      </w:r>
      <w:r>
        <w:t xml:space="preserve">The mechanical support of a load during maintenance access shall be established and confirmed in place before the task begins, and shall remain in place until the work is complete and the area has been handed back. In this revision the control is administered under the site's dropped object exposure control arrangements. The completed record shall be retained on the STD-PTW-001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Heading"/>
      </w:pPr>
      <w:r>
        <w:t xml:space="preserve">CHAPTER </w:t>
      </w:r>
      <w:r>
        <w:t xml:space="preserve">6</w:t>
      </w:r>
      <w:r>
        <w:t xml:space="preserve">  -  </w:t>
      </w:r>
      <w:r>
        <w:t xml:space="preserve">parking, chocking and restraint of equipment</w:t>
      </w:r>
    </w:p>
    <w:p>
      <w:pPr>
        <w:pStyle w:val="KestrelSubheading"/>
      </w:pPr>
      <w:r>
        <w:t xml:space="preserve">Preventive controls</w:t>
      </w:r>
    </w:p>
    <w:p>
      <w:pPr>
        <w:pStyle w:val="KestrelClause"/>
      </w:pPr>
      <w:r>
        <w:rPr>
          <w:b/>
        </w:rPr>
        <w:t xml:space="preserve">6.1.1</w:t>
      </w:r>
      <w:r>
        <w:tab/>
      </w:r>
      <w:r>
        <w:t xml:space="preserve">The parking, chocking and restraint of equipment shall be established and confirmed in place before the task begins, and shall remain in place until the work is complete and the area has been handed back. In this revision the control is administered under the site's material unwanted event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Clause"/>
      </w:pPr>
      <w:r>
        <w:rPr>
          <w:b/>
        </w:rPr>
        <w:t xml:space="preserve">6.1.2</w:t>
      </w:r>
      <w:r>
        <w:tab/>
      </w:r>
      <w:r>
        <w:t xml:space="preserve">No person shall commence the task until the parking, chocking and restraint of equipment has been completed and confirmed by the person in charge of the work.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Clause"/>
      </w:pPr>
      <w:r>
        <w:rPr>
          <w:b/>
        </w:rPr>
        <w:t xml:space="preserve">6.1.3</w:t>
      </w:r>
      <w:r>
        <w:tab/>
      </w:r>
      <w:r>
        <w:t xml:space="preserve">The supervisor shall not authorise the task unless the parking, chocking and restraint of equipment has been carried out for every energy source and every item of plant within the declared boundary.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Clause"/>
      </w:pPr>
      <w:r>
        <w:rPr>
          <w:b/>
        </w:rPr>
        <w:t xml:space="preserve">6.1.4</w:t>
      </w:r>
      <w:r>
        <w:tab/>
      </w:r>
      <w:r>
        <w:t xml:space="preserve">The parking, chocking and restraint of equipment shall be applied in accordance with AS 4024.1603 (safety of machinery — prevention of unexpected start-up) and independently confirmed by a second competent person before work proceeds. In this revision the control is administered under the site's material unwanted event control arrangements. The completed record shall be retained on the STD-PTW-001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6.1.5</w:t>
      </w:r>
      <w:r>
        <w:tab/>
      </w:r>
      <w:r>
        <w:t xml:space="preserve">The parking, chocking and restraint of equipment shall be established and confirmed in place before the task begins, and shall remain in place until the work is complete and the area has been handed back. In this revision the control is administered under the site's material unwanted event control arrangements. The completed record shall be retained on the STD-PTW-001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Heading"/>
      </w:pPr>
      <w:r>
        <w:t xml:space="preserve">CHAPTER </w:t>
      </w:r>
      <w:r>
        <w:t xml:space="preserve">7</w:t>
      </w:r>
      <w:r>
        <w:t xml:space="preserve">  -  </w:t>
      </w:r>
      <w:r>
        <w:t xml:space="preserve">application of positive isolation devices and personal locks</w:t>
      </w:r>
    </w:p>
    <w:p>
      <w:pPr>
        <w:pStyle w:val="KestrelSubheading"/>
      </w:pPr>
      <w:r>
        <w:t xml:space="preserve">Preventive controls</w:t>
      </w:r>
    </w:p>
    <w:p>
      <w:pPr>
        <w:pStyle w:val="KestrelClause"/>
      </w:pPr>
      <w:r>
        <w:rPr>
          <w:b/>
        </w:rPr>
        <w:t xml:space="preserve">7.1.1</w:t>
      </w:r>
      <w:r>
        <w:tab/>
      </w:r>
      <w:r>
        <w:t xml:space="preserve">The supervisor shall not authorise the task unless the application of positive isolation devices and personal locks has been carried out for every energy source and every item of plant within the declared boundary. In this revision the control is administered under the site's positive isolation verification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7.1.2</w:t>
      </w:r>
      <w:r>
        <w:tab/>
      </w:r>
      <w:r>
        <w:t xml:space="preserve">No person shall commence the task until the application of positive isolation devices and personal locks has been completed and confirmed by the person in charge of the work. In this revision the control is administered under the site's positive isolation verification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Heading"/>
      </w:pPr>
      <w:r>
        <w:t xml:space="preserve">CHAPTER </w:t>
      </w:r>
      <w:r>
        <w:t xml:space="preserve">8</w:t>
      </w:r>
      <w:r>
        <w:t xml:space="preserve">  -  </w:t>
      </w:r>
      <w:r>
        <w:t xml:space="preserve">dissipation or restraint of trapped and residual energy</w:t>
      </w:r>
    </w:p>
    <w:p>
      <w:pPr>
        <w:pStyle w:val="KestrelSubheading"/>
      </w:pPr>
      <w:r>
        <w:t xml:space="preserve">Preventive controls</w:t>
      </w:r>
    </w:p>
    <w:p>
      <w:pPr>
        <w:pStyle w:val="KestrelClause"/>
      </w:pPr>
      <w:r>
        <w:rPr>
          <w:b/>
        </w:rPr>
        <w:t xml:space="preserve">8.1.1</w:t>
      </w:r>
      <w:r>
        <w:tab/>
      </w:r>
      <w:r>
        <w:t xml:space="preserve">The dissipation or restraint of trapped and residual energy shall be established and confirmed in place before the task begins, and shall remain in place until the work is complete and the area has been handed back. In this revision the control is administered under the site's unrelieved potential energy arrangements. The completed record shall be retained on the STD-PTW-001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Clause"/>
      </w:pPr>
      <w:r>
        <w:rPr>
          <w:b/>
        </w:rPr>
        <w:t xml:space="preserve">8.1.2</w:t>
      </w:r>
      <w:r>
        <w:tab/>
      </w:r>
      <w:r>
        <w:t xml:space="preserve">The dissipation or restraint of trapped and residual energy shall be applied in accordance with AS 4024.1603 (safety of machinery — prevention of unexpected start-up) and independently confirmed by a second competent person before work proceeds. In this revision the control is administered under the site's unrelieved potential energy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8.1.3</w:t>
      </w:r>
      <w:r>
        <w:tab/>
      </w:r>
      <w:r>
        <w:t xml:space="preserve">The dissipation or restraint of trapped and residual energy shall be established and confirmed in place before the task begins, and shall remain in place until the work is complete and the area has been handed back. In this revision the control is administered under the site's unrelieved potential energy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Clause"/>
      </w:pPr>
      <w:r>
        <w:rPr>
          <w:b/>
        </w:rPr>
        <w:t xml:space="preserve">8.1.4</w:t>
      </w:r>
      <w:r>
        <w:tab/>
      </w:r>
      <w:r>
        <w:t xml:space="preserve">The dissipation or restraint of trapped and residual energy shall be applied in accordance with AS 4024.1603 (safety of machinery — prevention of unexpected start-up) and independently confirmed by a second competent person before work proceeds. In this revision the control is administered under the site's unrelieved potential energy arrangements. The completed record shall be retained on the STD-PTW-001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8.1.5</w:t>
      </w:r>
      <w:r>
        <w:tab/>
      </w:r>
      <w:r>
        <w:t xml:space="preserve">The dissipation or restraint of trapped and residual energy shall be applied in accordance with WHS Reg r.62 (duty in relation to plant with energy sources) and independently confirmed by a second competent person before work proceeds. In this revision the control is administered under the site's unrelieved potential energy arrangements. The completed record shall be retained on the STD-PTW-001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Heading"/>
      </w:pPr>
      <w:r>
        <w:t xml:space="preserve">CHAPTER </w:t>
      </w:r>
      <w:r>
        <w:t xml:space="preserve">9</w:t>
      </w:r>
      <w:r>
        <w:t xml:space="preserve">  -  </w:t>
      </w:r>
      <w:r>
        <w:t xml:space="preserve">authorisation of switching and access to apparatus</w:t>
      </w:r>
    </w:p>
    <w:p>
      <w:pPr>
        <w:pStyle w:val="KestrelSubheading"/>
      </w:pPr>
      <w:r>
        <w:t xml:space="preserve">Preventive controls</w:t>
      </w:r>
    </w:p>
    <w:p>
      <w:pPr>
        <w:pStyle w:val="KestrelClause"/>
      </w:pPr>
      <w:r>
        <w:rPr>
          <w:b/>
        </w:rPr>
        <w:t xml:space="preserve">9.1.1</w:t>
      </w:r>
      <w:r>
        <w:tab/>
      </w:r>
      <w:r>
        <w:t xml:space="preserve">No person shall commence the task until the authorisation of switching and access to apparatus has been completed and confirmed by the person in charge of the work. In this revision the control is administered under the site's material unwanted event control arrangements. The completed record shall be retained on the STD-PTW-001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Heading"/>
      </w:pPr>
      <w:r>
        <w:t xml:space="preserve">CHAPTER </w:t>
      </w:r>
      <w:r>
        <w:t xml:space="preserve">8</w:t>
      </w:r>
      <w:r>
        <w:t xml:space="preserve">  -  </w:t>
      </w:r>
      <w:r>
        <w:t xml:space="preserve">dissipation or restraint of trapped and residual energy</w:t>
      </w:r>
    </w:p>
    <w:p>
      <w:pPr>
        <w:pStyle w:val="KestrelSubheading"/>
      </w:pPr>
      <w:r>
        <w:t xml:space="preserve">Preventive controls</w:t>
      </w:r>
    </w:p>
    <w:p>
      <w:pPr>
        <w:pStyle w:val="KestrelClause"/>
      </w:pPr>
      <w:r>
        <w:rPr>
          <w:b/>
        </w:rPr>
        <w:t xml:space="preserve">8.1.6</w:t>
      </w:r>
      <w:r>
        <w:tab/>
      </w:r>
      <w:r>
        <w:t xml:space="preserve">No person shall commence the task until the dissipation or restraint of trapped and residual energy has been completed and confirmed by the person in charge of the work. In this revision the control is administered under the site's unrelieved potential energy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Heading"/>
      </w:pPr>
      <w:r>
        <w:t xml:space="preserve">CHAPTER </w:t>
      </w:r>
      <w:r>
        <w:t xml:space="preserve">9</w:t>
      </w:r>
      <w:r>
        <w:t xml:space="preserve">  -  </w:t>
      </w:r>
      <w:r>
        <w:t xml:space="preserve">authorisation of switching and access to apparatus</w:t>
      </w:r>
    </w:p>
    <w:p>
      <w:pPr>
        <w:pStyle w:val="KestrelSubheading"/>
      </w:pPr>
      <w:r>
        <w:t xml:space="preserve">Preventive controls</w:t>
      </w:r>
    </w:p>
    <w:p>
      <w:pPr>
        <w:pStyle w:val="KestrelClause"/>
      </w:pPr>
      <w:r>
        <w:rPr>
          <w:b/>
        </w:rPr>
        <w:t xml:space="preserve">9.1.2</w:t>
      </w:r>
      <w:r>
        <w:tab/>
      </w:r>
      <w:r>
        <w:t xml:space="preserve">The supervisor shall not authorise the task unless the authorisation of switching and access to apparatus has been carried out for every energy source and every item of plant within the declared boundary. In this revision the control is administered under the site's material unwanted event control arrangements. The completed record shall be retained on the STD-PTW-001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Heading"/>
      </w:pPr>
      <w:r>
        <w:t xml:space="preserve">CHAPTER </w:t>
      </w:r>
      <w:r>
        <w:t xml:space="preserve">10</w:t>
      </w:r>
      <w:r>
        <w:t xml:space="preserve">  -  </w:t>
      </w:r>
      <w:r>
        <w:t xml:space="preserve">proving zero energy before intrusive work</w:t>
      </w:r>
    </w:p>
    <w:p>
      <w:pPr>
        <w:pStyle w:val="KestrelSubheading"/>
      </w:pPr>
      <w:r>
        <w:t xml:space="preserve">Preventive controls</w:t>
      </w:r>
    </w:p>
    <w:p>
      <w:pPr>
        <w:pStyle w:val="KestrelClause"/>
      </w:pPr>
      <w:r>
        <w:rPr>
          <w:b/>
        </w:rPr>
        <w:t xml:space="preserve">10.1.1</w:t>
      </w:r>
      <w:r>
        <w:tab/>
      </w:r>
      <w:r>
        <w:t xml:space="preserve">The supervisor shall not authorise the task unless the proving zero energy before intrusive work has been carried out for every energy source and every item of plant within the declared boundary. In this revision the control is administered under the site's assurance activity arrangements. The completed record shall be retained on the STD-PTW-001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re-verification interval for a long-duration isolation: 12 hours. Any departure requires an approved change assurance before the change is made.</w:t>
      </w:r>
    </w:p>
    <w:p>
      <w:pPr>
        <w:pStyle w:val="KestrelMeta"/>
      </w:pPr>
      <w:r>
        <w:rPr>
          <w:i/>
        </w:rPr>
        <w:t xml:space="preserve">Reference: </w:t>
      </w:r>
      <w:r>
        <w:rPr>
          <w:i/>
        </w:rPr>
        <w:t xml:space="preserve">IEC 60204-1 (electrical equipment of machines — general requirements)</w:t>
      </w:r>
    </w:p>
    <w:p>
      <w:pPr>
        <w:pStyle w:val="KestrelClause"/>
      </w:pPr>
      <w:r>
        <w:rPr>
          <w:b/>
        </w:rPr>
        <w:t xml:space="preserve">10.1.2</w:t>
      </w:r>
      <w:r>
        <w:tab/>
      </w:r>
      <w:r>
        <w:t xml:space="preserve">No person shall commence the task until the proving zero energy before intrusive work has been completed and confirmed by the person in charge of the work. In this revision the control is administered under the site's assurance activity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418" w:right="1134" w:bottom="1134" w:left="1134"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decimal"/>
      <w:lvlText w:val="%1)"/>
      <w:lvlJc w:val="left"/>
      <w:pPr>
        <w:ind w:left="1332"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Calibri" w:hAnsi="Calibri"/>
      <w:b/>
      <w:caps/>
      <w:color w:val="1F3864"/>
      <w:sz w:val="32"/>
      <w:szCs w:val="32"/>
    </w:rPr>
  </w:style>
  <w:style w:type="paragraph" w:styleId="KestrelSubtitle">
    <w:name w:val="Kestrel Subtitle"/>
    <w:basedOn w:val="Normal"/>
    <w:qFormat/>
    <w:pPr>
      <w:spacing w:after="240"/>
    </w:pPr>
    <w:rPr>
      <w:rFonts w:ascii="Calibri" w:hAnsi="Calibri"/>
      <w:color w:val="1F3864"/>
      <w:sz w:val="21"/>
      <w:szCs w:val="21"/>
    </w:rPr>
  </w:style>
  <w:style w:type="paragraph" w:styleId="KestrelHeading">
    <w:name w:val="Kestrel Heading"/>
    <w:basedOn w:val="Normal"/>
    <w:qFormat/>
    <w:pPr>
      <w:keepNext/>
      <w:spacing w:before="280" w:after="120"/>
      <w:pBdr>
        <w:bottom w:val="single" w:sz="6" w:space="2" w:color="8496B0"/>
      </w:pBdr>
    </w:pPr>
    <w:rPr>
      <w:rFonts w:ascii="Calibri" w:hAnsi="Calibri"/>
      <w:b/>
      <w:smallCaps/>
      <w:color w:val="1F3864"/>
      <w:sz w:val="26"/>
      <w:szCs w:val="26"/>
    </w:rPr>
  </w:style>
  <w:style w:type="paragraph" w:styleId="KestrelSubheading">
    <w:name w:val="Kestrel Subheading"/>
    <w:basedOn w:val="Normal"/>
    <w:qFormat/>
    <w:pPr>
      <w:keepNext/>
      <w:spacing w:before="160" w:after="80"/>
    </w:pPr>
    <w:rPr>
      <w:rFonts w:ascii="Calibri" w:hAnsi="Calibri"/>
      <w:b/>
      <w:i/>
      <w:sz w:val="21"/>
      <w:szCs w:val="21"/>
    </w:rPr>
  </w:style>
  <w:style w:type="paragraph" w:styleId="KestrelClause">
    <w:name w:val="Kestrel Clause"/>
    <w:basedOn w:val="Normal"/>
    <w:qFormat/>
    <w:pPr>
      <w:ind w:left="992" w:hanging="992"/>
      <w:spacing w:after="120"/>
      <w:jc w:val="both"/>
    </w:pPr>
  </w:style>
  <w:style w:type="paragraph" w:styleId="KestrelPoint">
    <w:name w:val="Kestrel Clause Point"/>
    <w:basedOn w:val="Normal"/>
    <w:qFormat/>
    <w:pPr>
      <w:numPr>
        <w:ilvl w:val="0"/>
        <w:numId w:val="1"/>
      </w:numPr>
      <w:ind w:left="1332" w:hanging="340"/>
      <w:spacing w:after="60"/>
    </w:pPr>
  </w:style>
  <w:style w:type="paragraph" w:styleId="KestrelSetpoint">
    <w:name w:val="Kestrel Setpoint"/>
    <w:basedOn w:val="Normal"/>
    <w:qFormat/>
    <w:pPr>
      <w:ind w:left="992"/>
      <w:spacing w:before="60" w:after="160"/>
    </w:pPr>
    <w:rPr>
      <w:b/>
    </w:rPr>
  </w:style>
  <w:style w:type="paragraph" w:styleId="KestrelMeta">
    <w:name w:val="Kestrel Meta"/>
    <w:basedOn w:val="Normal"/>
    <w:qFormat/>
    <w:pPr>
      <w:spacing w:after="0"/>
    </w:pPr>
    <w:rPr>
      <w:sz w:val="17"/>
      <w:szCs w:val="17"/>
    </w:rPr>
  </w:style>
  <w:style w:type="paragraph" w:styleId="KestrelTableHead">
    <w:name w:val="Kestrel Table Heading"/>
    <w:basedOn w:val="Normal"/>
    <w:qFormat/>
    <w:pPr>
      <w:spacing w:after="0"/>
    </w:pPr>
    <w:rPr>
      <w:b/>
      <w:sz w:val="17"/>
      <w:szCs w:val="17"/>
    </w:rPr>
  </w:style>
  <w:style w:type="paragraph" w:styleId="KestrelTableCell">
    <w:name w:val="Kestrel Table Cell"/>
    <w:basedOn w:val="Normal"/>
    <w:qFormat/>
    <w:pPr>
      <w:spacing w:after="0"/>
    </w:pPr>
    <w:rPr>
      <w:sz w:val="17"/>
      <w:szCs w:val="17"/>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std_g2</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STD-PTW-001 - Permit to Work</dc:title>
  <dc:subject>Marrindal Concentrator and Hydrocarbon Transfer Facility; revision 007; effective 2022-10-04</dc:subject>
  <dc:creator>M. Lindgren (kestrel:lindgren.m)</dc:creator>
  <cp:lastModifiedBy>M. Lindgren (kestrel:lindgren.m)</cp:lastModifiedBy>
  <cp:revision>007</cp:revision>
  <dcterms:created xsi:type="dcterms:W3CDTF">2022-10-04T00:00:00Z</dcterms:created>
  <dcterms:modified xsi:type="dcterms:W3CDTF">2022-10-04T00:00:00Z</dcterms:modified>
  <cp:category>Kestrel controlled document (STD)</cp:category>
  <cp:contentStatus>Issued</cp:contentStatus>
</cp:coreProperties>
</file>