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rPr>
          <w:rFonts w:ascii="Arial" w:cs="Arial" w:eastAsia="Arial" w:hAnsi="Arial"/>
          <w:b/>
          <w:bCs/>
          <w:color w:val="1A6B5A"/>
          <w:sz w:val="52"/>
          <w:szCs w:val="52"/>
        </w:rPr>
        <w:t xml:space="preserve">SME Sustainability Pulse</w:t>
      </w:r>
    </w:p>
    <w:p>
      <w:pPr>
        <w:spacing w:before="0" w:after="80"/>
      </w:pPr>
      <w:r>
        <w:rPr>
          <w:rFonts w:ascii="Arial" w:cs="Arial" w:eastAsia="Arial" w:hAnsi="Arial"/>
          <w:color w:val="555555"/>
          <w:sz w:val="28"/>
          <w:szCs w:val="28"/>
        </w:rPr>
        <w:t xml:space="preserve">Relational Schema — Table &amp; Relationship Reference</w:t>
      </w:r>
    </w:p>
    <w:p>
      <w:pPr>
        <w:pBdr>
          <w:bottom w:val="single" w:color="1A6B5A" w:sz="6" w:space="1"/>
        </w:pBdr>
        <w:spacing w:before="100" w:after="320"/>
      </w:pPr>
      <w:r>
        <w:t xml:space="preserve"/>
      </w:r>
    </w:p>
    <w:p>
      <w:pPr>
        <w:pStyle w:val="Heading1"/>
        <w:spacing w:before="360" w:after="120"/>
      </w:pPr>
      <w:r>
        <w:rPr>
          <w:rFonts w:ascii="Arial" w:cs="Arial" w:eastAsia="Arial" w:hAnsi="Arial"/>
          <w:b/>
          <w:bCs/>
          <w:color w:val="1A6B5A"/>
          <w:sz w:val="28"/>
          <w:szCs w:val="28"/>
        </w:rPr>
        <w:t xml:space="preserve">Overview</w:t>
      </w:r>
    </w:p>
    <w:p>
      <w:pPr>
        <w:spacing w:before="60" w:after="100"/>
      </w:pPr>
      <w:r>
        <w:rPr>
          <w:rFonts w:ascii="Arial" w:cs="Arial" w:eastAsia="Arial" w:hAnsi="Arial"/>
          <w:sz w:val="20"/>
          <w:szCs w:val="20"/>
        </w:rPr>
        <w:t xml:space="preserve">This document describes every table in the SME Sustainability Pulse PostgreSQL schema, its columns with types and constraints, and how tables relate to each other. The schema supports three sustainability metrics:</w:t>
      </w:r>
    </w:p>
    <w:p>
      <w:pPr>
        <w:spacing w:before="60" w:after="100"/>
      </w:pPr>
      <w:r>
        <w:rPr>
          <w:rFonts w:ascii="Arial" w:cs="Arial" w:eastAsia="Arial" w:hAnsi="Arial"/>
          <w:sz w:val="20"/>
          <w:szCs w:val="20"/>
        </w:rPr>
        <w:t xml:space="preserve">  Metric 01 — GHG Emissions (Scope 1, 2, 3): activity data is parsed into typed tables, normalised into activities, and emission results are stored in emissions.</w:t>
      </w:r>
    </w:p>
    <w:p>
      <w:pPr>
        <w:spacing w:before="60" w:after="100"/>
      </w:pPr>
      <w:r>
        <w:rPr>
          <w:rFonts w:ascii="Arial" w:cs="Arial" w:eastAsia="Arial" w:hAnsi="Arial"/>
          <w:sz w:val="20"/>
          <w:szCs w:val="20"/>
        </w:rPr>
        <w:t xml:space="preserve">  Metric 02 — Energy Intensity: total kWh from parsed_electricity is aggregated and stored in energy_metrics with a configurable business denominator (packages, revenue, employees).</w:t>
      </w:r>
    </w:p>
    <w:p>
      <w:pPr>
        <w:spacing w:before="60" w:after="100"/>
      </w:pPr>
      <w:r>
        <w:rPr>
          <w:rFonts w:ascii="Arial" w:cs="Arial" w:eastAsia="Arial" w:hAnsi="Arial"/>
          <w:sz w:val="20"/>
          <w:szCs w:val="20"/>
        </w:rPr>
        <w:t xml:space="preserve">  Metric 03 — Water Usage and Waste Diversion: raw volumes from parsed_water and parsed_waste are pre-aggregated into water_metrics and waste_metrics, including a diversion rate.</w:t>
      </w:r>
    </w:p>
    <w:p>
      <w:pPr>
        <w:spacing w:before="80" w:after="80"/>
      </w:pPr>
      <w:r>
        <w:t xml:space="preserve"/>
      </w:r>
    </w:p>
    <w:p>
      <w:pPr>
        <w:pStyle w:val="Heading1"/>
        <w:spacing w:before="360" w:after="120"/>
      </w:pPr>
      <w:r>
        <w:rPr>
          <w:rFonts w:ascii="Arial" w:cs="Arial" w:eastAsia="Arial" w:hAnsi="Arial"/>
          <w:b/>
          <w:bCs/>
          <w:color w:val="1A6B5A"/>
          <w:sz w:val="28"/>
          <w:szCs w:val="28"/>
        </w:rPr>
        <w:t xml:space="preserve">Data Flow</w:t>
      </w:r>
    </w:p>
    <w:p>
      <w:pPr>
        <w:spacing w:before="60" w:after="100"/>
      </w:pPr>
      <w:r>
        <w:rPr>
          <w:rFonts w:ascii="Arial" w:cs="Arial" w:eastAsia="Arial" w:hAnsi="Arial"/>
          <w:sz w:val="20"/>
          <w:szCs w:val="20"/>
        </w:rPr>
        <w:t xml:space="preserve">1. Raw documents (OCR / DocAI JSON) are written to the documents table.</w:t>
      </w:r>
    </w:p>
    <w:p>
      <w:pPr>
        <w:spacing w:before="60" w:after="100"/>
      </w:pPr>
      <w:r>
        <w:rPr>
          <w:rFonts w:ascii="Arial" w:cs="Arial" w:eastAsia="Arial" w:hAnsi="Arial"/>
          <w:sz w:val="20"/>
          <w:szCs w:val="20"/>
        </w:rPr>
        <w:t xml:space="preserve">2. Extraction pipelines parse each document into one of six typed parsed_* tables (electricity, stationary fuel, vehicle fuel, shipping, waste, water).</w:t>
      </w:r>
    </w:p>
    <w:p>
      <w:pPr>
        <w:spacing w:before="60" w:after="100"/>
      </w:pPr>
      <w:r>
        <w:rPr>
          <w:rFonts w:ascii="Arial" w:cs="Arial" w:eastAsia="Arial" w:hAnsi="Arial"/>
          <w:sz w:val="20"/>
          <w:szCs w:val="20"/>
        </w:rPr>
        <w:t xml:space="preserve">3. A normalisation step creates a corresponding row in activities, linking back to the parsed row via the polymorphic (parsed_table, parsed_id) pair and recording the GHG scope.</w:t>
      </w:r>
    </w:p>
    <w:p>
      <w:pPr>
        <w:spacing w:before="60" w:after="100"/>
      </w:pPr>
      <w:r>
        <w:rPr>
          <w:rFonts w:ascii="Arial" w:cs="Arial" w:eastAsia="Arial" w:hAnsi="Arial"/>
          <w:sz w:val="20"/>
          <w:szCs w:val="20"/>
        </w:rPr>
        <w:t xml:space="preserve">4. The calculation engine reads each activity, applies the appropriate emission factor, and writes one row to emissions.</w:t>
      </w:r>
    </w:p>
    <w:p>
      <w:pPr>
        <w:spacing w:before="60" w:after="100"/>
      </w:pPr>
      <w:r>
        <w:rPr>
          <w:rFonts w:ascii="Arial" w:cs="Arial" w:eastAsia="Arial" w:hAnsi="Arial"/>
          <w:sz w:val="20"/>
          <w:szCs w:val="20"/>
        </w:rPr>
        <w:t xml:space="preserve">5. Recommendations are attached to activities as free-text suggestions.</w:t>
      </w:r>
    </w:p>
    <w:p>
      <w:pPr>
        <w:spacing w:before="60" w:after="100"/>
      </w:pPr>
      <w:r>
        <w:rPr>
          <w:rFonts w:ascii="Arial" w:cs="Arial" w:eastAsia="Arial" w:hAnsi="Arial"/>
          <w:sz w:val="20"/>
          <w:szCs w:val="20"/>
        </w:rPr>
        <w:t xml:space="preserve">6. Scheduled aggregation jobs populate energy_metrics, water_metrics, and waste_metrics so dashboard queries stay fast.</w:t>
      </w:r>
    </w:p>
    <w:p>
      <w:pPr>
        <w:spacing w:before="80" w:after="80"/>
      </w:pPr>
      <w:r>
        <w:t xml:space="preserve"/>
      </w:r>
    </w:p>
    <w:p>
      <w:pPr>
        <w:pStyle w:val="Heading1"/>
        <w:spacing w:before="360" w:after="120"/>
      </w:pPr>
      <w:r>
        <w:rPr>
          <w:rFonts w:ascii="Arial" w:cs="Arial" w:eastAsia="Arial" w:hAnsi="Arial"/>
          <w:b/>
          <w:bCs/>
          <w:color w:val="1A6B5A"/>
          <w:sz w:val="28"/>
          <w:szCs w:val="28"/>
        </w:rPr>
        <w:t xml:space="preserve">Table Definitions</w:t>
      </w:r>
    </w:p>
    <w:p>
      <w:pPr>
        <w:pStyle w:val="Heading2"/>
        <w:spacing w:before="280" w:after="100"/>
      </w:pPr>
      <w:r>
        <w:rPr>
          <w:rFonts w:ascii="Arial" w:cs="Arial" w:eastAsia="Arial" w:hAnsi="Arial"/>
          <w:b/>
          <w:bCs/>
          <w:color w:val="145247"/>
          <w:sz w:val="24"/>
          <w:szCs w:val="24"/>
        </w:rPr>
        <w:t xml:space="preserve">1. documents</w:t>
      </w:r>
    </w:p>
    <w:p>
      <w:pPr>
        <w:spacing w:before="60" w:after="100"/>
      </w:pPr>
      <w:r>
        <w:rPr>
          <w:rFonts w:ascii="Arial" w:cs="Arial" w:eastAsia="Arial" w:hAnsi="Arial"/>
          <w:sz w:val="20"/>
          <w:szCs w:val="20"/>
        </w:rPr>
        <w:t xml:space="preserve">Entry point for all ingested data. Stores the raw JSON payload from OCR or Document AI. Every parsed_* table references a row here.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document_id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Auto-incrementing surrogate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document_type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Category of document: receipt, utility, shipment, waste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exported_json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JSONB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Raw OCR / Document AI JSON payload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source_filename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VARCHAR(255)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Original file name for traceability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Record creation timestamp</w:t>
            </w:r>
          </w:p>
        </w:tc>
      </w:tr>
    </w:tbl>
    <w:p>
      <w:pPr>
        <w:spacing w:before="120" w:after="160"/>
      </w:pPr>
      <w:r>
        <w:t xml:space="preserve"/>
      </w:r>
    </w:p>
    <w:p>
      <w:pPr>
        <w:pStyle w:val="Heading2"/>
        <w:spacing w:before="280" w:after="100"/>
      </w:pPr>
      <w:r>
        <w:rPr>
          <w:rFonts w:ascii="Arial" w:cs="Arial" w:eastAsia="Arial" w:hAnsi="Arial"/>
          <w:b/>
          <w:bCs/>
          <w:color w:val="145247"/>
          <w:sz w:val="24"/>
          <w:szCs w:val="24"/>
        </w:rPr>
        <w:t xml:space="preserve">2. parsed_electricity  [Scope 2]</w:t>
      </w:r>
    </w:p>
    <w:p>
      <w:pPr>
        <w:spacing w:before="60" w:after="100"/>
      </w:pPr>
      <w:r>
        <w:rPr>
          <w:rFonts w:ascii="Arial" w:cs="Arial" w:eastAsia="Arial" w:hAnsi="Arial"/>
          <w:sz w:val="20"/>
          <w:szCs w:val="20"/>
        </w:rPr>
        <w:t xml:space="preserve">Electricity consumption parsed from utility bills. The kwh value and location are used to calculate Scope 2 emissions using a regional grid emission factor.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parsed_id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document_id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FK → documents (CASCADE)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Source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kwh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Electricity consumed in kilowatt-hours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unit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'kWh'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Unit label (kWh / KWH / kwh)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location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State or region — used to look up the correct grid emission factor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Billing period start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Billing period end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before="120" w:after="160"/>
      </w:pPr>
      <w:r>
        <w:t xml:space="preserve"/>
      </w:r>
    </w:p>
    <w:p>
      <w:pPr>
        <w:pStyle w:val="Heading2"/>
        <w:spacing w:before="280" w:after="100"/>
      </w:pPr>
      <w:r>
        <w:rPr>
          <w:rFonts w:ascii="Arial" w:cs="Arial" w:eastAsia="Arial" w:hAnsi="Arial"/>
          <w:b/>
          <w:bCs/>
          <w:color w:val="145247"/>
          <w:sz w:val="24"/>
          <w:szCs w:val="24"/>
        </w:rPr>
        <w:t xml:space="preserve">3. parsed_stationary_fuel  [Scope 1]</w:t>
      </w:r>
    </w:p>
    <w:p>
      <w:pPr>
        <w:spacing w:before="60" w:after="100"/>
      </w:pPr>
      <w:r>
        <w:rPr>
          <w:rFonts w:ascii="Arial" w:cs="Arial" w:eastAsia="Arial" w:hAnsi="Arial"/>
          <w:sz w:val="20"/>
          <w:szCs w:val="20"/>
        </w:rPr>
        <w:t xml:space="preserve">Fuel burned in boilers, furnaces, and other fixed equipment on-site.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parsed_id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document_id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FK → documents (CASCADE)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Source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fuel_type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natural_gas | propane | heating_oil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Type of stationary fuel burned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quantity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Volume of fuel consumed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unit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therm | gallon | ft3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before="120" w:after="160"/>
      </w:pPr>
      <w:r>
        <w:t xml:space="preserve"/>
      </w:r>
    </w:p>
    <w:p>
      <w:pPr>
        <w:pStyle w:val="Heading2"/>
        <w:spacing w:before="280" w:after="100"/>
      </w:pPr>
      <w:r>
        <w:rPr>
          <w:rFonts w:ascii="Arial" w:cs="Arial" w:eastAsia="Arial" w:hAnsi="Arial"/>
          <w:b/>
          <w:bCs/>
          <w:color w:val="145247"/>
          <w:sz w:val="24"/>
          <w:szCs w:val="24"/>
        </w:rPr>
        <w:t xml:space="preserve">4. parsed_vehicle_fuel  [Scope 1]</w:t>
      </w:r>
    </w:p>
    <w:p>
      <w:pPr>
        <w:spacing w:before="60" w:after="100"/>
      </w:pPr>
      <w:r>
        <w:rPr>
          <w:rFonts w:ascii="Arial" w:cs="Arial" w:eastAsia="Arial" w:hAnsi="Arial"/>
          <w:sz w:val="20"/>
          <w:szCs w:val="20"/>
        </w:rPr>
        <w:t xml:space="preserve">Fuel purchased for company-owned or leased vehicles.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parsed_id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document_id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FK → documents (CASCADE)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Source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fuel_type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gasoline | diesel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Type of vehicle fuel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quantity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Volume of fuel consumed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unit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gallon | liter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Unit of measurement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before="120" w:after="160"/>
      </w:pPr>
      <w:r>
        <w:t xml:space="preserve"/>
      </w:r>
    </w:p>
    <w:p>
      <w:pPr>
        <w:pStyle w:val="Heading2"/>
        <w:spacing w:before="280" w:after="100"/>
      </w:pPr>
      <w:r>
        <w:rPr>
          <w:rFonts w:ascii="Arial" w:cs="Arial" w:eastAsia="Arial" w:hAnsi="Arial"/>
          <w:b/>
          <w:bCs/>
          <w:color w:val="145247"/>
          <w:sz w:val="24"/>
          <w:szCs w:val="24"/>
        </w:rPr>
        <w:t xml:space="preserve">5. parsed_shipping  [Scope 3]</w:t>
      </w:r>
    </w:p>
    <w:p>
      <w:pPr>
        <w:spacing w:before="60" w:after="100"/>
      </w:pPr>
      <w:r>
        <w:rPr>
          <w:rFonts w:ascii="Arial" w:cs="Arial" w:eastAsia="Arial" w:hAnsi="Arial"/>
          <w:sz w:val="20"/>
          <w:szCs w:val="20"/>
        </w:rPr>
        <w:t xml:space="preserve">Freight shipment details used to estimate transportation emissions. Emissions are calculated using weight × distance × a mode-specific emission factor.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parsed_id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document_id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FK → documents (CASCADE)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Source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weight_tons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Cargo weight in short tons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distance_miles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Distance shipped in miles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transport_mode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truck | ship | air | rail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Mode of transport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before="120" w:after="160"/>
      </w:pPr>
      <w:r>
        <w:t xml:space="preserve"/>
      </w:r>
    </w:p>
    <w:p>
      <w:pPr>
        <w:pStyle w:val="Heading2"/>
        <w:spacing w:before="280" w:after="100"/>
      </w:pPr>
      <w:r>
        <w:rPr>
          <w:rFonts w:ascii="Arial" w:cs="Arial" w:eastAsia="Arial" w:hAnsi="Arial"/>
          <w:b/>
          <w:bCs/>
          <w:color w:val="145247"/>
          <w:sz w:val="24"/>
          <w:szCs w:val="24"/>
        </w:rPr>
        <w:t xml:space="preserve">6. parsed_waste  [Scope 3]</w:t>
      </w:r>
    </w:p>
    <w:p>
      <w:pPr>
        <w:spacing w:before="60" w:after="100"/>
      </w:pPr>
      <w:r>
        <w:rPr>
          <w:rFonts w:ascii="Arial" w:cs="Arial" w:eastAsia="Arial" w:hAnsi="Arial"/>
          <w:sz w:val="20"/>
          <w:szCs w:val="20"/>
        </w:rPr>
        <w:t xml:space="preserve">Waste generation records. Disposal method drives both GHG calculation and waste diversion reporting.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parsed_id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document_id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FK → documents (CASCADE)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Source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waste_weight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Weight of waste generated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unit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kg | lb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Unit of weight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disposal_method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landfill | recycle | compost | incinerate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How the waste was disposed of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before="120" w:after="160"/>
      </w:pPr>
      <w:r>
        <w:t xml:space="preserve"/>
      </w:r>
    </w:p>
    <w:p>
      <w:pPr>
        <w:pStyle w:val="Heading2"/>
        <w:spacing w:before="280" w:after="100"/>
      </w:pPr>
      <w:r>
        <w:rPr>
          <w:rFonts w:ascii="Arial" w:cs="Arial" w:eastAsia="Arial" w:hAnsi="Arial"/>
          <w:b/>
          <w:bCs/>
          <w:color w:val="145247"/>
          <w:sz w:val="24"/>
          <w:szCs w:val="24"/>
        </w:rPr>
        <w:t xml:space="preserve">7. parsed_water  [Non-GHG]</w:t>
      </w:r>
    </w:p>
    <w:p>
      <w:pPr>
        <w:spacing w:before="60" w:after="100"/>
      </w:pPr>
      <w:r>
        <w:rPr>
          <w:rFonts w:ascii="Arial" w:cs="Arial" w:eastAsia="Arial" w:hAnsi="Arial"/>
          <w:sz w:val="20"/>
          <w:szCs w:val="20"/>
        </w:rPr>
        <w:t xml:space="preserve">Water consumption volumes from invoices or meter reads. Feeds Metric 03 water KPIs but does not contribute to CO2e calculations.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parsed_id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document_id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FK → documents (CASCADE)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Source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water_volume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Volume of water consumed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unit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gallon | m3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Unit of volume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location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Facility or site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before="120" w:after="160"/>
      </w:pPr>
      <w:r>
        <w:t xml:space="preserve"/>
      </w:r>
    </w:p>
    <w:p>
      <w:pPr>
        <w:pStyle w:val="Heading2"/>
        <w:spacing w:before="280" w:after="100"/>
      </w:pPr>
      <w:r>
        <w:rPr>
          <w:rFonts w:ascii="Arial" w:cs="Arial" w:eastAsia="Arial" w:hAnsi="Arial"/>
          <w:b/>
          <w:bCs/>
          <w:color w:val="145247"/>
          <w:sz w:val="24"/>
          <w:szCs w:val="24"/>
        </w:rPr>
        <w:t xml:space="preserve">8. activities</w:t>
      </w:r>
    </w:p>
    <w:p>
      <w:pPr>
        <w:spacing w:before="60" w:after="100"/>
      </w:pPr>
      <w:r>
        <w:rPr>
          <w:rFonts w:ascii="Arial" w:cs="Arial" w:eastAsia="Arial" w:hAnsi="Arial"/>
          <w:sz w:val="20"/>
          <w:szCs w:val="20"/>
        </w:rPr>
        <w:t xml:space="preserve">Normalised activity registry. Each row represents one standardised sustainability event and links back to its source parsed table via the polymorphic pair (parsed_table, parsed_id). The scope column marks which GHG scope the activity belongs to; it is NULL for non-GHG activities such as water usage.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activity_id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parsed_table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Name of the source parsed_*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parsed_id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PK value in the source parsed_* table (polymorphic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activity_type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(6 values)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purchased_electricity | stationary_fuel_combustion | vehicle_fuel_use | transportation_shipping | waste_generation | water_usage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scope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SMALLINT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1, 2, 3, or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GHG scope; NULL for non-GHG activities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location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before="120" w:after="160"/>
      </w:pPr>
      <w:r>
        <w:t xml:space="preserve"/>
      </w:r>
    </w:p>
    <w:p>
      <w:pPr>
        <w:pStyle w:val="Heading2"/>
        <w:spacing w:before="280" w:after="100"/>
      </w:pPr>
      <w:r>
        <w:rPr>
          <w:rFonts w:ascii="Arial" w:cs="Arial" w:eastAsia="Arial" w:hAnsi="Arial"/>
          <w:b/>
          <w:bCs/>
          <w:color w:val="145247"/>
          <w:sz w:val="24"/>
          <w:szCs w:val="24"/>
        </w:rPr>
        <w:t xml:space="preserve">9. emissions  [Metric 01]</w:t>
      </w:r>
    </w:p>
    <w:p>
      <w:pPr>
        <w:spacing w:before="60" w:after="100"/>
      </w:pPr>
      <w:r>
        <w:rPr>
          <w:rFonts w:ascii="Arial" w:cs="Arial" w:eastAsia="Arial" w:hAnsi="Arial"/>
          <w:sz w:val="20"/>
          <w:szCs w:val="20"/>
        </w:rPr>
        <w:t xml:space="preserve">GHG emission calculation results. One row per activity (enforced by UNIQUE constraint on activity_id). The emission factor value and unit are stored here for full audit traceability — factors are not managed in a separate reference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emission_id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activity_id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FK → activities (CASCADE), UNIQUE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One emission record per activity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emissions_kg_co2e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Calculated emissions in kilograms CO2e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emissions_metric_tons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Calculated emissions in metric tons CO2e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factor_used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Numeric value of the emission factor applied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factor_unit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Unit of the emission factor, e.g. kg CO2e/kWh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calculated_at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 when the calculation was run</w:t>
            </w:r>
          </w:p>
        </w:tc>
      </w:tr>
    </w:tbl>
    <w:p>
      <w:pPr>
        <w:spacing w:before="120" w:after="160"/>
      </w:pPr>
      <w:r>
        <w:t xml:space="preserve"/>
      </w:r>
    </w:p>
    <w:p>
      <w:pPr>
        <w:pStyle w:val="Heading2"/>
        <w:spacing w:before="280" w:after="100"/>
      </w:pPr>
      <w:r>
        <w:rPr>
          <w:rFonts w:ascii="Arial" w:cs="Arial" w:eastAsia="Arial" w:hAnsi="Arial"/>
          <w:b/>
          <w:bCs/>
          <w:color w:val="145247"/>
          <w:sz w:val="24"/>
          <w:szCs w:val="24"/>
        </w:rPr>
        <w:t xml:space="preserve">10. energy_metrics  [Metric 02]</w:t>
      </w:r>
    </w:p>
    <w:p>
      <w:pPr>
        <w:spacing w:before="60" w:after="100"/>
      </w:pPr>
      <w:r>
        <w:rPr>
          <w:rFonts w:ascii="Arial" w:cs="Arial" w:eastAsia="Arial" w:hAnsi="Arial"/>
          <w:sz w:val="20"/>
          <w:szCs w:val="20"/>
        </w:rPr>
        <w:t xml:space="preserve">Pre-aggregated energy intensity results. Stores the total kWh for a period and the intensity ratio relative to a chosen business denominator (packages, revenue, employees). Populated by a scheduled job to keep dashboards fast.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energy_metric_id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total_kwh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Total electricity consumed in the period (kWh)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denominator_type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Business unit used as denominator, e.g. packages, revenue_1000_usd, employees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denominator_value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&gt;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Value of the denominator for the period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energy_intensity_value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Calculated intensity = total_kwh / denominator_value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energy_intensity_unit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Human-readable unit label, e.g. kWh/package or kWh per $1000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before="120" w:after="160"/>
      </w:pPr>
      <w:r>
        <w:t xml:space="preserve"/>
      </w:r>
    </w:p>
    <w:p>
      <w:pPr>
        <w:pStyle w:val="Heading2"/>
        <w:spacing w:before="280" w:after="100"/>
      </w:pPr>
      <w:r>
        <w:rPr>
          <w:rFonts w:ascii="Arial" w:cs="Arial" w:eastAsia="Arial" w:hAnsi="Arial"/>
          <w:b/>
          <w:bCs/>
          <w:color w:val="145247"/>
          <w:sz w:val="24"/>
          <w:szCs w:val="24"/>
        </w:rPr>
        <w:t xml:space="preserve">11. water_metrics  [Metric 03]</w:t>
      </w:r>
    </w:p>
    <w:p>
      <w:pPr>
        <w:spacing w:before="60" w:after="100"/>
      </w:pPr>
      <w:r>
        <w:rPr>
          <w:rFonts w:ascii="Arial" w:cs="Arial" w:eastAsia="Arial" w:hAnsi="Arial"/>
          <w:sz w:val="20"/>
          <w:szCs w:val="20"/>
        </w:rPr>
        <w:t xml:space="preserve">Aggregated water consumption totals by reporting period. Sourced from parsed_water rows via a scheduled aggregation job.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water_metric_id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total_water_volume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Total water consumed in the period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unit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gallon | m3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Unit of volume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before="120" w:after="160"/>
      </w:pPr>
      <w:r>
        <w:t xml:space="preserve"/>
      </w:r>
    </w:p>
    <w:p>
      <w:pPr>
        <w:pStyle w:val="Heading2"/>
        <w:spacing w:before="280" w:after="100"/>
      </w:pPr>
      <w:r>
        <w:rPr>
          <w:rFonts w:ascii="Arial" w:cs="Arial" w:eastAsia="Arial" w:hAnsi="Arial"/>
          <w:b/>
          <w:bCs/>
          <w:color w:val="145247"/>
          <w:sz w:val="24"/>
          <w:szCs w:val="24"/>
        </w:rPr>
        <w:t xml:space="preserve">12. waste_metrics  [Metric 03]</w:t>
      </w:r>
    </w:p>
    <w:p>
      <w:pPr>
        <w:spacing w:before="60" w:after="100"/>
      </w:pPr>
      <w:r>
        <w:rPr>
          <w:rFonts w:ascii="Arial" w:cs="Arial" w:eastAsia="Arial" w:hAnsi="Arial"/>
          <w:sz w:val="20"/>
          <w:szCs w:val="20"/>
        </w:rPr>
        <w:t xml:space="preserve">Aggregated waste totals and diversion rate by reporting period. The diversion_rate is a fraction (0–1) representing the proportion of waste recycled or composted rather than sent to landfill or incineration.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waste_metric_id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period_end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total_waste_kg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Total waste generated in kilograms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recycled_waste_kg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Waste sent to recycling in kilograms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composted_waste_kg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 ≥ 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Waste sent to composting in kilograms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diversion_rate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NUMERIC(18,6)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recycled+composted ≤ total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Fraction of waste diverted from landfill (0–1)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before="120" w:after="160"/>
      </w:pPr>
      <w:r>
        <w:t xml:space="preserve"/>
      </w:r>
    </w:p>
    <w:p>
      <w:pPr>
        <w:pStyle w:val="Heading2"/>
        <w:spacing w:before="280" w:after="100"/>
      </w:pPr>
      <w:r>
        <w:rPr>
          <w:rFonts w:ascii="Arial" w:cs="Arial" w:eastAsia="Arial" w:hAnsi="Arial"/>
          <w:b/>
          <w:bCs/>
          <w:color w:val="145247"/>
          <w:sz w:val="24"/>
          <w:szCs w:val="24"/>
        </w:rPr>
        <w:t xml:space="preserve">13. recommendations</w:t>
      </w:r>
    </w:p>
    <w:p>
      <w:pPr>
        <w:spacing w:before="60" w:after="100"/>
      </w:pPr>
      <w:r>
        <w:rPr>
          <w:rFonts w:ascii="Arial" w:cs="Arial" w:eastAsia="Arial" w:hAnsi="Arial"/>
          <w:sz w:val="20"/>
          <w:szCs w:val="20"/>
        </w:rPr>
        <w:t xml:space="preserve">Free-text improvement suggestions linked to a specific activity. Multiple recommendations can be attached to one activity.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recommendation_id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PRIMARY KEY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activity_id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BIGINT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FK → activities (CASCADE)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Activity this recommendation addresses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recommendation_text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Human-readable improvement suggestion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DEFAULT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before="120" w:after="160"/>
      </w:pPr>
      <w:r>
        <w:t xml:space="preserve"/>
      </w:r>
    </w:p>
    <w:p>
      <w:pPr>
        <w:pStyle w:val="Heading1"/>
        <w:spacing w:before="360" w:after="120"/>
      </w:pPr>
      <w:r>
        <w:rPr>
          <w:rFonts w:ascii="Arial" w:cs="Arial" w:eastAsia="Arial" w:hAnsi="Arial"/>
          <w:b/>
          <w:bCs/>
          <w:color w:val="1A6B5A"/>
          <w:sz w:val="28"/>
          <w:szCs w:val="28"/>
        </w:rPr>
        <w:t xml:space="preserve">Relationships</w:t>
      </w:r>
    </w:p>
    <w:p>
      <w:pPr>
        <w:spacing w:before="60" w:after="100"/>
      </w:pPr>
      <w:r>
        <w:rPr>
          <w:rFonts w:ascii="Arial" w:cs="Arial" w:eastAsia="Arial" w:hAnsi="Arial"/>
          <w:sz w:val="20"/>
          <w:szCs w:val="20"/>
        </w:rPr>
        <w:t xml:space="preserve">The table below lists every foreign-key and polymorphic relationship in the schema.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3060"/>
      </w:tblGrid>
      <w:tr>
        <w:trPr>
          <w:tblHeader/>
        </w:trPr>
        <w:tc>
          <w:tcPr>
            <w:tcW w:type="dxa" w:w="24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4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15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Cardinality</w:t>
            </w:r>
          </w:p>
        </w:tc>
        <w:tc>
          <w:tcPr>
            <w:tcW w:type="dxa" w:w="30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documents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parsed_electricity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 → Many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One document can yield multiple electricity records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documents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parsed_stationary_fuel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 → Many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documents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parsed_vehicle_fuel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 → Many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documents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parsed_shipping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 → Many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documents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parsed_waste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 → Many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documents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parsed_water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 → Many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parsed_* tables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activities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 → 1 (polymorphic)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Linked via (parsed_table, parsed_id). No hard FK — allows a single activities table across all source types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activities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 → 0..1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UNIQUE constraint on activity_id ensures at most one emission record per 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activities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recommendations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 → Many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Multiple suggestions can be attached to one activity</w:t>
            </w:r>
          </w:p>
        </w:tc>
      </w:tr>
    </w:tbl>
    <w:p>
      <w:pPr>
        <w:spacing w:before="120" w:after="160"/>
      </w:pPr>
      <w:r>
        <w:t xml:space="preserve"/>
      </w:r>
    </w:p>
    <w:p>
      <w:pPr>
        <w:pStyle w:val="Heading1"/>
        <w:spacing w:before="360" w:after="120"/>
      </w:pPr>
      <w:r>
        <w:rPr>
          <w:rFonts w:ascii="Arial" w:cs="Arial" w:eastAsia="Arial" w:hAnsi="Arial"/>
          <w:b/>
          <w:bCs/>
          <w:color w:val="1A6B5A"/>
          <w:sz w:val="28"/>
          <w:szCs w:val="28"/>
        </w:rPr>
        <w:t xml:space="preserve">Dashboard Views</w:t>
      </w:r>
    </w:p>
    <w:p>
      <w:pPr>
        <w:spacing w:before="60" w:after="100"/>
      </w:pPr>
      <w:r>
        <w:rPr>
          <w:rFonts w:ascii="Arial" w:cs="Arial" w:eastAsia="Arial" w:hAnsi="Arial"/>
          <w:sz w:val="20"/>
          <w:szCs w:val="20"/>
        </w:rPr>
        <w:t xml:space="preserve">Two read-only views are provided to simplify dashboard queries. They compute on the fly from the underlying tables and store no data of their own.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View Name</w:t>
            </w:r>
          </w:p>
        </w:tc>
        <w:tc>
          <w:tcPr>
            <w:tcW w:type="dxa" w:w="24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Source Tables</w:t>
            </w:r>
          </w:p>
        </w:tc>
        <w:tc>
          <w:tcPr>
            <w:tcW w:type="dxa" w:w="376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activity_emissions_dashboard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activities, emissions, recommendations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Unified join for the main dashboard. Returns activity type, scope, period, metric ton emissions, and recommendation text per activity.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ghg_totals_by_scope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activities, emissions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Sums metric ton emissions grouped by GHG scope. Drives Scope 1 / 2 / 3 breakdown charts.</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SME Sustainability Pulse — Schema Reference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6B5A"/>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1452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2026-02-22T05:27:04.473Z</dcterms:created>
  <dcterms:modified xsi:type="dcterms:W3CDTF">2026-02-22T05:27:04.475Z</dcterms:modified>
</cp:coreProperties>
</file>

<file path=docProps/custom.xml><?xml version="1.0" encoding="utf-8"?>
<Properties xmlns="http://schemas.openxmlformats.org/officeDocument/2006/custom-properties" xmlns:vt="http://schemas.openxmlformats.org/officeDocument/2006/docPropsVTypes"/>
</file>