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a0ywvwv39kv" w:id="0"/>
      <w:bookmarkEnd w:id="0"/>
      <w:r w:rsidDel="00000000" w:rsidR="00000000" w:rsidRPr="00000000">
        <w:rPr>
          <w:rtl w:val="0"/>
        </w:rPr>
        <w:t xml:space="preserve">Professional Cloud Architect Exam Review Sheet</w:t>
      </w:r>
    </w:p>
    <w:p w:rsidR="00000000" w:rsidDel="00000000" w:rsidP="00000000" w:rsidRDefault="00000000" w:rsidRPr="00000000" w14:paraId="00000002">
      <w:pPr>
        <w:pStyle w:val="Heading2"/>
        <w:rPr/>
      </w:pPr>
      <w:bookmarkStart w:colFirst="0" w:colLast="0" w:name="_xwlbz3o5y6il" w:id="1"/>
      <w:bookmarkEnd w:id="1"/>
      <w:r w:rsidDel="00000000" w:rsidR="00000000" w:rsidRPr="00000000">
        <w:rPr>
          <w:rtl w:val="0"/>
        </w:rPr>
        <w:t xml:space="preserve">1. Scenario-Based Application Practice Questions</w:t>
      </w:r>
    </w:p>
    <w:p w:rsidR="00000000" w:rsidDel="00000000" w:rsidP="00000000" w:rsidRDefault="00000000" w:rsidRPr="00000000" w14:paraId="00000003">
      <w:pPr>
        <w:pStyle w:val="Heading3"/>
        <w:rPr/>
      </w:pPr>
      <w:bookmarkStart w:colFirst="0" w:colLast="0" w:name="_204a4a9vp4im" w:id="2"/>
      <w:bookmarkEnd w:id="2"/>
      <w:r w:rsidDel="00000000" w:rsidR="00000000" w:rsidRPr="00000000">
        <w:rPr>
          <w:rtl w:val="0"/>
        </w:rPr>
        <w:t xml:space="preserve">Question 1: Designing Resilient Hybrid VPN Capacity under Failover</w:t>
      </w:r>
    </w:p>
    <w:p w:rsidR="00000000" w:rsidDel="00000000" w:rsidP="00000000" w:rsidRDefault="00000000" w:rsidRPr="00000000" w14:paraId="00000004">
      <w:pPr>
        <w:numPr>
          <w:ilvl w:val="0"/>
          <w:numId w:val="11"/>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A financial services firm connects its on-premises private network to a Google Cloud VPC using a High Availability (HA) VPN gateway over the public internet. The architecture currently routes peak traffic volumes of </w:t>
      </w:r>
      <w:r w:rsidDel="00000000" w:rsidR="00000000" w:rsidRPr="00000000">
        <w:rPr>
          <w:b w:val="1"/>
          <w:bCs w:val="1"/>
          <w:rtl w:val="0"/>
        </w:rPr>
        <w:t xml:space="preserve">2.2 Gbps</w:t>
      </w:r>
      <w:r w:rsidDel="00000000" w:rsidR="00000000" w:rsidRPr="00000000">
        <w:rPr>
          <w:rtl w:val="0"/>
        </w:rPr>
        <w:t xml:space="preserve"> using an </w:t>
      </w:r>
      <w:r w:rsidDel="00000000" w:rsidR="00000000" w:rsidRPr="00000000">
        <w:rPr>
          <w:b w:val="1"/>
          <w:bCs w:val="1"/>
          <w:rtl w:val="0"/>
        </w:rPr>
        <w:t xml:space="preserve">Active/Active</w:t>
      </w:r>
      <w:r w:rsidDel="00000000" w:rsidR="00000000" w:rsidRPr="00000000">
        <w:rPr>
          <w:rtl w:val="0"/>
        </w:rPr>
        <w:t xml:space="preserve"> tunnel configuration. During a routine fiber maintenance window, one of the VPN tunnels drops. What is the impact on network performance, and how should this be remediated based on Google’s best practices?</w:t>
      </w:r>
    </w:p>
    <w:p w:rsidR="00000000" w:rsidDel="00000000" w:rsidP="00000000" w:rsidRDefault="00000000" w:rsidRPr="00000000" w14:paraId="00000005">
      <w:pPr>
        <w:numPr>
          <w:ilvl w:val="0"/>
          <w:numId w:val="11"/>
        </w:numPr>
        <w:ind w:left="720" w:hanging="360"/>
        <w:rPr>
          <w:b w:val="1"/>
          <w:bCs w:val="1"/>
        </w:rPr>
      </w:pPr>
      <w:r w:rsidDel="00000000" w:rsidR="00000000" w:rsidRPr="00000000">
        <w:rPr>
          <w:b w:val="1"/>
          <w:bCs w:val="1"/>
          <w:rtl w:val="0"/>
        </w:rPr>
        <w:t xml:space="preserve">Answer Key:</w:t>
      </w:r>
    </w:p>
    <w:p w:rsidR="00000000" w:rsidDel="00000000" w:rsidP="00000000" w:rsidRDefault="00000000" w:rsidRPr="00000000" w14:paraId="00000006">
      <w:pPr>
        <w:numPr>
          <w:ilvl w:val="0"/>
          <w:numId w:val="11"/>
        </w:numPr>
        <w:ind w:left="720" w:hanging="360"/>
        <w:rPr>
          <w:u w:val="none"/>
        </w:rPr>
      </w:pPr>
      <w:r w:rsidDel="00000000" w:rsidR="00000000" w:rsidRPr="00000000">
        <w:rPr>
          <w:b w:val="1"/>
          <w:bCs w:val="1"/>
          <w:rtl w:val="0"/>
        </w:rPr>
        <w:t xml:space="preserve">Impact:</w:t>
      </w:r>
      <w:r w:rsidDel="00000000" w:rsidR="00000000" w:rsidRPr="00000000">
        <w:rPr>
          <w:rtl w:val="0"/>
        </w:rPr>
        <w:t xml:space="preserve"> The system will experience severe packet loss and network degradation. In an Active/Active Cloud VPN tunnel configuration, traffic is dynamically distributed across both active tunnels 1, 2. If a tunnel failure occurs, the available capacity is immediately </w:t>
      </w:r>
      <w:r w:rsidDel="00000000" w:rsidR="00000000" w:rsidRPr="00000000">
        <w:rPr>
          <w:b w:val="1"/>
          <w:bCs w:val="1"/>
          <w:rtl w:val="0"/>
        </w:rPr>
        <w:t xml:space="preserve">cut in half</w:t>
      </w:r>
      <w:r w:rsidDel="00000000" w:rsidR="00000000" w:rsidRPr="00000000">
        <w:rPr>
          <w:rtl w:val="0"/>
        </w:rPr>
        <w:t xml:space="preserve"> 3. Since the peak traffic (2.2 Gbps) exceeds the maximum single-tunnel capacity over the public internet (</w:t>
      </w:r>
      <w:r w:rsidDel="00000000" w:rsidR="00000000" w:rsidRPr="00000000">
        <w:rPr>
          <w:b w:val="1"/>
          <w:bCs w:val="1"/>
          <w:rtl w:val="0"/>
        </w:rPr>
        <w:t xml:space="preserve">1.5 Gbps</w:t>
      </w:r>
      <w:r w:rsidDel="00000000" w:rsidR="00000000" w:rsidRPr="00000000">
        <w:rPr>
          <w:rtl w:val="0"/>
        </w:rPr>
        <w:t xml:space="preserve">) 4, the remaining single tunnel will be instantly overloaded, dropping packets and throttling throughput 3.</w:t>
      </w:r>
    </w:p>
    <w:p w:rsidR="00000000" w:rsidDel="00000000" w:rsidP="00000000" w:rsidRDefault="00000000" w:rsidRPr="00000000" w14:paraId="00000007">
      <w:pPr>
        <w:numPr>
          <w:ilvl w:val="0"/>
          <w:numId w:val="11"/>
        </w:numPr>
        <w:ind w:left="720" w:hanging="360"/>
        <w:rPr>
          <w:u w:val="none"/>
        </w:rPr>
      </w:pPr>
      <w:r w:rsidDel="00000000" w:rsidR="00000000" w:rsidRPr="00000000">
        <w:rPr>
          <w:b w:val="1"/>
          <w:bCs w:val="1"/>
          <w:rtl w:val="0"/>
        </w:rPr>
        <w:t xml:space="preserve">Remediation:</w:t>
      </w:r>
      <w:r w:rsidDel="00000000" w:rsidR="00000000" w:rsidRPr="00000000">
        <w:rPr>
          <w:rtl w:val="0"/>
        </w:rPr>
        <w:t xml:space="preserve"> To guarantee a consistent and stable bandwidth experience, configure an </w:t>
      </w:r>
      <w:r w:rsidDel="00000000" w:rsidR="00000000" w:rsidRPr="00000000">
        <w:rPr>
          <w:b w:val="1"/>
          <w:bCs w:val="1"/>
          <w:rtl w:val="0"/>
        </w:rPr>
        <w:t xml:space="preserve">Active/Passive tunnel configuration</w:t>
      </w:r>
      <w:r w:rsidDel="00000000" w:rsidR="00000000" w:rsidRPr="00000000">
        <w:rPr>
          <w:rtl w:val="0"/>
        </w:rPr>
        <w:t xml:space="preserve"> where routing priorities (set via dynamic BGP route advertising on Cloud Router) designate one tunnel as primary 1, 3, 5. Alternatively, if Active/Active is maintained, the combined peak traffic must be tightly managed to remain within the capacity of a single tunnel 3.</w:t>
      </w:r>
    </w:p>
    <w:p w:rsidR="00000000" w:rsidDel="00000000" w:rsidP="00000000" w:rsidRDefault="00000000" w:rsidRPr="00000000" w14:paraId="00000008">
      <w:pPr>
        <w:numPr>
          <w:ilvl w:val="0"/>
          <w:numId w:val="11"/>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[1-5]</w:t>
      </w:r>
    </w:p>
    <w:p w:rsidR="00000000" w:rsidDel="00000000" w:rsidP="00000000" w:rsidRDefault="00000000" w:rsidRPr="00000000" w14:paraId="00000009">
      <w:pPr>
        <w:pStyle w:val="Heading3"/>
        <w:rPr/>
      </w:pPr>
      <w:bookmarkStart w:colFirst="0" w:colLast="0" w:name="_4n4fqe1jyumi" w:id="3"/>
      <w:bookmarkEnd w:id="3"/>
      <w:r w:rsidDel="00000000" w:rsidR="00000000" w:rsidRPr="00000000">
        <w:rPr>
          <w:rtl w:val="0"/>
        </w:rPr>
        <w:t xml:space="preserve">Question 2: Minimizing GKE Cluster Operational Overhead and Node Cost</w:t>
      </w:r>
    </w:p>
    <w:p w:rsidR="00000000" w:rsidDel="00000000" w:rsidP="00000000" w:rsidRDefault="00000000" w:rsidRPr="00000000" w14:paraId="0000000A">
      <w:pPr>
        <w:numPr>
          <w:ilvl w:val="0"/>
          <w:numId w:val="9"/>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EHR Healthcare is migrating several containerized, stateless microservices to Google Kubernetes Engine (GKE). The company has a lean DevOps staff with limited Kubernetes infrastructure experience. They want to completely delegate node provisioning, OS auto-upgrades, node auto-repair, and baseline security configurations to Google Cloud. Additionally, they require a pricing model where they are only billed for the resource allocations requested by their running container Pods. Which GKE deployment strategy meets these needs?</w:t>
      </w:r>
    </w:p>
    <w:p w:rsidR="00000000" w:rsidDel="00000000" w:rsidP="00000000" w:rsidRDefault="00000000" w:rsidRPr="00000000" w14:paraId="0000000B">
      <w:pPr>
        <w:numPr>
          <w:ilvl w:val="0"/>
          <w:numId w:val="9"/>
        </w:numPr>
        <w:ind w:left="720" w:hanging="360"/>
        <w:rPr>
          <w:b w:val="1"/>
          <w:bCs w:val="1"/>
        </w:rPr>
      </w:pPr>
      <w:r w:rsidDel="00000000" w:rsidR="00000000" w:rsidRPr="00000000">
        <w:rPr>
          <w:b w:val="1"/>
          <w:bCs w:val="1"/>
          <w:rtl w:val="0"/>
        </w:rPr>
        <w:t xml:space="preserve">Answer Key:</w:t>
      </w:r>
    </w:p>
    <w:p w:rsidR="00000000" w:rsidDel="00000000" w:rsidP="00000000" w:rsidRDefault="00000000" w:rsidRPr="00000000" w14:paraId="0000000C">
      <w:pPr>
        <w:numPr>
          <w:ilvl w:val="0"/>
          <w:numId w:val="9"/>
        </w:numPr>
        <w:ind w:left="720" w:hanging="360"/>
        <w:rPr>
          <w:u w:val="none"/>
        </w:rPr>
      </w:pPr>
      <w:r w:rsidDel="00000000" w:rsidR="00000000" w:rsidRPr="00000000">
        <w:rPr>
          <w:b w:val="1"/>
          <w:bCs w:val="1"/>
          <w:rtl w:val="0"/>
        </w:rPr>
        <w:t xml:space="preserve">Recommended Solution:</w:t>
      </w:r>
      <w:r w:rsidDel="00000000" w:rsidR="00000000" w:rsidRPr="00000000">
        <w:rPr>
          <w:rtl w:val="0"/>
        </w:rPr>
        <w:t xml:space="preserve"> Deploy the workloads on </w:t>
      </w:r>
      <w:r w:rsidDel="00000000" w:rsidR="00000000" w:rsidRPr="00000000">
        <w:rPr>
          <w:b w:val="1"/>
          <w:bCs w:val="1"/>
          <w:rtl w:val="0"/>
        </w:rPr>
        <w:t xml:space="preserve">GKE in Autopilot Mode</w:t>
      </w:r>
      <w:r w:rsidDel="00000000" w:rsidR="00000000" w:rsidRPr="00000000">
        <w:rPr>
          <w:rtl w:val="0"/>
        </w:rPr>
        <w:t xml:space="preserve"> 6-9.</w:t>
      </w:r>
    </w:p>
    <w:p w:rsidR="00000000" w:rsidDel="00000000" w:rsidP="00000000" w:rsidRDefault="00000000" w:rsidRPr="00000000" w14:paraId="0000000D">
      <w:pPr>
        <w:numPr>
          <w:ilvl w:val="0"/>
          <w:numId w:val="9"/>
        </w:numPr>
        <w:ind w:left="720" w:hanging="360"/>
        <w:rPr>
          <w:u w:val="none"/>
        </w:rPr>
      </w:pPr>
      <w:r w:rsidDel="00000000" w:rsidR="00000000" w:rsidRPr="00000000">
        <w:rPr>
          <w:b w:val="1"/>
          <w:bCs w:val="1"/>
          <w:rtl w:val="0"/>
        </w:rPr>
        <w:t xml:space="preserve">Rationale:</w:t>
      </w:r>
      <w:r w:rsidDel="00000000" w:rsidR="00000000" w:rsidRPr="00000000">
        <w:rPr>
          <w:rtl w:val="0"/>
        </w:rPr>
        <w:t xml:space="preserve"> GKE Autopilot acts as a fully managed mode of operation where GKE automatically handles cluster configuration, node provisioning, autoscaling, node auto-repair, auto-upgrades, and baseline security hardening 6-8. This significantly reduces operational overhead compared to GKE Standard, where the user is responsible for managing individual node configurations and scaling node pools 7, 8, 10.</w:t>
      </w:r>
    </w:p>
    <w:p w:rsidR="00000000" w:rsidDel="00000000" w:rsidP="00000000" w:rsidRDefault="00000000" w:rsidRPr="00000000" w14:paraId="0000000E">
      <w:pPr>
        <w:numPr>
          <w:ilvl w:val="0"/>
          <w:numId w:val="9"/>
        </w:numPr>
        <w:ind w:left="720" w:hanging="360"/>
        <w:rPr>
          <w:u w:val="none"/>
        </w:rPr>
      </w:pPr>
      <w:r w:rsidDel="00000000" w:rsidR="00000000" w:rsidRPr="00000000">
        <w:rPr>
          <w:b w:val="1"/>
          <w:bCs w:val="1"/>
          <w:rtl w:val="0"/>
        </w:rPr>
        <w:t xml:space="preserve">Cost Optimization:</w:t>
      </w:r>
      <w:r w:rsidDel="00000000" w:rsidR="00000000" w:rsidRPr="00000000">
        <w:rPr>
          <w:rtl w:val="0"/>
        </w:rPr>
        <w:t xml:space="preserve"> GKE Autopilot charges only for the running Pod specifications (requested CPU, memory, and storage) rather than charging for all provisioned node VMs regardless of actual resource utilization 8.</w:t>
      </w:r>
    </w:p>
    <w:p w:rsidR="00000000" w:rsidDel="00000000" w:rsidP="00000000" w:rsidRDefault="00000000" w:rsidRPr="00000000" w14:paraId="0000000F">
      <w:pPr>
        <w:numPr>
          <w:ilvl w:val="0"/>
          <w:numId w:val="9"/>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[6-10]</w:t>
      </w:r>
    </w:p>
    <w:p w:rsidR="00000000" w:rsidDel="00000000" w:rsidP="00000000" w:rsidRDefault="00000000" w:rsidRPr="00000000" w14:paraId="00000010">
      <w:pPr>
        <w:pStyle w:val="Heading3"/>
        <w:rPr/>
      </w:pPr>
      <w:bookmarkStart w:colFirst="0" w:colLast="0" w:name="_eysdmjfnpxc7" w:id="4"/>
      <w:bookmarkEnd w:id="4"/>
      <w:r w:rsidDel="00000000" w:rsidR="00000000" w:rsidRPr="00000000">
        <w:rPr>
          <w:rtl w:val="0"/>
        </w:rPr>
        <w:t xml:space="preserve">Question 3: Horizontal Scalability for Global Multi-Region Relational Transactions</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A retail company is migrating its transactional inventory database to Google Cloud. The dataset is projected to grow to </w:t>
      </w:r>
      <w:r w:rsidDel="00000000" w:rsidR="00000000" w:rsidRPr="00000000">
        <w:rPr>
          <w:b w:val="1"/>
          <w:bCs w:val="1"/>
          <w:rtl w:val="0"/>
        </w:rPr>
        <w:t xml:space="preserve">80 TB</w:t>
      </w:r>
      <w:r w:rsidDel="00000000" w:rsidR="00000000" w:rsidRPr="00000000">
        <w:rPr>
          <w:rtl w:val="0"/>
        </w:rPr>
        <w:t xml:space="preserve"> over three years. The database requires full SQL support, secondary indexes, automated high availability, and the ability to process high-throughput relational writes across multiple geographical regions simultaneously while guaranteeing strong ACID transaction consistency. Why is Cloud SQL unsuitable, and which database should be deployed?</w:t>
      </w:r>
    </w:p>
    <w:p w:rsidR="00000000" w:rsidDel="00000000" w:rsidP="00000000" w:rsidRDefault="00000000" w:rsidRPr="00000000" w14:paraId="00000012">
      <w:pPr>
        <w:numPr>
          <w:ilvl w:val="0"/>
          <w:numId w:val="2"/>
        </w:numPr>
        <w:ind w:left="720" w:hanging="360"/>
        <w:rPr>
          <w:b w:val="1"/>
          <w:bCs w:val="1"/>
        </w:rPr>
      </w:pPr>
      <w:r w:rsidDel="00000000" w:rsidR="00000000" w:rsidRPr="00000000">
        <w:rPr>
          <w:b w:val="1"/>
          <w:bCs w:val="1"/>
          <w:rtl w:val="0"/>
        </w:rPr>
        <w:t xml:space="preserve">Answer Key:</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Limitations of Cloud SQL:</w:t>
      </w:r>
      <w:r w:rsidDel="00000000" w:rsidR="00000000" w:rsidRPr="00000000">
        <w:rPr>
          <w:rtl w:val="0"/>
        </w:rPr>
        <w:t xml:space="preserve"> Cloud SQL is constrained by its vertical scalability limit and is capped at </w:t>
      </w:r>
      <w:r w:rsidDel="00000000" w:rsidR="00000000" w:rsidRPr="00000000">
        <w:rPr>
          <w:b w:val="1"/>
          <w:bCs w:val="1"/>
          <w:rtl w:val="0"/>
        </w:rPr>
        <w:t xml:space="preserve">64 TB of storage capacity</w:t>
      </w:r>
      <w:r w:rsidDel="00000000" w:rsidR="00000000" w:rsidRPr="00000000">
        <w:rPr>
          <w:rtl w:val="0"/>
        </w:rPr>
        <w:t xml:space="preserve"> 11-13. It is a regional database service, meaning horizontal transactional writing across multiple regions with global external consistency is not supported 11, 14, 15.</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Recommended Solution:</w:t>
      </w:r>
      <w:r w:rsidDel="00000000" w:rsidR="00000000" w:rsidRPr="00000000">
        <w:rPr>
          <w:rtl w:val="0"/>
        </w:rPr>
        <w:t xml:space="preserve"> Deploy </w:t>
      </w:r>
      <w:r w:rsidDel="00000000" w:rsidR="00000000" w:rsidRPr="00000000">
        <w:rPr>
          <w:b w:val="1"/>
          <w:bCs w:val="1"/>
          <w:rtl w:val="0"/>
        </w:rPr>
        <w:t xml:space="preserve">Cloud Spanner</w:t>
      </w:r>
      <w:r w:rsidDel="00000000" w:rsidR="00000000" w:rsidRPr="00000000">
        <w:rPr>
          <w:rtl w:val="0"/>
        </w:rPr>
        <w:t xml:space="preserve"> 16-19.</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Rationale:</w:t>
      </w:r>
      <w:r w:rsidDel="00000000" w:rsidR="00000000" w:rsidRPr="00000000">
        <w:rPr>
          <w:rtl w:val="0"/>
        </w:rPr>
        <w:t xml:space="preserve"> Cloud Spanner is a fully managed, globally distributed relational database designed specifically for horizontal scalability, global availability, and strong ACID transactions with external consistency 16-19. Spanner supports petabyte-scale storage, eliminating the 64 TB storage bottleneck 15, 17, 18.</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[11-19]</w:t>
      </w:r>
    </w:p>
    <w:p w:rsidR="00000000" w:rsidDel="00000000" w:rsidP="00000000" w:rsidRDefault="00000000" w:rsidRPr="00000000" w14:paraId="00000017">
      <w:pPr>
        <w:pStyle w:val="Heading3"/>
        <w:rPr/>
      </w:pPr>
      <w:bookmarkStart w:colFirst="0" w:colLast="0" w:name="_gnp00gnz5oz9" w:id="5"/>
      <w:bookmarkEnd w:id="5"/>
      <w:r w:rsidDel="00000000" w:rsidR="00000000" w:rsidRPr="00000000">
        <w:rPr>
          <w:rtl w:val="0"/>
        </w:rPr>
        <w:t xml:space="preserve">Question 4: High-Throughput Ingestion for IoT Fleet Telemetry</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KnightMotives Automotive is designing an ingestion engine to capture real-time vehicle telemetry data from 100,000 active connected cars. The system expects over </w:t>
      </w:r>
      <w:r w:rsidDel="00000000" w:rsidR="00000000" w:rsidRPr="00000000">
        <w:rPr>
          <w:b w:val="1"/>
          <w:bCs w:val="1"/>
          <w:rtl w:val="0"/>
        </w:rPr>
        <w:t xml:space="preserve">15 TB of structured data</w:t>
      </w:r>
      <w:r w:rsidDel="00000000" w:rsidR="00000000" w:rsidRPr="00000000">
        <w:rPr>
          <w:rtl w:val="0"/>
        </w:rPr>
        <w:t xml:space="preserve"> containing rapid, continuous write events (such as timestamped GPS locations and battery temperatures). The system requires sub-10 millisecond read and write latencies. Real-time SQL queries and multi-row transaction guarantees are not required. Which database should be selected?</w:t>
      </w:r>
    </w:p>
    <w:p w:rsidR="00000000" w:rsidDel="00000000" w:rsidP="00000000" w:rsidRDefault="00000000" w:rsidRPr="00000000" w14:paraId="00000019">
      <w:pPr>
        <w:numPr>
          <w:ilvl w:val="0"/>
          <w:numId w:val="3"/>
        </w:numPr>
        <w:ind w:left="720" w:hanging="360"/>
        <w:rPr>
          <w:b w:val="1"/>
          <w:bCs w:val="1"/>
        </w:rPr>
      </w:pPr>
      <w:r w:rsidDel="00000000" w:rsidR="00000000" w:rsidRPr="00000000">
        <w:rPr>
          <w:b w:val="1"/>
          <w:bCs w:val="1"/>
          <w:rtl w:val="0"/>
        </w:rPr>
        <w:t xml:space="preserve">Answer Key:</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Recommended Solution:</w:t>
      </w:r>
      <w:r w:rsidDel="00000000" w:rsidR="00000000" w:rsidRPr="00000000">
        <w:rPr>
          <w:rtl w:val="0"/>
        </w:rPr>
        <w:t xml:space="preserve"> Deploy </w:t>
      </w:r>
      <w:r w:rsidDel="00000000" w:rsidR="00000000" w:rsidRPr="00000000">
        <w:rPr>
          <w:b w:val="1"/>
          <w:bCs w:val="1"/>
          <w:rtl w:val="0"/>
        </w:rPr>
        <w:t xml:space="preserve">Cloud Bigtable</w:t>
      </w:r>
      <w:r w:rsidDel="00000000" w:rsidR="00000000" w:rsidRPr="00000000">
        <w:rPr>
          <w:rtl w:val="0"/>
        </w:rPr>
        <w:t xml:space="preserve"> 16, 20-22.</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Rationale:</w:t>
      </w:r>
      <w:r w:rsidDel="00000000" w:rsidR="00000000" w:rsidRPr="00000000">
        <w:rPr>
          <w:rtl w:val="0"/>
        </w:rPr>
        <w:t xml:space="preserve"> Cloud Bigtable is a fully managed NoSQL wide-column database that scales linearly to support petabytes of data with consistent, sub-10 millisecond read/write latency 16, 20, 22, 23. It is highly optimized for operational time-series data, high-throughput IoT analytics, and large volumes of rapid writes where SQL capabilities and multi-row transactional consistency are not required 20, 22-24.</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Alternative comparison:</w:t>
      </w:r>
      <w:r w:rsidDel="00000000" w:rsidR="00000000" w:rsidRPr="00000000">
        <w:rPr>
          <w:rtl w:val="0"/>
        </w:rPr>
        <w:t xml:space="preserve"> Firestore is restricted to a maximum document size of 1 MB per entity and is less cost-effective for massive throughput, continuous stream ingestion 15, 21, 25.</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[15, 16, 20-25]</w:t>
      </w:r>
    </w:p>
    <w:p w:rsidR="00000000" w:rsidDel="00000000" w:rsidP="00000000" w:rsidRDefault="00000000" w:rsidRPr="00000000" w14:paraId="0000001E">
      <w:pPr>
        <w:pStyle w:val="Heading3"/>
        <w:rPr/>
      </w:pPr>
      <w:bookmarkStart w:colFirst="0" w:colLast="0" w:name="_q5t0e0haudxk" w:id="6"/>
      <w:bookmarkEnd w:id="6"/>
      <w:r w:rsidDel="00000000" w:rsidR="00000000" w:rsidRPr="00000000">
        <w:rPr>
          <w:rtl w:val="0"/>
        </w:rPr>
        <w:t xml:space="preserve">Question 5: Selecting Serverless Runtimes for Microservices vs. Event-Driven Code</w:t>
      </w:r>
    </w:p>
    <w:p w:rsidR="00000000" w:rsidDel="00000000" w:rsidP="00000000" w:rsidRDefault="00000000" w:rsidRPr="00000000" w14:paraId="0000001F">
      <w:pPr>
        <w:numPr>
          <w:ilvl w:val="0"/>
          <w:numId w:val="10"/>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Altostrat Media is designing two separate application components: (1) A stateless user authentication microservice packaged as a container that must scale from zero to thousands of requests and back down to zero to minimize costs during idle periods, and (2) A lightweight, single-purpose asynchronous script that triggers instantly to generate a database entry whenever a user uploads a profile picture to a Cloud Storage bucket. Which serverless options should be used?</w:t>
      </w:r>
    </w:p>
    <w:p w:rsidR="00000000" w:rsidDel="00000000" w:rsidP="00000000" w:rsidRDefault="00000000" w:rsidRPr="00000000" w14:paraId="00000020">
      <w:pPr>
        <w:numPr>
          <w:ilvl w:val="0"/>
          <w:numId w:val="10"/>
        </w:numPr>
        <w:ind w:left="720" w:hanging="360"/>
        <w:rPr>
          <w:b w:val="1"/>
          <w:bCs w:val="1"/>
        </w:rPr>
      </w:pPr>
      <w:r w:rsidDel="00000000" w:rsidR="00000000" w:rsidRPr="00000000">
        <w:rPr>
          <w:b w:val="1"/>
          <w:bCs w:val="1"/>
          <w:rtl w:val="0"/>
        </w:rPr>
        <w:t xml:space="preserve">Answer Key:</w:t>
      </w:r>
    </w:p>
    <w:p w:rsidR="00000000" w:rsidDel="00000000" w:rsidP="00000000" w:rsidRDefault="00000000" w:rsidRPr="00000000" w14:paraId="00000021">
      <w:pPr>
        <w:numPr>
          <w:ilvl w:val="0"/>
          <w:numId w:val="10"/>
        </w:numPr>
        <w:ind w:left="720" w:hanging="360"/>
        <w:rPr>
          <w:u w:val="none"/>
        </w:rPr>
      </w:pPr>
      <w:r w:rsidDel="00000000" w:rsidR="00000000" w:rsidRPr="00000000">
        <w:rPr>
          <w:b w:val="1"/>
          <w:bCs w:val="1"/>
          <w:rtl w:val="0"/>
        </w:rPr>
        <w:t xml:space="preserve">Component 1 (User Authentication):</w:t>
      </w:r>
      <w:r w:rsidDel="00000000" w:rsidR="00000000" w:rsidRPr="00000000">
        <w:rPr>
          <w:rtl w:val="0"/>
        </w:rPr>
        <w:t xml:space="preserve"> Deploy on </w:t>
      </w:r>
      <w:r w:rsidDel="00000000" w:rsidR="00000000" w:rsidRPr="00000000">
        <w:rPr>
          <w:b w:val="1"/>
          <w:bCs w:val="1"/>
          <w:rtl w:val="0"/>
        </w:rPr>
        <w:t xml:space="preserve">Cloud Run</w:t>
      </w:r>
      <w:r w:rsidDel="00000000" w:rsidR="00000000" w:rsidRPr="00000000">
        <w:rPr>
          <w:rtl w:val="0"/>
        </w:rPr>
        <w:t xml:space="preserve"> 21, 26-28. Cloud Run is a fully managed serverless compute platform built on Knative that runs stateless, containerized applications via web requests, auto-scaling up and down to zero dynamically 21, 27, 28.</w:t>
      </w:r>
    </w:p>
    <w:p w:rsidR="00000000" w:rsidDel="00000000" w:rsidP="00000000" w:rsidRDefault="00000000" w:rsidRPr="00000000" w14:paraId="00000022">
      <w:pPr>
        <w:numPr>
          <w:ilvl w:val="0"/>
          <w:numId w:val="10"/>
        </w:numPr>
        <w:ind w:left="720" w:hanging="360"/>
        <w:rPr>
          <w:u w:val="none"/>
        </w:rPr>
      </w:pPr>
      <w:r w:rsidDel="00000000" w:rsidR="00000000" w:rsidRPr="00000000">
        <w:rPr>
          <w:b w:val="1"/>
          <w:bCs w:val="1"/>
          <w:rtl w:val="0"/>
        </w:rPr>
        <w:t xml:space="preserve">Component 2 (Asset Generation):</w:t>
      </w:r>
      <w:r w:rsidDel="00000000" w:rsidR="00000000" w:rsidRPr="00000000">
        <w:rPr>
          <w:rtl w:val="0"/>
        </w:rPr>
        <w:t xml:space="preserve"> Deploy on </w:t>
      </w:r>
      <w:r w:rsidDel="00000000" w:rsidR="00000000" w:rsidRPr="00000000">
        <w:rPr>
          <w:b w:val="1"/>
          <w:bCs w:val="1"/>
          <w:rtl w:val="0"/>
        </w:rPr>
        <w:t xml:space="preserve">Cloud Run Functions (formerly Cloud Functions)</w:t>
      </w:r>
      <w:r w:rsidDel="00000000" w:rsidR="00000000" w:rsidRPr="00000000">
        <w:rPr>
          <w:rtl w:val="0"/>
        </w:rPr>
        <w:t xml:space="preserve"> 26, 27, 29, 30. Cloud Run Functions is a serverless functions-as-a-service (FaaS) platform designed specifically for deploying lightweight, event-driven, asynchronous code blocks that respond directly to cloud infrastructure events (like Cloud Storage object creations) 26, 27, 29, 30.</w:t>
      </w:r>
    </w:p>
    <w:p w:rsidR="00000000" w:rsidDel="00000000" w:rsidP="00000000" w:rsidRDefault="00000000" w:rsidRPr="00000000" w14:paraId="00000023">
      <w:pPr>
        <w:numPr>
          <w:ilvl w:val="0"/>
          <w:numId w:val="10"/>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[21, 26-31]</w:t>
      </w:r>
    </w:p>
    <w:p w:rsidR="00000000" w:rsidDel="00000000" w:rsidP="00000000" w:rsidRDefault="00000000" w:rsidRPr="00000000" w14:paraId="00000024">
      <w:pPr>
        <w:pStyle w:val="Heading3"/>
        <w:rPr/>
      </w:pPr>
      <w:bookmarkStart w:colFirst="0" w:colLast="0" w:name="_10ifiwvmm7hg" w:id="7"/>
      <w:bookmarkEnd w:id="7"/>
      <w:r w:rsidDel="00000000" w:rsidR="00000000" w:rsidRPr="00000000">
        <w:rPr>
          <w:rtl w:val="0"/>
        </w:rPr>
        <w:t xml:space="preserve">Question 6: Multi-Pod Shared Persistent Storage for Legacy Web Applications</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A retail company is migrating a legacy web content management platform to GKE. The legacy application requires multiple running container Pods across different nodes to mount and read/write to a common shared directory concurrently. The application depends on a POSIX-compliant filesystem interface and NFS protocol support. Which storage solution should be configured?</w:t>
      </w:r>
    </w:p>
    <w:p w:rsidR="00000000" w:rsidDel="00000000" w:rsidP="00000000" w:rsidRDefault="00000000" w:rsidRPr="00000000" w14:paraId="00000026">
      <w:pPr>
        <w:numPr>
          <w:ilvl w:val="0"/>
          <w:numId w:val="6"/>
        </w:numPr>
        <w:ind w:left="720" w:hanging="360"/>
        <w:rPr>
          <w:b w:val="1"/>
          <w:bCs w:val="1"/>
        </w:rPr>
      </w:pPr>
      <w:r w:rsidDel="00000000" w:rsidR="00000000" w:rsidRPr="00000000">
        <w:rPr>
          <w:b w:val="1"/>
          <w:bCs w:val="1"/>
          <w:rtl w:val="0"/>
        </w:rPr>
        <w:t xml:space="preserve">Answer Key:</w:t>
      </w:r>
    </w:p>
    <w:p w:rsidR="00000000" w:rsidDel="00000000" w:rsidP="00000000" w:rsidRDefault="00000000" w:rsidRPr="00000000" w14:paraId="00000027">
      <w:pPr>
        <w:numPr>
          <w:ilvl w:val="0"/>
          <w:numId w:val="6"/>
        </w:numPr>
        <w:ind w:left="720" w:hanging="360"/>
        <w:rPr>
          <w:u w:val="none"/>
        </w:rPr>
      </w:pPr>
      <w:r w:rsidDel="00000000" w:rsidR="00000000" w:rsidRPr="00000000">
        <w:rPr>
          <w:b w:val="1"/>
          <w:bCs w:val="1"/>
          <w:rtl w:val="0"/>
        </w:rPr>
        <w:t xml:space="preserve">Recommended Solution:</w:t>
      </w:r>
      <w:r w:rsidDel="00000000" w:rsidR="00000000" w:rsidRPr="00000000">
        <w:rPr>
          <w:rtl w:val="0"/>
        </w:rPr>
        <w:t xml:space="preserve"> Provision </w:t>
      </w:r>
      <w:r w:rsidDel="00000000" w:rsidR="00000000" w:rsidRPr="00000000">
        <w:rPr>
          <w:b w:val="1"/>
          <w:bCs w:val="1"/>
          <w:rtl w:val="0"/>
        </w:rPr>
        <w:t xml:space="preserve">Filestore</w:t>
      </w:r>
      <w:r w:rsidDel="00000000" w:rsidR="00000000" w:rsidRPr="00000000">
        <w:rPr>
          <w:rtl w:val="0"/>
        </w:rPr>
        <w:t xml:space="preserve"> 21.</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Rationale:</w:t>
      </w:r>
      <w:r w:rsidDel="00000000" w:rsidR="00000000" w:rsidRPr="00000000">
        <w:rPr>
          <w:rtl w:val="0"/>
        </w:rPr>
        <w:t xml:space="preserve"> Filestore is a fully managed, high-performance, network-attached storage (NAS) system that provides POSIX-compliant shared file systems over NFS 21. It allows multiple GKE container Pods running across separate Compute Engine VM nodes to mount the same filesystem volume concurrently, facilitating read/write data sharing without refactoring legacy code to use Cloud Storage object APIs 21.</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[21]</w:t>
      </w:r>
    </w:p>
    <w:p w:rsidR="00000000" w:rsidDel="00000000" w:rsidP="00000000" w:rsidRDefault="00000000" w:rsidRPr="00000000" w14:paraId="0000002A">
      <w:pPr>
        <w:pStyle w:val="Heading3"/>
        <w:rPr/>
      </w:pPr>
      <w:bookmarkStart w:colFirst="0" w:colLast="0" w:name="_g04tumvgck4f" w:id="8"/>
      <w:bookmarkEnd w:id="8"/>
      <w:r w:rsidDel="00000000" w:rsidR="00000000" w:rsidRPr="00000000">
        <w:rPr>
          <w:rtl w:val="0"/>
        </w:rPr>
        <w:t xml:space="preserve">Question 7: Designing Proactive SRE Alerting Strategies &amp; SLA/SLO Buffering</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An enterprise SRE team is designing an alerting policy for a critical API. The company has signed an external Service Level Agreement (SLA) with clients guaranteeing </w:t>
      </w:r>
      <w:r w:rsidDel="00000000" w:rsidR="00000000" w:rsidRPr="00000000">
        <w:rPr>
          <w:b w:val="1"/>
          <w:bCs w:val="1"/>
          <w:rtl w:val="0"/>
        </w:rPr>
        <w:t xml:space="preserve">99.0% availability</w:t>
      </w:r>
      <w:r w:rsidDel="00000000" w:rsidR="00000000" w:rsidRPr="00000000">
        <w:rPr>
          <w:rtl w:val="0"/>
        </w:rPr>
        <w:t xml:space="preserve">, with financial penalties if breached. How should the SRE team structure their internal Service Level Objectives (SLOs) and metric alerts to prevent SLA breaches?</w:t>
      </w:r>
    </w:p>
    <w:p w:rsidR="00000000" w:rsidDel="00000000" w:rsidP="00000000" w:rsidRDefault="00000000" w:rsidRPr="00000000" w14:paraId="0000002C">
      <w:pPr>
        <w:numPr>
          <w:ilvl w:val="0"/>
          <w:numId w:val="1"/>
        </w:numPr>
        <w:ind w:left="720" w:hanging="360"/>
        <w:rPr>
          <w:b w:val="1"/>
          <w:bCs w:val="1"/>
        </w:rPr>
      </w:pPr>
      <w:r w:rsidDel="00000000" w:rsidR="00000000" w:rsidRPr="00000000">
        <w:rPr>
          <w:b w:val="1"/>
          <w:bCs w:val="1"/>
          <w:rtl w:val="0"/>
        </w:rPr>
        <w:t xml:space="preserve">Answer Key:</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Internal SLO Target:</w:t>
      </w:r>
      <w:r w:rsidDel="00000000" w:rsidR="00000000" w:rsidRPr="00000000">
        <w:rPr>
          <w:rtl w:val="0"/>
        </w:rPr>
        <w:t xml:space="preserve"> Define an internal Service Level Objective (SLO) that is </w:t>
      </w:r>
      <w:r w:rsidDel="00000000" w:rsidR="00000000" w:rsidRPr="00000000">
        <w:rPr>
          <w:b w:val="1"/>
          <w:bCs w:val="1"/>
          <w:rtl w:val="0"/>
        </w:rPr>
        <w:t xml:space="preserve">more restrictive/higher than the external SLA</w:t>
      </w:r>
      <w:r w:rsidDel="00000000" w:rsidR="00000000" w:rsidRPr="00000000">
        <w:rPr>
          <w:rtl w:val="0"/>
        </w:rPr>
        <w:t xml:space="preserve"> (e.g., </w:t>
      </w:r>
      <w:r w:rsidDel="00000000" w:rsidR="00000000" w:rsidRPr="00000000">
        <w:rPr>
          <w:b w:val="1"/>
          <w:bCs w:val="1"/>
          <w:rtl w:val="0"/>
        </w:rPr>
        <w:t xml:space="preserve">99.5% SLO</w:t>
      </w:r>
      <w:r w:rsidDel="00000000" w:rsidR="00000000" w:rsidRPr="00000000">
        <w:rPr>
          <w:rtl w:val="0"/>
        </w:rPr>
        <w:t xml:space="preserve"> vs 99.0% SLA) 32. This provides a safety buffer, allowing the engineering team to burn their internal error budget and resolve failures before breaching the client-facing SLA contract 32, 33.</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Alerting Strategy:</w:t>
      </w:r>
      <w:r w:rsidDel="00000000" w:rsidR="00000000" w:rsidRPr="00000000">
        <w:rPr>
          <w:rtl w:val="0"/>
        </w:rPr>
        <w:t xml:space="preserve"> Configure alerting policies with </w:t>
      </w:r>
      <w:r w:rsidDel="00000000" w:rsidR="00000000" w:rsidRPr="00000000">
        <w:rPr>
          <w:b w:val="1"/>
          <w:bCs w:val="1"/>
          <w:rtl w:val="0"/>
        </w:rPr>
        <w:t xml:space="preserve">higher alerting thresholds than the SLA minimums</w:t>
      </w:r>
      <w:r w:rsidDel="00000000" w:rsidR="00000000" w:rsidRPr="00000000">
        <w:rPr>
          <w:rtl w:val="0"/>
        </w:rPr>
        <w:t xml:space="preserve"> to proactively detect rapid error budget burn rates 34-36. Use a combination of short lookback windows (e.g., 10 minutes) for fast detection of full outages and longer windows for slow, steady burns 37, 38.</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[32-38]</w:t>
      </w:r>
    </w:p>
    <w:p w:rsidR="00000000" w:rsidDel="00000000" w:rsidP="00000000" w:rsidRDefault="00000000" w:rsidRPr="00000000" w14:paraId="00000030">
      <w:pPr>
        <w:pStyle w:val="Heading3"/>
        <w:rPr/>
      </w:pPr>
      <w:bookmarkStart w:colFirst="0" w:colLast="0" w:name="_8mbcnp14yd" w:id="9"/>
      <w:bookmarkEnd w:id="9"/>
      <w:r w:rsidDel="00000000" w:rsidR="00000000" w:rsidRPr="00000000">
        <w:rPr>
          <w:rtl w:val="0"/>
        </w:rPr>
        <w:t xml:space="preserve">Question 8: Optimizing APM Spend on Large-Scale Applications</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Altostrat Media’s serverless application receives over 5,000 queries per second. Their Google Cloud invoice indicates extremely high charges for Cloud Trace and Cloud Logging. What native features can the team implement to immediately optimize observability costs without losing high-level performance insights?</w:t>
      </w:r>
    </w:p>
    <w:p w:rsidR="00000000" w:rsidDel="00000000" w:rsidP="00000000" w:rsidRDefault="00000000" w:rsidRPr="00000000" w14:paraId="00000032">
      <w:pPr>
        <w:numPr>
          <w:ilvl w:val="0"/>
          <w:numId w:val="4"/>
        </w:numPr>
        <w:ind w:left="720" w:hanging="360"/>
        <w:rPr>
          <w:b w:val="1"/>
          <w:bCs w:val="1"/>
        </w:rPr>
      </w:pPr>
      <w:r w:rsidDel="00000000" w:rsidR="00000000" w:rsidRPr="00000000">
        <w:rPr>
          <w:b w:val="1"/>
          <w:bCs w:val="1"/>
          <w:rtl w:val="0"/>
        </w:rPr>
        <w:t xml:space="preserve">Answer Key:</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Trace Volume Optimization:</w:t>
      </w:r>
      <w:r w:rsidDel="00000000" w:rsidR="00000000" w:rsidRPr="00000000">
        <w:rPr>
          <w:rtl w:val="0"/>
        </w:rPr>
        <w:t xml:space="preserve"> Implement </w:t>
      </w:r>
      <w:r w:rsidDel="00000000" w:rsidR="00000000" w:rsidRPr="00000000">
        <w:rPr>
          <w:b w:val="1"/>
          <w:bCs w:val="1"/>
          <w:rtl w:val="0"/>
        </w:rPr>
        <w:t xml:space="preserve">Trace Sampling</w:t>
      </w:r>
      <w:r w:rsidDel="00000000" w:rsidR="00000000" w:rsidRPr="00000000">
        <w:rPr>
          <w:rtl w:val="0"/>
        </w:rPr>
        <w:t xml:space="preserve"> 39. Since Trace charges are based on the number of trace spans ingested, configuring OpenTelemetry to sample a small percentage of application traffic (e.g., sampling 5% instead of 20% or 100%) will reduce ingested trace volume to a fraction of the cost while still providing highly accurate latency profile details 39.</w:t>
      </w:r>
    </w:p>
    <w:p w:rsidR="00000000" w:rsidDel="00000000" w:rsidP="00000000" w:rsidRDefault="00000000" w:rsidRPr="00000000" w14:paraId="00000034">
      <w:pPr>
        <w:numPr>
          <w:ilvl w:val="0"/>
          <w:numId w:val="4"/>
        </w:numPr>
        <w:ind w:left="720" w:hanging="360"/>
        <w:rPr>
          <w:u w:val="none"/>
        </w:rPr>
      </w:pPr>
      <w:r w:rsidDel="00000000" w:rsidR="00000000" w:rsidRPr="00000000">
        <w:rPr>
          <w:b w:val="1"/>
          <w:bCs w:val="1"/>
          <w:rtl w:val="0"/>
        </w:rPr>
        <w:t xml:space="preserve">Trace Quotas:</w:t>
      </w:r>
      <w:r w:rsidDel="00000000" w:rsidR="00000000" w:rsidRPr="00000000">
        <w:rPr>
          <w:rtl w:val="0"/>
        </w:rPr>
        <w:t xml:space="preserve"> Enforce strict span quotas on the API-specific quota page in the Google Cloud console to cap trace ingestion costs at an expected ceiling 39.</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Logging Volume Optimization:</w:t>
      </w:r>
      <w:r w:rsidDel="00000000" w:rsidR="00000000" w:rsidRPr="00000000">
        <w:rPr>
          <w:rtl w:val="0"/>
        </w:rPr>
        <w:t xml:space="preserve"> Create custom exclusion filters in </w:t>
      </w:r>
      <w:r w:rsidDel="00000000" w:rsidR="00000000" w:rsidRPr="00000000">
        <w:rPr>
          <w:b w:val="1"/>
          <w:bCs w:val="1"/>
          <w:rtl w:val="0"/>
        </w:rPr>
        <w:t xml:space="preserve">Log Router Sinks</w:t>
      </w:r>
      <w:r w:rsidDel="00000000" w:rsidR="00000000" w:rsidRPr="00000000">
        <w:rPr>
          <w:rtl w:val="0"/>
        </w:rPr>
        <w:t xml:space="preserve"> to discard low-value debug logs before ingestion, routing only critical error and security logs to BigQuery (for analysis) or Cloud Storage (for cheap retention) 40.</w:t>
      </w:r>
    </w:p>
    <w:p w:rsidR="00000000" w:rsidDel="00000000" w:rsidP="00000000" w:rsidRDefault="00000000" w:rsidRPr="00000000" w14:paraId="00000036">
      <w:pPr>
        <w:numPr>
          <w:ilvl w:val="0"/>
          <w:numId w:val="4"/>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[39, 40]</w:t>
      </w:r>
    </w:p>
    <w:p w:rsidR="00000000" w:rsidDel="00000000" w:rsidP="00000000" w:rsidRDefault="00000000" w:rsidRPr="00000000" w14:paraId="00000037">
      <w:pPr>
        <w:pStyle w:val="Heading3"/>
        <w:rPr/>
      </w:pPr>
      <w:bookmarkStart w:colFirst="0" w:colLast="0" w:name="_5ue5agn92b6s" w:id="10"/>
      <w:bookmarkEnd w:id="10"/>
      <w:r w:rsidDel="00000000" w:rsidR="00000000" w:rsidRPr="00000000">
        <w:rPr>
          <w:rtl w:val="0"/>
        </w:rPr>
        <w:t xml:space="preserve">Question 9: Safe, Zero-Downtime Microservices Releases with Limited Impact</w:t>
      </w:r>
    </w:p>
    <w:p w:rsidR="00000000" w:rsidDel="00000000" w:rsidP="00000000" w:rsidRDefault="00000000" w:rsidRPr="00000000" w14:paraId="00000038">
      <w:pPr>
        <w:numPr>
          <w:ilvl w:val="0"/>
          <w:numId w:val="7"/>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Cymbal Retail is launching a new, backward-incompatible version of their payment processing microservice. They want to test the new code under real-world production traffic but limit the blast radius of potential bugs to less than 2% of their actual customer base. Which deployment strategy should they use, and how must they handle backward compatibility?</w:t>
      </w:r>
    </w:p>
    <w:p w:rsidR="00000000" w:rsidDel="00000000" w:rsidP="00000000" w:rsidRDefault="00000000" w:rsidRPr="00000000" w14:paraId="00000039">
      <w:pPr>
        <w:numPr>
          <w:ilvl w:val="0"/>
          <w:numId w:val="7"/>
        </w:numPr>
        <w:ind w:left="720" w:hanging="360"/>
        <w:rPr>
          <w:b w:val="1"/>
          <w:bCs w:val="1"/>
        </w:rPr>
      </w:pPr>
      <w:r w:rsidDel="00000000" w:rsidR="00000000" w:rsidRPr="00000000">
        <w:rPr>
          <w:b w:val="1"/>
          <w:bCs w:val="1"/>
          <w:rtl w:val="0"/>
        </w:rPr>
        <w:t xml:space="preserve">Answer Key:</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Deployment Strategy:</w:t>
      </w:r>
      <w:r w:rsidDel="00000000" w:rsidR="00000000" w:rsidRPr="00000000">
        <w:rPr>
          <w:rtl w:val="0"/>
        </w:rPr>
        <w:t xml:space="preserve"> Implement a </w:t>
      </w:r>
      <w:r w:rsidDel="00000000" w:rsidR="00000000" w:rsidRPr="00000000">
        <w:rPr>
          <w:b w:val="1"/>
          <w:bCs w:val="1"/>
          <w:rtl w:val="0"/>
        </w:rPr>
        <w:t xml:space="preserve">Canary Release</w:t>
      </w:r>
      <w:r w:rsidDel="00000000" w:rsidR="00000000" w:rsidRPr="00000000">
        <w:rPr>
          <w:rtl w:val="0"/>
        </w:rPr>
        <w:t xml:space="preserve"> strategy 41.</w:t>
      </w:r>
    </w:p>
    <w:p w:rsidR="00000000" w:rsidDel="00000000" w:rsidP="00000000" w:rsidRDefault="00000000" w:rsidRPr="00000000" w14:paraId="0000003B">
      <w:pPr>
        <w:numPr>
          <w:ilvl w:val="0"/>
          <w:numId w:val="7"/>
        </w:numPr>
        <w:ind w:left="720" w:hanging="360"/>
        <w:rPr>
          <w:u w:val="none"/>
        </w:rPr>
      </w:pPr>
      <w:r w:rsidDel="00000000" w:rsidR="00000000" w:rsidRPr="00000000">
        <w:rPr>
          <w:b w:val="1"/>
          <w:bCs w:val="1"/>
          <w:rtl w:val="0"/>
        </w:rPr>
        <w:t xml:space="preserve">Execution:</w:t>
      </w:r>
      <w:r w:rsidDel="00000000" w:rsidR="00000000" w:rsidRPr="00000000">
        <w:rPr>
          <w:rtl w:val="0"/>
        </w:rPr>
        <w:t xml:space="preserve"> Deploy the new microservice version alongside the existing production deployment. Route a very </w:t>
      </w:r>
      <w:r w:rsidDel="00000000" w:rsidR="00000000" w:rsidRPr="00000000">
        <w:rPr>
          <w:b w:val="1"/>
          <w:bCs w:val="1"/>
          <w:rtl w:val="0"/>
        </w:rPr>
        <w:t xml:space="preserve">small percentage of live traffic</w:t>
      </w:r>
      <w:r w:rsidDel="00000000" w:rsidR="00000000" w:rsidRPr="00000000">
        <w:rPr>
          <w:rtl w:val="0"/>
        </w:rPr>
        <w:t xml:space="preserve"> (e.g., 1%-2%) to the new version using traffic-splitting (for App Engine/Cloud Run) or shared Kubernetes selectors 41. Continuously monitor system health using the four golden signals: latency, traffic, errors, and saturation 41, 42.</w:t>
      </w:r>
    </w:p>
    <w:p w:rsidR="00000000" w:rsidDel="00000000" w:rsidP="00000000" w:rsidRDefault="00000000" w:rsidRPr="00000000" w14:paraId="0000003C">
      <w:pPr>
        <w:numPr>
          <w:ilvl w:val="0"/>
          <w:numId w:val="7"/>
        </w:numPr>
        <w:ind w:left="720" w:hanging="360"/>
        <w:rPr>
          <w:u w:val="none"/>
        </w:rPr>
      </w:pPr>
      <w:r w:rsidDel="00000000" w:rsidR="00000000" w:rsidRPr="00000000">
        <w:rPr>
          <w:b w:val="1"/>
          <w:bCs w:val="1"/>
          <w:rtl w:val="0"/>
        </w:rPr>
        <w:t xml:space="preserve">API Backward Compatibility:</w:t>
      </w:r>
      <w:r w:rsidDel="00000000" w:rsidR="00000000" w:rsidRPr="00000000">
        <w:rPr>
          <w:rtl w:val="0"/>
        </w:rPr>
        <w:t xml:space="preserve"> Since the change is backward-incompatible, they must implement </w:t>
      </w:r>
      <w:r w:rsidDel="00000000" w:rsidR="00000000" w:rsidRPr="00000000">
        <w:rPr>
          <w:b w:val="1"/>
          <w:bCs w:val="1"/>
          <w:rtl w:val="0"/>
        </w:rPr>
        <w:t xml:space="preserve">Service API Versioning</w:t>
      </w:r>
      <w:r w:rsidDel="00000000" w:rsidR="00000000" w:rsidRPr="00000000">
        <w:rPr>
          <w:rtl w:val="0"/>
        </w:rPr>
        <w:t xml:space="preserve"> (e.g., indicating the version in the URI/URL path) 41, 43. The old microservice API contract must remain stable and active under deprecation policies until all dependent services have safely migrated to the new version 43.</w:t>
      </w:r>
    </w:p>
    <w:p w:rsidR="00000000" w:rsidDel="00000000" w:rsidP="00000000" w:rsidRDefault="00000000" w:rsidRPr="00000000" w14:paraId="0000003D">
      <w:pPr>
        <w:numPr>
          <w:ilvl w:val="0"/>
          <w:numId w:val="7"/>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[41-43]</w:t>
      </w:r>
    </w:p>
    <w:p w:rsidR="00000000" w:rsidDel="00000000" w:rsidP="00000000" w:rsidRDefault="00000000" w:rsidRPr="00000000" w14:paraId="0000003E">
      <w:pPr>
        <w:pStyle w:val="Heading3"/>
        <w:rPr/>
      </w:pPr>
      <w:bookmarkStart w:colFirst="0" w:colLast="0" w:name="_z6707fg0hcl" w:id="11"/>
      <w:bookmarkEnd w:id="11"/>
      <w:r w:rsidDel="00000000" w:rsidR="00000000" w:rsidRPr="00000000">
        <w:rPr>
          <w:rtl w:val="0"/>
        </w:rPr>
        <w:t xml:space="preserve">Question 10: Multi-Tenant Operational Visibility Across Isolated Projects</w:t>
      </w:r>
    </w:p>
    <w:p w:rsidR="00000000" w:rsidDel="00000000" w:rsidP="00000000" w:rsidRDefault="00000000" w:rsidRPr="00000000" w14:paraId="0000003F">
      <w:pPr>
        <w:numPr>
          <w:ilvl w:val="0"/>
          <w:numId w:val="5"/>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EHR Healthcare operates 50 distinct Google Cloud projects, with each project representing an isolated medical facility. Their SRE team requires centralized operational dashboards and unified alerting policies to monitor all projects from a single workspace. However, the regulatory security team mandates that the actual raw log entries and metric data points must physically remain within each individual local project. What is the recommended architecture?</w:t>
      </w:r>
    </w:p>
    <w:p w:rsidR="00000000" w:rsidDel="00000000" w:rsidP="00000000" w:rsidRDefault="00000000" w:rsidRPr="00000000" w14:paraId="00000040">
      <w:pPr>
        <w:numPr>
          <w:ilvl w:val="0"/>
          <w:numId w:val="5"/>
        </w:numPr>
        <w:ind w:left="720" w:hanging="360"/>
        <w:rPr>
          <w:b w:val="1"/>
          <w:bCs w:val="1"/>
        </w:rPr>
      </w:pPr>
      <w:r w:rsidDel="00000000" w:rsidR="00000000" w:rsidRPr="00000000">
        <w:rPr>
          <w:b w:val="1"/>
          <w:bCs w:val="1"/>
          <w:rtl w:val="0"/>
        </w:rPr>
        <w:t xml:space="preserve">Answer Key:</w:t>
      </w:r>
    </w:p>
    <w:p w:rsidR="00000000" w:rsidDel="00000000" w:rsidP="00000000" w:rsidRDefault="00000000" w:rsidRPr="00000000" w14:paraId="00000041">
      <w:pPr>
        <w:numPr>
          <w:ilvl w:val="0"/>
          <w:numId w:val="5"/>
        </w:numPr>
        <w:ind w:left="720" w:hanging="360"/>
        <w:rPr>
          <w:u w:val="none"/>
        </w:rPr>
      </w:pPr>
      <w:r w:rsidDel="00000000" w:rsidR="00000000" w:rsidRPr="00000000">
        <w:rPr>
          <w:b w:val="1"/>
          <w:bCs w:val="1"/>
          <w:rtl w:val="0"/>
        </w:rPr>
        <w:t xml:space="preserve">Recommended Solution:</w:t>
      </w:r>
      <w:r w:rsidDel="00000000" w:rsidR="00000000" w:rsidRPr="00000000">
        <w:rPr>
          <w:rtl w:val="0"/>
        </w:rPr>
        <w:t xml:space="preserve"> Configure a </w:t>
      </w:r>
      <w:r w:rsidDel="00000000" w:rsidR="00000000" w:rsidRPr="00000000">
        <w:rPr>
          <w:b w:val="1"/>
          <w:bCs w:val="1"/>
          <w:rtl w:val="0"/>
        </w:rPr>
        <w:t xml:space="preserve">dedicated Google Cloud project</w:t>
      </w:r>
      <w:r w:rsidDel="00000000" w:rsidR="00000000" w:rsidRPr="00000000">
        <w:rPr>
          <w:rtl w:val="0"/>
        </w:rPr>
        <w:t xml:space="preserve"> specifically to host the centralized monitoring configurations, and create a </w:t>
      </w:r>
      <w:r w:rsidDel="00000000" w:rsidR="00000000" w:rsidRPr="00000000">
        <w:rPr>
          <w:b w:val="1"/>
          <w:bCs w:val="1"/>
          <w:rtl w:val="0"/>
        </w:rPr>
        <w:t xml:space="preserve">Single Metrics Scope</w:t>
      </w:r>
      <w:r w:rsidDel="00000000" w:rsidR="00000000" w:rsidRPr="00000000">
        <w:rPr>
          <w:rtl w:val="0"/>
        </w:rPr>
        <w:t xml:space="preserve"> 44.</w:t>
      </w:r>
    </w:p>
    <w:p w:rsidR="00000000" w:rsidDel="00000000" w:rsidP="00000000" w:rsidRDefault="00000000" w:rsidRPr="00000000" w14:paraId="00000042">
      <w:pPr>
        <w:numPr>
          <w:ilvl w:val="0"/>
          <w:numId w:val="5"/>
        </w:numPr>
        <w:ind w:left="720" w:hanging="360"/>
        <w:rPr>
          <w:u w:val="none"/>
        </w:rPr>
      </w:pPr>
      <w:r w:rsidDel="00000000" w:rsidR="00000000" w:rsidRPr="00000000">
        <w:rPr>
          <w:b w:val="1"/>
          <w:bCs w:val="1"/>
          <w:rtl w:val="0"/>
        </w:rPr>
        <w:t xml:space="preserve">Execution:</w:t>
      </w:r>
      <w:r w:rsidDel="00000000" w:rsidR="00000000" w:rsidRPr="00000000">
        <w:rPr>
          <w:rtl w:val="0"/>
        </w:rPr>
        <w:t xml:space="preserve"> In the dedicated monitoring project, add the 50 resource projects as monitored projects to its metrics scope 44, 45. A single metrics scope can support up to </w:t>
      </w:r>
      <w:r w:rsidDel="00000000" w:rsidR="00000000" w:rsidRPr="00000000">
        <w:rPr>
          <w:b w:val="1"/>
          <w:bCs w:val="1"/>
          <w:rtl w:val="0"/>
        </w:rPr>
        <w:t xml:space="preserve">375 monitored projects</w:t>
      </w:r>
      <w:r w:rsidDel="00000000" w:rsidR="00000000" w:rsidRPr="00000000">
        <w:rPr>
          <w:rtl w:val="0"/>
        </w:rPr>
        <w:t xml:space="preserve"> 45.</w:t>
      </w:r>
    </w:p>
    <w:p w:rsidR="00000000" w:rsidDel="00000000" w:rsidP="00000000" w:rsidRDefault="00000000" w:rsidRPr="00000000" w14:paraId="00000043">
      <w:pPr>
        <w:numPr>
          <w:ilvl w:val="0"/>
          <w:numId w:val="5"/>
        </w:numPr>
        <w:ind w:left="720" w:hanging="360"/>
        <w:rPr>
          <w:u w:val="none"/>
        </w:rPr>
      </w:pPr>
      <w:r w:rsidDel="00000000" w:rsidR="00000000" w:rsidRPr="00000000">
        <w:rPr>
          <w:b w:val="1"/>
          <w:bCs w:val="1"/>
          <w:rtl w:val="0"/>
        </w:rPr>
        <w:t xml:space="preserve">Security &amp; Data Compliance:</w:t>
      </w:r>
      <w:r w:rsidDel="00000000" w:rsidR="00000000" w:rsidRPr="00000000">
        <w:rPr>
          <w:rtl w:val="0"/>
        </w:rPr>
        <w:t xml:space="preserve"> Centralized metrics scope only affects metrics and dashboarding. Actual metric data and log entries </w:t>
      </w:r>
      <w:r w:rsidDel="00000000" w:rsidR="00000000" w:rsidRPr="00000000">
        <w:rPr>
          <w:b w:val="1"/>
          <w:bCs w:val="1"/>
          <w:rtl w:val="0"/>
        </w:rPr>
        <w:t xml:space="preserve">physically remain within the individual parent projects</w:t>
      </w:r>
      <w:r w:rsidDel="00000000" w:rsidR="00000000" w:rsidRPr="00000000">
        <w:rPr>
          <w:rtl w:val="0"/>
        </w:rPr>
        <w:t xml:space="preserve"> where they were generated, preserving local data sovereignty and security isolation 45.</w:t>
      </w:r>
    </w:p>
    <w:p w:rsidR="00000000" w:rsidDel="00000000" w:rsidP="00000000" w:rsidRDefault="00000000" w:rsidRPr="00000000" w14:paraId="00000044">
      <w:pPr>
        <w:numPr>
          <w:ilvl w:val="0"/>
          <w:numId w:val="5"/>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[44, 45]</w:t>
      </w:r>
    </w:p>
    <w:p w:rsidR="00000000" w:rsidDel="00000000" w:rsidP="00000000" w:rsidRDefault="00000000" w:rsidRPr="00000000" w14:paraId="00000045">
      <w:pPr>
        <w:pStyle w:val="Heading2"/>
        <w:rPr/>
      </w:pPr>
      <w:bookmarkStart w:colFirst="0" w:colLast="0" w:name="_mr00viozsk3p" w:id="12"/>
      <w:bookmarkEnd w:id="12"/>
      <w:r w:rsidDel="00000000" w:rsidR="00000000" w:rsidRPr="00000000">
        <w:rPr>
          <w:rtl w:val="0"/>
        </w:rPr>
        <w:t xml:space="preserve">2. High-Yield Configuration Rules &amp; Limits</w:t>
      </w:r>
    </w:p>
    <w:p w:rsidR="00000000" w:rsidDel="00000000" w:rsidP="00000000" w:rsidRDefault="00000000" w:rsidRPr="00000000" w14:paraId="00000046">
      <w:pPr>
        <w:numPr>
          <w:ilvl w:val="0"/>
          <w:numId w:val="8"/>
        </w:numPr>
        <w:ind w:left="720" w:hanging="360"/>
        <w:rPr>
          <w:u w:val="none"/>
        </w:rPr>
      </w:pPr>
      <w:r w:rsidDel="00000000" w:rsidR="00000000" w:rsidRPr="00000000">
        <w:rPr>
          <w:b w:val="1"/>
          <w:bCs w:val="1"/>
          <w:rtl w:val="0"/>
        </w:rPr>
        <w:t xml:space="preserve">Cloud SQL Capacity Cap:</w:t>
      </w:r>
      <w:r w:rsidDel="00000000" w:rsidR="00000000" w:rsidRPr="00000000">
        <w:rPr>
          <w:rtl w:val="0"/>
        </w:rPr>
        <w:t xml:space="preserve"> Cloud SQL instances are strictly limited to a maximum storage capacity of </w:t>
      </w:r>
      <w:r w:rsidDel="00000000" w:rsidR="00000000" w:rsidRPr="00000000">
        <w:rPr>
          <w:b w:val="1"/>
          <w:bCs w:val="1"/>
          <w:rtl w:val="0"/>
        </w:rPr>
        <w:t xml:space="preserve">64 TB</w:t>
      </w:r>
      <w:r w:rsidDel="00000000" w:rsidR="00000000" w:rsidRPr="00000000">
        <w:rPr>
          <w:rtl w:val="0"/>
        </w:rPr>
        <w:t xml:space="preserve"> 11, 13-15.</w:t>
      </w:r>
    </w:p>
    <w:p w:rsidR="00000000" w:rsidDel="00000000" w:rsidP="00000000" w:rsidRDefault="00000000" w:rsidRPr="00000000" w14:paraId="00000047">
      <w:pPr>
        <w:numPr>
          <w:ilvl w:val="0"/>
          <w:numId w:val="8"/>
        </w:numPr>
        <w:ind w:left="720" w:hanging="360"/>
        <w:rPr>
          <w:u w:val="none"/>
        </w:rPr>
      </w:pPr>
      <w:r w:rsidDel="00000000" w:rsidR="00000000" w:rsidRPr="00000000">
        <w:rPr>
          <w:b w:val="1"/>
          <w:bCs w:val="1"/>
          <w:rtl w:val="0"/>
        </w:rPr>
        <w:t xml:space="preserve">Cloud SQL Performance Ceiling:</w:t>
      </w:r>
      <w:r w:rsidDel="00000000" w:rsidR="00000000" w:rsidRPr="00000000">
        <w:rPr>
          <w:rtl w:val="0"/>
        </w:rPr>
        <w:t xml:space="preserve"> A single managed Cloud SQL instance can scale up to </w:t>
      </w:r>
      <w:r w:rsidDel="00000000" w:rsidR="00000000" w:rsidRPr="00000000">
        <w:rPr>
          <w:b w:val="1"/>
          <w:bCs w:val="1"/>
          <w:rtl w:val="0"/>
        </w:rPr>
        <w:t xml:space="preserve">128 processor cores</w:t>
      </w:r>
      <w:r w:rsidDel="00000000" w:rsidR="00000000" w:rsidRPr="00000000">
        <w:rPr>
          <w:rtl w:val="0"/>
        </w:rPr>
        <w:t xml:space="preserve"> and </w:t>
      </w:r>
      <w:r w:rsidDel="00000000" w:rsidR="00000000" w:rsidRPr="00000000">
        <w:rPr>
          <w:b w:val="1"/>
          <w:bCs w:val="1"/>
          <w:rtl w:val="0"/>
        </w:rPr>
        <w:t xml:space="preserve">864 GB of RAM</w:t>
      </w:r>
      <w:r w:rsidDel="00000000" w:rsidR="00000000" w:rsidRPr="00000000">
        <w:rPr>
          <w:rtl w:val="0"/>
        </w:rPr>
        <w:t xml:space="preserve"> 13.</w:t>
      </w:r>
    </w:p>
    <w:p w:rsidR="00000000" w:rsidDel="00000000" w:rsidP="00000000" w:rsidRDefault="00000000" w:rsidRPr="00000000" w14:paraId="00000048">
      <w:pPr>
        <w:numPr>
          <w:ilvl w:val="0"/>
          <w:numId w:val="8"/>
        </w:numPr>
        <w:ind w:left="720" w:hanging="360"/>
        <w:rPr>
          <w:u w:val="none"/>
        </w:rPr>
      </w:pPr>
      <w:r w:rsidDel="00000000" w:rsidR="00000000" w:rsidRPr="00000000">
        <w:rPr>
          <w:b w:val="1"/>
          <w:bCs w:val="1"/>
          <w:rtl w:val="0"/>
        </w:rPr>
        <w:t xml:space="preserve">Firestore Entity Size Limit:</w:t>
      </w:r>
      <w:r w:rsidDel="00000000" w:rsidR="00000000" w:rsidRPr="00000000">
        <w:rPr>
          <w:rtl w:val="0"/>
        </w:rPr>
        <w:t xml:space="preserve"> The maximum unit size of a single document stored in Firestore is capped at </w:t>
      </w:r>
      <w:r w:rsidDel="00000000" w:rsidR="00000000" w:rsidRPr="00000000">
        <w:rPr>
          <w:b w:val="1"/>
          <w:bCs w:val="1"/>
          <w:rtl w:val="0"/>
        </w:rPr>
        <w:t xml:space="preserve">1 MB per entity</w:t>
      </w:r>
      <w:r w:rsidDel="00000000" w:rsidR="00000000" w:rsidRPr="00000000">
        <w:rPr>
          <w:rtl w:val="0"/>
        </w:rPr>
        <w:t xml:space="preserve"> 15, 21, 25.</w:t>
      </w:r>
    </w:p>
    <w:p w:rsidR="00000000" w:rsidDel="00000000" w:rsidP="00000000" w:rsidRDefault="00000000" w:rsidRPr="00000000" w14:paraId="00000049">
      <w:pPr>
        <w:numPr>
          <w:ilvl w:val="0"/>
          <w:numId w:val="8"/>
        </w:numPr>
        <w:ind w:left="720" w:hanging="360"/>
        <w:rPr>
          <w:u w:val="none"/>
        </w:rPr>
      </w:pPr>
      <w:r w:rsidDel="00000000" w:rsidR="00000000" w:rsidRPr="00000000">
        <w:rPr>
          <w:b w:val="1"/>
          <w:bCs w:val="1"/>
          <w:rtl w:val="0"/>
        </w:rPr>
        <w:t xml:space="preserve">Cloud Storage Object Limit:</w:t>
      </w:r>
      <w:r w:rsidDel="00000000" w:rsidR="00000000" w:rsidRPr="00000000">
        <w:rPr>
          <w:rtl w:val="0"/>
        </w:rPr>
        <w:t xml:space="preserve"> The maximum size limit for a single uploaded immutable object in Cloud Storage is </w:t>
      </w:r>
      <w:r w:rsidDel="00000000" w:rsidR="00000000" w:rsidRPr="00000000">
        <w:rPr>
          <w:b w:val="1"/>
          <w:bCs w:val="1"/>
          <w:rtl w:val="0"/>
        </w:rPr>
        <w:t xml:space="preserve">5 TB</w:t>
      </w:r>
      <w:r w:rsidDel="00000000" w:rsidR="00000000" w:rsidRPr="00000000">
        <w:rPr>
          <w:rtl w:val="0"/>
        </w:rPr>
        <w:t xml:space="preserve"> 15, 46.</w:t>
      </w:r>
    </w:p>
    <w:p w:rsidR="00000000" w:rsidDel="00000000" w:rsidP="00000000" w:rsidRDefault="00000000" w:rsidRPr="00000000" w14:paraId="0000004A">
      <w:pPr>
        <w:numPr>
          <w:ilvl w:val="0"/>
          <w:numId w:val="8"/>
        </w:numPr>
        <w:ind w:left="720" w:hanging="360"/>
        <w:rPr>
          <w:u w:val="none"/>
        </w:rPr>
      </w:pPr>
      <w:r w:rsidDel="00000000" w:rsidR="00000000" w:rsidRPr="00000000">
        <w:rPr>
          <w:b w:val="1"/>
          <w:bCs w:val="1"/>
          <w:rtl w:val="0"/>
        </w:rPr>
        <w:t xml:space="preserve">Bigtable Cell and Row Limits:</w:t>
      </w:r>
      <w:r w:rsidDel="00000000" w:rsidR="00000000" w:rsidRPr="00000000">
        <w:rPr>
          <w:rtl w:val="0"/>
        </w:rPr>
        <w:t xml:space="preserve"> Bigtable maximum capacity limits are </w:t>
      </w:r>
      <w:r w:rsidDel="00000000" w:rsidR="00000000" w:rsidRPr="00000000">
        <w:rPr>
          <w:b w:val="1"/>
          <w:bCs w:val="1"/>
          <w:rtl w:val="0"/>
        </w:rPr>
        <w:t xml:space="preserve">10 MB per cell</w:t>
      </w:r>
      <w:r w:rsidDel="00000000" w:rsidR="00000000" w:rsidRPr="00000000">
        <w:rPr>
          <w:rtl w:val="0"/>
        </w:rPr>
        <w:t xml:space="preserve"> and </w:t>
      </w:r>
      <w:r w:rsidDel="00000000" w:rsidR="00000000" w:rsidRPr="00000000">
        <w:rPr>
          <w:b w:val="1"/>
          <w:bCs w:val="1"/>
          <w:rtl w:val="0"/>
        </w:rPr>
        <w:t xml:space="preserve">100 MB per row</w:t>
      </w:r>
      <w:r w:rsidDel="00000000" w:rsidR="00000000" w:rsidRPr="00000000">
        <w:rPr>
          <w:rtl w:val="0"/>
        </w:rPr>
        <w:t xml:space="preserve"> 14, 15, 22.</w:t>
      </w:r>
    </w:p>
    <w:p w:rsidR="00000000" w:rsidDel="00000000" w:rsidP="00000000" w:rsidRDefault="00000000" w:rsidRPr="00000000" w14:paraId="0000004B">
      <w:pPr>
        <w:numPr>
          <w:ilvl w:val="0"/>
          <w:numId w:val="8"/>
        </w:numPr>
        <w:ind w:left="720" w:hanging="360"/>
        <w:rPr>
          <w:u w:val="none"/>
        </w:rPr>
      </w:pPr>
      <w:r w:rsidDel="00000000" w:rsidR="00000000" w:rsidRPr="00000000">
        <w:rPr>
          <w:b w:val="1"/>
          <w:bCs w:val="1"/>
          <w:rtl w:val="0"/>
        </w:rPr>
        <w:t xml:space="preserve">Bigtable Node Scale Minimums:</w:t>
      </w:r>
      <w:r w:rsidDel="00000000" w:rsidR="00000000" w:rsidRPr="00000000">
        <w:rPr>
          <w:rtl w:val="0"/>
        </w:rPr>
        <w:t xml:space="preserve"> Bigtable requires a minimum cluster size of </w:t>
      </w:r>
      <w:r w:rsidDel="00000000" w:rsidR="00000000" w:rsidRPr="00000000">
        <w:rPr>
          <w:b w:val="1"/>
          <w:bCs w:val="1"/>
          <w:rtl w:val="0"/>
        </w:rPr>
        <w:t xml:space="preserve">3 nodes</w:t>
      </w:r>
      <w:r w:rsidDel="00000000" w:rsidR="00000000" w:rsidRPr="00000000">
        <w:rPr>
          <w:rtl w:val="0"/>
        </w:rPr>
        <w:t xml:space="preserve"> (delivering 30,000 operations per second) and does not support scaling down to zero 23.</w:t>
      </w:r>
    </w:p>
    <w:p w:rsidR="00000000" w:rsidDel="00000000" w:rsidP="00000000" w:rsidRDefault="00000000" w:rsidRPr="00000000" w14:paraId="0000004C">
      <w:pPr>
        <w:numPr>
          <w:ilvl w:val="0"/>
          <w:numId w:val="8"/>
        </w:numPr>
        <w:ind w:left="720" w:hanging="360"/>
        <w:rPr>
          <w:u w:val="none"/>
        </w:rPr>
      </w:pPr>
      <w:r w:rsidDel="00000000" w:rsidR="00000000" w:rsidRPr="00000000">
        <w:rPr>
          <w:b w:val="1"/>
          <w:bCs w:val="1"/>
          <w:rtl w:val="0"/>
        </w:rPr>
        <w:t xml:space="preserve">Cloud VPN Tunnel Throughput:</w:t>
      </w:r>
      <w:r w:rsidDel="00000000" w:rsidR="00000000" w:rsidRPr="00000000">
        <w:rPr>
          <w:rtl w:val="0"/>
        </w:rPr>
        <w:t xml:space="preserve"> Single IPsec VPN tunnels support a throughput of </w:t>
      </w:r>
      <w:r w:rsidDel="00000000" w:rsidR="00000000" w:rsidRPr="00000000">
        <w:rPr>
          <w:b w:val="1"/>
          <w:bCs w:val="1"/>
          <w:rtl w:val="0"/>
        </w:rPr>
        <w:t xml:space="preserve">1.5 Gbps</w:t>
      </w:r>
      <w:r w:rsidDel="00000000" w:rsidR="00000000" w:rsidRPr="00000000">
        <w:rPr>
          <w:rtl w:val="0"/>
        </w:rPr>
        <w:t xml:space="preserve"> over the public internet and up to </w:t>
      </w:r>
      <w:r w:rsidDel="00000000" w:rsidR="00000000" w:rsidRPr="00000000">
        <w:rPr>
          <w:b w:val="1"/>
          <w:bCs w:val="1"/>
          <w:rtl w:val="0"/>
        </w:rPr>
        <w:t xml:space="preserve">3.0 Gbps</w:t>
      </w:r>
      <w:r w:rsidDel="00000000" w:rsidR="00000000" w:rsidRPr="00000000">
        <w:rPr>
          <w:rtl w:val="0"/>
        </w:rPr>
        <w:t xml:space="preserve"> over dynamic peering 4.</w:t>
      </w:r>
    </w:p>
    <w:p w:rsidR="00000000" w:rsidDel="00000000" w:rsidP="00000000" w:rsidRDefault="00000000" w:rsidRPr="00000000" w14:paraId="0000004D">
      <w:pPr>
        <w:numPr>
          <w:ilvl w:val="0"/>
          <w:numId w:val="8"/>
        </w:numPr>
        <w:ind w:left="720" w:hanging="360"/>
        <w:rPr>
          <w:u w:val="none"/>
        </w:rPr>
      </w:pPr>
      <w:r w:rsidDel="00000000" w:rsidR="00000000" w:rsidRPr="00000000">
        <w:rPr>
          <w:b w:val="1"/>
          <w:bCs w:val="1"/>
          <w:rtl w:val="0"/>
        </w:rPr>
        <w:t xml:space="preserve">Cloud VPN MTU Configuration:</w:t>
      </w:r>
      <w:r w:rsidDel="00000000" w:rsidR="00000000" w:rsidRPr="00000000">
        <w:rPr>
          <w:rtl w:val="0"/>
        </w:rPr>
        <w:t xml:space="preserve"> The maximum transmission unit (MTU) configured on an on-premises VPN gateway cannot exceed </w:t>
      </w:r>
      <w:r w:rsidDel="00000000" w:rsidR="00000000" w:rsidRPr="00000000">
        <w:rPr>
          <w:b w:val="1"/>
          <w:bCs w:val="1"/>
          <w:rtl w:val="0"/>
        </w:rPr>
        <w:t xml:space="preserve">1,460 bytes</w:t>
      </w:r>
      <w:r w:rsidDel="00000000" w:rsidR="00000000" w:rsidRPr="00000000">
        <w:rPr>
          <w:rtl w:val="0"/>
        </w:rPr>
        <w:t xml:space="preserve"> 47.</w:t>
      </w:r>
    </w:p>
    <w:p w:rsidR="00000000" w:rsidDel="00000000" w:rsidP="00000000" w:rsidRDefault="00000000" w:rsidRPr="00000000" w14:paraId="0000004E">
      <w:pPr>
        <w:numPr>
          <w:ilvl w:val="0"/>
          <w:numId w:val="8"/>
        </w:numPr>
        <w:ind w:left="720" w:hanging="360"/>
        <w:rPr>
          <w:u w:val="none"/>
        </w:rPr>
      </w:pPr>
      <w:r w:rsidDel="00000000" w:rsidR="00000000" w:rsidRPr="00000000">
        <w:rPr>
          <w:b w:val="1"/>
          <w:bCs w:val="1"/>
          <w:rtl w:val="0"/>
        </w:rPr>
        <w:t xml:space="preserve">Dedicated Interconnect Sizing:</w:t>
      </w:r>
      <w:r w:rsidDel="00000000" w:rsidR="00000000" w:rsidRPr="00000000">
        <w:rPr>
          <w:rtl w:val="0"/>
        </w:rPr>
        <w:t xml:space="preserve"> Physical fiber link connections must be configured in port sizes of </w:t>
      </w:r>
      <w:r w:rsidDel="00000000" w:rsidR="00000000" w:rsidRPr="00000000">
        <w:rPr>
          <w:b w:val="1"/>
          <w:bCs w:val="1"/>
          <w:rtl w:val="0"/>
        </w:rPr>
        <w:t xml:space="preserve">10 Gbps</w:t>
      </w:r>
      <w:r w:rsidDel="00000000" w:rsidR="00000000" w:rsidRPr="00000000">
        <w:rPr>
          <w:rtl w:val="0"/>
        </w:rPr>
        <w:t xml:space="preserve"> or </w:t>
      </w:r>
      <w:r w:rsidDel="00000000" w:rsidR="00000000" w:rsidRPr="00000000">
        <w:rPr>
          <w:b w:val="1"/>
          <w:bCs w:val="1"/>
          <w:rtl w:val="0"/>
        </w:rPr>
        <w:t xml:space="preserve">100 Gbps</w:t>
      </w:r>
      <w:r w:rsidDel="00000000" w:rsidR="00000000" w:rsidRPr="00000000">
        <w:rPr>
          <w:rtl w:val="0"/>
        </w:rPr>
        <w:t xml:space="preserve"> per link 4.</w:t>
      </w:r>
    </w:p>
    <w:p w:rsidR="00000000" w:rsidDel="00000000" w:rsidP="00000000" w:rsidRDefault="00000000" w:rsidRPr="00000000" w14:paraId="0000004F">
      <w:pPr>
        <w:numPr>
          <w:ilvl w:val="0"/>
          <w:numId w:val="8"/>
        </w:numPr>
        <w:ind w:left="720" w:hanging="360"/>
        <w:rPr>
          <w:u w:val="none"/>
        </w:rPr>
      </w:pPr>
      <w:r w:rsidDel="00000000" w:rsidR="00000000" w:rsidRPr="00000000">
        <w:rPr>
          <w:b w:val="1"/>
          <w:bCs w:val="1"/>
          <w:rtl w:val="0"/>
        </w:rPr>
        <w:t xml:space="preserve">Metrics Scope Capacity:</w:t>
      </w:r>
      <w:r w:rsidDel="00000000" w:rsidR="00000000" w:rsidRPr="00000000">
        <w:rPr>
          <w:rtl w:val="0"/>
        </w:rPr>
        <w:t xml:space="preserve"> A single scoping project can dynamically link and monitor between </w:t>
      </w:r>
      <w:r w:rsidDel="00000000" w:rsidR="00000000" w:rsidRPr="00000000">
        <w:rPr>
          <w:b w:val="1"/>
          <w:bCs w:val="1"/>
          <w:rtl w:val="0"/>
        </w:rPr>
        <w:t xml:space="preserve">1 and 375 separate projects</w:t>
      </w:r>
      <w:r w:rsidDel="00000000" w:rsidR="00000000" w:rsidRPr="00000000">
        <w:rPr>
          <w:rtl w:val="0"/>
        </w:rPr>
        <w:t xml:space="preserve"> 45.</w:t>
      </w:r>
    </w:p>
    <w:p w:rsidR="00000000" w:rsidDel="00000000" w:rsidP="00000000" w:rsidRDefault="00000000" w:rsidRPr="00000000" w14:paraId="00000050">
      <w:pPr>
        <w:rPr>
          <w:b w:val="1"/>
          <w:bCs w:val="1"/>
        </w:rPr>
      </w:pPr>
      <w:r w:rsidDel="00000000" w:rsidR="00000000" w:rsidRPr="00000000">
        <w:rPr>
          <w:rtl w:val="0"/>
        </w:rPr>
        <w:t xml:space="preserve">🎓 </w:t>
      </w:r>
      <w:r w:rsidDel="00000000" w:rsidR="00000000" w:rsidRPr="00000000">
        <w:rPr>
          <w:b w:val="1"/>
          <w:bCs w:val="1"/>
          <w:rtl w:val="0"/>
        </w:rPr>
        <w:t xml:space="preserve">Would you like me to map out a highly-detailed 3-week study path with daily focus areas, targeting your specific areas of growth across these 10 domains?</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