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r>
    </w:p>
    <w:p>
      <w:pPr>
        <w:spacing w:after="60"/>
        <w:jc w:val="center"/>
      </w:pPr>
      <w:r>
        <w:rPr>
          <w:rFonts w:ascii="Arial" w:cs="Arial" w:eastAsia="Arial" w:hAnsi="Arial"/>
          <w:color w:val="6E6E73"/>
          <w:sz w:val="20"/>
          <w:szCs w:val="20"/>
        </w:rPr>
        <w:t xml:space="preserve">Cape Peninsula University of Technology</w:t>
      </w:r>
    </w:p>
    <w:p>
      <w:pPr>
        <w:spacing w:after="720"/>
        <w:jc w:val="center"/>
      </w:pPr>
      <w:r>
        <w:rPr>
          <w:rFonts w:ascii="Arial" w:cs="Arial" w:eastAsia="Arial" w:hAnsi="Arial"/>
          <w:color w:val="6E6E73"/>
          <w:sz w:val="20"/>
          <w:szCs w:val="20"/>
        </w:rPr>
        <w:t xml:space="preserve">Applications Development Theory 4  |  APT470S</w:t>
      </w:r>
    </w:p>
    <w:p>
      <w:pPr>
        <w:spacing w:after="120"/>
        <w:jc w:val="center"/>
      </w:pPr>
      <w:r>
        <w:rPr>
          <w:rFonts w:ascii="Arial" w:cs="Arial" w:eastAsia="Arial" w:hAnsi="Arial"/>
          <w:b/>
          <w:bCs/>
          <w:color w:val="1D1D1F"/>
          <w:sz w:val="96"/>
          <w:szCs w:val="96"/>
        </w:rPr>
        <w:t xml:space="preserve">Extreme Programming</w:t>
      </w:r>
    </w:p>
    <w:p>
      <w:pPr>
        <w:spacing w:after="240"/>
        <w:jc w:val="center"/>
      </w:pPr>
      <w:r>
        <w:rPr>
          <w:rFonts w:ascii="Arial" w:cs="Arial" w:eastAsia="Arial" w:hAnsi="Arial"/>
          <w:b/>
          <w:bCs/>
          <w:color w:val="0071E3"/>
          <w:sz w:val="160"/>
          <w:szCs w:val="160"/>
        </w:rPr>
        <w:t xml:space="preserve">XP</w:t>
      </w:r>
    </w:p>
    <w:p>
      <w:pPr>
        <w:spacing w:after="1440"/>
        <w:jc w:val="center"/>
      </w:pPr>
      <w:r>
        <w:rPr>
          <w:rFonts w:ascii="Arial" w:cs="Arial" w:eastAsia="Arial" w:hAnsi="Arial"/>
          <w:color w:val="6E6E73"/>
          <w:sz w:val="28"/>
          <w:szCs w:val="28"/>
        </w:rPr>
        <w:t xml:space="preserve">Agile Methods Research, Analysis &amp; Video Presentation</w:t>
      </w:r>
    </w:p>
    <w:p>
      <w:pPr>
        <w:pBdr>
          <w:bottom w:val="single" w:color="D2D2D7" w:sz="4" w:space="1"/>
        </w:pBdr>
        <w:spacing w:before="80" w:after="80"/>
      </w:pPr>
      <w:r>
        <w:t xml:space="preserve"/>
      </w:r>
    </w:p>
    <w:p>
      <w:pPr>
        <w:spacing w:before="240" w:after="0"/>
      </w:pPr>
      <w:r>
        <w:t xml:space="preserve"/>
      </w:r>
    </w:p>
    <w:p>
      <w:pPr>
        <w:spacing w:after="120"/>
        <w:jc w:val="center"/>
      </w:pPr>
      <w:r>
        <w:rPr>
          <w:rFonts w:ascii="Arial" w:cs="Arial" w:eastAsia="Arial" w:hAnsi="Arial"/>
          <w:b/>
          <w:bCs/>
          <w:color w:val="1D1D1F"/>
          <w:sz w:val="36"/>
          <w:szCs w:val="36"/>
        </w:rPr>
        <w:t xml:space="preserve">Group 1</w:t>
      </w:r>
    </w:p>
    <w:p>
      <w:pPr>
        <w:spacing w:before="120" w:after="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rPr>
          <w:tblHeader/>
        </w:trPr>
        <w:tc>
          <w:tcPr>
            <w:tcW w:type="dxa" w:w="4200"/>
            <w:tcBorders>
              <w:top w:val="none" w:color="FFFFFF" w:sz="0"/>
              <w:left w:val="none" w:color="FFFFFF" w:sz="0"/>
              <w:bottom w:val="none" w:color="FFFFFF" w:sz="0"/>
              <w:right w:val="none" w:color="FFFFFF" w:sz="0"/>
            </w:tcBorders>
            <w:shd w:fill="0071E3" w:val="clear"/>
            <w:tcMar>
              <w:top w:type="dxa" w:w="120"/>
              <w:left w:type="dxa" w:w="200"/>
              <w:bottom w:type="dxa" w:w="120"/>
              <w:right w:type="dxa" w:w="200"/>
            </w:tcMar>
          </w:tcPr>
          <w:p>
            <w:r>
              <w:rPr>
                <w:rFonts w:ascii="Arial" w:cs="Arial" w:eastAsia="Arial" w:hAnsi="Arial"/>
                <w:b/>
                <w:bCs/>
                <w:color w:val="FFFFFF"/>
                <w:sz w:val="22"/>
                <w:szCs w:val="22"/>
              </w:rPr>
              <w:t xml:space="preserve">Full Name</w:t>
            </w:r>
          </w:p>
        </w:tc>
        <w:tc>
          <w:tcPr>
            <w:tcW w:type="dxa" w:w="2800"/>
            <w:tcBorders>
              <w:top w:val="none" w:color="FFFFFF" w:sz="0"/>
              <w:left w:val="none" w:color="FFFFFF" w:sz="0"/>
              <w:bottom w:val="none" w:color="FFFFFF" w:sz="0"/>
              <w:right w:val="none" w:color="FFFFFF" w:sz="0"/>
            </w:tcBorders>
            <w:shd w:fill="0071E3" w:val="clear"/>
            <w:tcMar>
              <w:top w:type="dxa" w:w="120"/>
              <w:left w:type="dxa" w:w="200"/>
              <w:bottom w:type="dxa" w:w="120"/>
              <w:right w:type="dxa" w:w="200"/>
            </w:tcMar>
          </w:tcPr>
          <w:p>
            <w:r>
              <w:rPr>
                <w:rFonts w:ascii="Arial" w:cs="Arial" w:eastAsia="Arial" w:hAnsi="Arial"/>
                <w:b/>
                <w:bCs/>
                <w:color w:val="FFFFFF"/>
                <w:sz w:val="22"/>
                <w:szCs w:val="22"/>
              </w:rPr>
              <w:t xml:space="preserve">Student Number</w:t>
            </w:r>
          </w:p>
        </w:tc>
      </w:tr>
      <w:tr>
        <w:tc>
          <w:tcPr>
            <w:tcW w:type="dxa" w:w="4200"/>
            <w:tcBorders>
              <w:top w:val="none" w:color="FFFFFF" w:sz="0"/>
              <w:left w:val="none" w:color="FFFFFF" w:sz="0"/>
              <w:bottom w:val="none" w:color="FFFFFF" w:sz="0"/>
              <w:right w:val="none" w:color="FFFFFF" w:sz="0"/>
            </w:tcBorders>
            <w:shd w:fill="F5F5F7" w:val="clear"/>
            <w:tcMar>
              <w:top w:type="dxa" w:w="100"/>
              <w:left w:type="dxa" w:w="200"/>
              <w:bottom w:type="dxa" w:w="100"/>
              <w:right w:type="dxa" w:w="200"/>
            </w:tcMar>
          </w:tcPr>
          <w:p>
            <w:r>
              <w:rPr>
                <w:rFonts w:ascii="Arial" w:cs="Arial" w:eastAsia="Arial" w:hAnsi="Arial"/>
                <w:color w:val="1D1D1F"/>
                <w:sz w:val="22"/>
                <w:szCs w:val="22"/>
              </w:rPr>
              <w:t xml:space="preserve">Mziwamangwevu Ntutu</w:t>
            </w:r>
          </w:p>
        </w:tc>
        <w:tc>
          <w:tcPr>
            <w:tcW w:type="dxa" w:w="2800"/>
            <w:tcBorders>
              <w:top w:val="none" w:color="FFFFFF" w:sz="0"/>
              <w:left w:val="none" w:color="FFFFFF" w:sz="0"/>
              <w:bottom w:val="none" w:color="FFFFFF" w:sz="0"/>
              <w:right w:val="none" w:color="FFFFFF" w:sz="0"/>
            </w:tcBorders>
            <w:shd w:fill="F5F5F7" w:val="clear"/>
            <w:tcMar>
              <w:top w:type="dxa" w:w="100"/>
              <w:left w:type="dxa" w:w="200"/>
              <w:bottom w:type="dxa" w:w="100"/>
              <w:right w:type="dxa" w:w="200"/>
            </w:tcMar>
          </w:tcPr>
          <w:p>
            <w:r>
              <w:rPr>
                <w:rFonts w:ascii="Arial" w:cs="Arial" w:eastAsia="Arial" w:hAnsi="Arial"/>
                <w:color w:val="6E6E73"/>
                <w:sz w:val="22"/>
                <w:szCs w:val="22"/>
              </w:rPr>
              <w:t xml:space="preserve">217054420</w:t>
            </w:r>
          </w:p>
        </w:tc>
      </w:tr>
      <w:tr>
        <w:tc>
          <w:tcPr>
            <w:tcW w:type="dxa" w:w="42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1D1D1F"/>
                <w:sz w:val="22"/>
                <w:szCs w:val="22"/>
              </w:rPr>
              <w:t xml:space="preserve">Yanga Jilaji</w:t>
            </w:r>
          </w:p>
        </w:tc>
        <w:tc>
          <w:tcPr>
            <w:tcW w:type="dxa" w:w="28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6E6E73"/>
                <w:sz w:val="22"/>
                <w:szCs w:val="22"/>
              </w:rPr>
              <w:t xml:space="preserve">222582731</w:t>
            </w:r>
          </w:p>
        </w:tc>
      </w:tr>
      <w:tr>
        <w:tc>
          <w:tcPr>
            <w:tcW w:type="dxa" w:w="4200"/>
            <w:tcBorders>
              <w:top w:val="none" w:color="FFFFFF" w:sz="0"/>
              <w:left w:val="none" w:color="FFFFFF" w:sz="0"/>
              <w:bottom w:val="none" w:color="FFFFFF" w:sz="0"/>
              <w:right w:val="none" w:color="FFFFFF" w:sz="0"/>
            </w:tcBorders>
            <w:shd w:fill="F5F5F7" w:val="clear"/>
            <w:tcMar>
              <w:top w:type="dxa" w:w="100"/>
              <w:left w:type="dxa" w:w="200"/>
              <w:bottom w:type="dxa" w:w="100"/>
              <w:right w:type="dxa" w:w="200"/>
            </w:tcMar>
          </w:tcPr>
          <w:p>
            <w:r>
              <w:rPr>
                <w:rFonts w:ascii="Arial" w:cs="Arial" w:eastAsia="Arial" w:hAnsi="Arial"/>
                <w:color w:val="1D1D1F"/>
                <w:sz w:val="22"/>
                <w:szCs w:val="22"/>
              </w:rPr>
              <w:t xml:space="preserve">Thabiso Matsaba</w:t>
            </w:r>
          </w:p>
        </w:tc>
        <w:tc>
          <w:tcPr>
            <w:tcW w:type="dxa" w:w="2800"/>
            <w:tcBorders>
              <w:top w:val="none" w:color="FFFFFF" w:sz="0"/>
              <w:left w:val="none" w:color="FFFFFF" w:sz="0"/>
              <w:bottom w:val="none" w:color="FFFFFF" w:sz="0"/>
              <w:right w:val="none" w:color="FFFFFF" w:sz="0"/>
            </w:tcBorders>
            <w:shd w:fill="F5F5F7" w:val="clear"/>
            <w:tcMar>
              <w:top w:type="dxa" w:w="100"/>
              <w:left w:type="dxa" w:w="200"/>
              <w:bottom w:type="dxa" w:w="100"/>
              <w:right w:type="dxa" w:w="200"/>
            </w:tcMar>
          </w:tcPr>
          <w:p>
            <w:r>
              <w:rPr>
                <w:rFonts w:ascii="Arial" w:cs="Arial" w:eastAsia="Arial" w:hAnsi="Arial"/>
                <w:color w:val="6E6E73"/>
                <w:sz w:val="22"/>
                <w:szCs w:val="22"/>
              </w:rPr>
              <w:t xml:space="preserve">220296006</w:t>
            </w:r>
          </w:p>
        </w:tc>
      </w:tr>
      <w:tr>
        <w:tc>
          <w:tcPr>
            <w:tcW w:type="dxa" w:w="42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1D1D1F"/>
                <w:sz w:val="22"/>
                <w:szCs w:val="22"/>
              </w:rPr>
              <w:t xml:space="preserve">Thandolwethu Siloyi</w:t>
            </w:r>
          </w:p>
        </w:tc>
        <w:tc>
          <w:tcPr>
            <w:tcW w:type="dxa" w:w="28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6E6E73"/>
                <w:sz w:val="22"/>
                <w:szCs w:val="22"/>
              </w:rPr>
              <w:t xml:space="preserve">216112303</w:t>
            </w:r>
          </w:p>
        </w:tc>
      </w:tr>
      <w:tr>
        <w:tc>
          <w:tcPr>
            <w:tcW w:type="dxa" w:w="4200"/>
            <w:tcBorders>
              <w:top w:val="none" w:color="FFFFFF" w:sz="0"/>
              <w:left w:val="none" w:color="FFFFFF" w:sz="0"/>
              <w:bottom w:val="none" w:color="FFFFFF" w:sz="0"/>
              <w:right w:val="none" w:color="FFFFFF" w:sz="0"/>
            </w:tcBorders>
            <w:shd w:fill="F5F5F7" w:val="clear"/>
            <w:tcMar>
              <w:top w:type="dxa" w:w="100"/>
              <w:left w:type="dxa" w:w="200"/>
              <w:bottom w:type="dxa" w:w="100"/>
              <w:right w:type="dxa" w:w="200"/>
            </w:tcMar>
          </w:tcPr>
          <w:p>
            <w:r>
              <w:rPr>
                <w:rFonts w:ascii="Arial" w:cs="Arial" w:eastAsia="Arial" w:hAnsi="Arial"/>
                <w:color w:val="1D1D1F"/>
                <w:sz w:val="22"/>
                <w:szCs w:val="22"/>
              </w:rPr>
              <w:t xml:space="preserve">Olwethu Nene</w:t>
            </w:r>
          </w:p>
        </w:tc>
        <w:tc>
          <w:tcPr>
            <w:tcW w:type="dxa" w:w="2800"/>
            <w:tcBorders>
              <w:top w:val="none" w:color="FFFFFF" w:sz="0"/>
              <w:left w:val="none" w:color="FFFFFF" w:sz="0"/>
              <w:bottom w:val="none" w:color="FFFFFF" w:sz="0"/>
              <w:right w:val="none" w:color="FFFFFF" w:sz="0"/>
            </w:tcBorders>
            <w:shd w:fill="F5F5F7" w:val="clear"/>
            <w:tcMar>
              <w:top w:type="dxa" w:w="100"/>
              <w:left w:type="dxa" w:w="200"/>
              <w:bottom w:type="dxa" w:w="100"/>
              <w:right w:type="dxa" w:w="200"/>
            </w:tcMar>
          </w:tcPr>
          <w:p>
            <w:r>
              <w:rPr>
                <w:rFonts w:ascii="Arial" w:cs="Arial" w:eastAsia="Arial" w:hAnsi="Arial"/>
                <w:color w:val="6E6E73"/>
                <w:sz w:val="22"/>
                <w:szCs w:val="22"/>
              </w:rPr>
              <w:t xml:space="preserve">230277845</w:t>
            </w:r>
          </w:p>
        </w:tc>
      </w:tr>
      <w:tr>
        <w:tc>
          <w:tcPr>
            <w:tcW w:type="dxa" w:w="42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1D1D1F"/>
                <w:sz w:val="22"/>
                <w:szCs w:val="22"/>
              </w:rPr>
              <w:t xml:space="preserve">Phindile Lisa Ngozi</w:t>
            </w:r>
          </w:p>
        </w:tc>
        <w:tc>
          <w:tcPr>
            <w:tcW w:type="dxa" w:w="28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6E6E73"/>
                <w:sz w:val="22"/>
                <w:szCs w:val="22"/>
              </w:rPr>
              <w:t xml:space="preserve">230640893</w:t>
            </w:r>
          </w:p>
        </w:tc>
      </w:tr>
      <w:tr>
        <w:tc>
          <w:tcPr>
            <w:tcW w:type="dxa" w:w="4200"/>
            <w:tcBorders>
              <w:top w:val="none" w:color="FFFFFF" w:sz="0"/>
              <w:left w:val="none" w:color="FFFFFF" w:sz="0"/>
              <w:bottom w:val="none" w:color="FFFFFF" w:sz="0"/>
              <w:right w:val="none" w:color="FFFFFF" w:sz="0"/>
            </w:tcBorders>
            <w:shd w:fill="F5F5F7" w:val="clear"/>
            <w:tcMar>
              <w:top w:type="dxa" w:w="100"/>
              <w:left w:type="dxa" w:w="200"/>
              <w:bottom w:type="dxa" w:w="100"/>
              <w:right w:type="dxa" w:w="200"/>
            </w:tcMar>
          </w:tcPr>
          <w:p>
            <w:r>
              <w:rPr>
                <w:rFonts w:ascii="Arial" w:cs="Arial" w:eastAsia="Arial" w:hAnsi="Arial"/>
                <w:color w:val="1D1D1F"/>
                <w:sz w:val="22"/>
                <w:szCs w:val="22"/>
              </w:rPr>
              <w:t xml:space="preserve">Zenande Kalipa</w:t>
            </w:r>
          </w:p>
        </w:tc>
        <w:tc>
          <w:tcPr>
            <w:tcW w:type="dxa" w:w="2800"/>
            <w:tcBorders>
              <w:top w:val="none" w:color="FFFFFF" w:sz="0"/>
              <w:left w:val="none" w:color="FFFFFF" w:sz="0"/>
              <w:bottom w:val="none" w:color="FFFFFF" w:sz="0"/>
              <w:right w:val="none" w:color="FFFFFF" w:sz="0"/>
            </w:tcBorders>
            <w:shd w:fill="F5F5F7" w:val="clear"/>
            <w:tcMar>
              <w:top w:type="dxa" w:w="100"/>
              <w:left w:type="dxa" w:w="200"/>
              <w:bottom w:type="dxa" w:w="100"/>
              <w:right w:type="dxa" w:w="200"/>
            </w:tcMar>
          </w:tcPr>
          <w:p>
            <w:r>
              <w:rPr>
                <w:rFonts w:ascii="Arial" w:cs="Arial" w:eastAsia="Arial" w:hAnsi="Arial"/>
                <w:color w:val="6E6E73"/>
                <w:sz w:val="22"/>
                <w:szCs w:val="22"/>
              </w:rPr>
              <w:t xml:space="preserve">230012035</w:t>
            </w:r>
          </w:p>
        </w:tc>
      </w:tr>
    </w:tbl>
    <w:p>
      <w:pPr>
        <w:spacing w:before="480" w:after="0"/>
      </w:pPr>
      <w:r>
        <w:t xml:space="preserve"/>
      </w:r>
    </w:p>
    <w:p>
      <w:pPr>
        <w:spacing w:after="60"/>
        <w:jc w:val="center"/>
      </w:pPr>
      <w:r>
        <w:rPr>
          <w:rFonts w:ascii="Arial" w:cs="Arial" w:eastAsia="Arial" w:hAnsi="Arial"/>
          <w:color w:val="6E6E73"/>
          <w:sz w:val="20"/>
          <w:szCs w:val="20"/>
        </w:rPr>
        <w:t xml:space="preserve">Due Date: Wednesday, 11 March 2026</w:t>
      </w:r>
    </w:p>
    <w:p>
      <w:pPr>
        <w:jc w:val="center"/>
      </w:pPr>
      <w:r>
        <w:rPr>
          <w:rFonts w:ascii="Arial" w:cs="Arial" w:eastAsia="Arial" w:hAnsi="Arial"/>
          <w:color w:val="6E6E73"/>
          <w:sz w:val="20"/>
          <w:szCs w:val="20"/>
        </w:rPr>
        <w:t xml:space="preserve">Submission via Blackboard</w:t>
      </w:r>
    </w:p>
    <w:p>
      <w:r>
        <w:br w:type="page"/>
      </w:r>
    </w:p>
    <w:p>
      <w:pPr>
        <w:pStyle w:val="Heading1"/>
      </w:pPr>
      <w:r>
        <w:rPr>
          <w:rFonts w:ascii="Arial" w:cs="Arial" w:eastAsia="Arial" w:hAnsi="Arial"/>
          <w:b/>
          <w:bCs/>
          <w:color w:val="1D1D1F"/>
          <w:sz w:val="48"/>
          <w:szCs w:val="48"/>
        </w:rPr>
        <w:t xml:space="preserve">Collaboration Tools</w:t>
      </w:r>
    </w:p>
    <w:p>
      <w:pPr>
        <w:pBdr>
          <w:bottom w:val="single" w:color="D2D2D7" w:sz="4" w:space="1"/>
        </w:pBdr>
        <w:spacing w:before="80" w:after="80"/>
      </w:pPr>
      <w:r>
        <w:t xml:space="preserve"/>
      </w:r>
    </w:p>
    <w:p>
      <w:pPr>
        <w:spacing w:before="120" w:after="0"/>
      </w:pPr>
      <w:r>
        <w:t xml:space="preserve"/>
      </w:r>
    </w:p>
    <w:p>
      <w:r>
        <w:rPr>
          <w:rFonts w:ascii="Arial" w:cs="Arial" w:eastAsia="Arial" w:hAnsi="Arial"/>
          <w:i/>
          <w:iCs/>
          <w:color w:val="6E6E73"/>
          <w:sz w:val="22"/>
          <w:szCs w:val="22"/>
        </w:rPr>
        <w:t xml:space="preserve">The following tools have been selected by Group 1 to support collaboration, document creation, video recording, and final submission for this assignment.</w:t>
      </w:r>
    </w:p>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rPr>
          <w:tblHeader/>
        </w:trPr>
        <w:tc>
          <w:tcPr>
            <w:tcW w:type="dxa" w:w="1800"/>
            <w:tcBorders>
              <w:top w:val="none" w:color="FFFFFF" w:sz="0"/>
              <w:left w:val="none" w:color="FFFFFF" w:sz="0"/>
              <w:bottom w:val="none" w:color="FFFFFF" w:sz="0"/>
              <w:right w:val="none" w:color="FFFFFF" w:sz="0"/>
            </w:tcBorders>
            <w:shd w:fill="1D1D1F" w:val="clear"/>
            <w:tcMar>
              <w:top w:type="dxa" w:w="120"/>
              <w:left w:type="dxa" w:w="160"/>
              <w:bottom w:type="dxa" w:w="120"/>
              <w:right w:type="dxa" w:w="160"/>
            </w:tcMar>
          </w:tcPr>
          <w:p>
            <w:r>
              <w:rPr>
                <w:rFonts w:ascii="Arial" w:cs="Arial" w:eastAsia="Arial" w:hAnsi="Arial"/>
                <w:b/>
                <w:bCs/>
                <w:color w:val="FFFFFF"/>
                <w:sz w:val="22"/>
                <w:szCs w:val="22"/>
              </w:rPr>
              <w:t xml:space="preserve">Tool</w:t>
            </w:r>
          </w:p>
        </w:tc>
        <w:tc>
          <w:tcPr>
            <w:tcW w:type="dxa" w:w="2200"/>
            <w:tcBorders>
              <w:top w:val="none" w:color="FFFFFF" w:sz="0"/>
              <w:left w:val="none" w:color="FFFFFF" w:sz="0"/>
              <w:bottom w:val="none" w:color="FFFFFF" w:sz="0"/>
              <w:right w:val="none" w:color="FFFFFF" w:sz="0"/>
            </w:tcBorders>
            <w:shd w:fill="1D1D1F" w:val="clear"/>
            <w:tcMar>
              <w:top w:type="dxa" w:w="120"/>
              <w:left w:type="dxa" w:w="160"/>
              <w:bottom w:type="dxa" w:w="120"/>
              <w:right w:type="dxa" w:w="160"/>
            </w:tcMar>
          </w:tcPr>
          <w:p>
            <w:r>
              <w:rPr>
                <w:rFonts w:ascii="Arial" w:cs="Arial" w:eastAsia="Arial" w:hAnsi="Arial"/>
                <w:b/>
                <w:bCs/>
                <w:color w:val="FFFFFF"/>
                <w:sz w:val="22"/>
                <w:szCs w:val="22"/>
              </w:rPr>
              <w:t xml:space="preserve">Platform</w:t>
            </w:r>
          </w:p>
        </w:tc>
        <w:tc>
          <w:tcPr>
            <w:tcW w:type="dxa" w:w="2400"/>
            <w:tcBorders>
              <w:top w:val="none" w:color="FFFFFF" w:sz="0"/>
              <w:left w:val="none" w:color="FFFFFF" w:sz="0"/>
              <w:bottom w:val="none" w:color="FFFFFF" w:sz="0"/>
              <w:right w:val="none" w:color="FFFFFF" w:sz="0"/>
            </w:tcBorders>
            <w:shd w:fill="1D1D1F" w:val="clear"/>
            <w:tcMar>
              <w:top w:type="dxa" w:w="120"/>
              <w:left w:type="dxa" w:w="160"/>
              <w:bottom w:type="dxa" w:w="120"/>
              <w:right w:type="dxa" w:w="160"/>
            </w:tcMar>
          </w:tcPr>
          <w:p>
            <w:r>
              <w:rPr>
                <w:rFonts w:ascii="Arial" w:cs="Arial" w:eastAsia="Arial" w:hAnsi="Arial"/>
                <w:b/>
                <w:bCs/>
                <w:color w:val="FFFFFF"/>
                <w:sz w:val="22"/>
                <w:szCs w:val="22"/>
              </w:rPr>
              <w:t xml:space="preserve">Purpose</w:t>
            </w:r>
          </w:p>
        </w:tc>
        <w:tc>
          <w:tcPr>
            <w:tcW w:type="dxa" w:w="2626"/>
            <w:tcBorders>
              <w:top w:val="none" w:color="FFFFFF" w:sz="0"/>
              <w:left w:val="none" w:color="FFFFFF" w:sz="0"/>
              <w:bottom w:val="none" w:color="FFFFFF" w:sz="0"/>
              <w:right w:val="none" w:color="FFFFFF" w:sz="0"/>
            </w:tcBorders>
            <w:shd w:fill="1D1D1F" w:val="clear"/>
            <w:tcMar>
              <w:top w:type="dxa" w:w="120"/>
              <w:left w:type="dxa" w:w="160"/>
              <w:bottom w:type="dxa" w:w="120"/>
              <w:right w:type="dxa" w:w="160"/>
            </w:tcMar>
          </w:tcPr>
          <w:p>
            <w:r>
              <w:rPr>
                <w:rFonts w:ascii="Arial" w:cs="Arial" w:eastAsia="Arial" w:hAnsi="Arial"/>
                <w:b/>
                <w:bCs/>
                <w:color w:val="FFFFFF"/>
                <w:sz w:val="22"/>
                <w:szCs w:val="22"/>
              </w:rPr>
              <w:t xml:space="preserve">How We Use It</w:t>
            </w:r>
          </w:p>
        </w:tc>
      </w:tr>
      <w:tr>
        <w:tc>
          <w:tcPr>
            <w:tcW w:type="dxa" w:w="18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bCs/>
                <w:color w:val="0071E3"/>
                <w:sz w:val="20"/>
                <w:szCs w:val="20"/>
              </w:rPr>
              <w:t xml:space="preserve">Microsoft Teams</w:t>
            </w:r>
          </w:p>
        </w:tc>
        <w:tc>
          <w:tcPr>
            <w:tcW w:type="dxa" w:w="22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1D1D1F"/>
                <w:sz w:val="20"/>
                <w:szCs w:val="20"/>
              </w:rPr>
              <w:t xml:space="preserve">Microsoft 365 (Free)</w:t>
            </w:r>
          </w:p>
        </w:tc>
        <w:tc>
          <w:tcPr>
            <w:tcW w:type="dxa" w:w="24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1D1D1F"/>
                <w:sz w:val="20"/>
                <w:szCs w:val="20"/>
              </w:rPr>
              <w:t xml:space="preserve">Communication &amp; Meetings</w:t>
            </w:r>
          </w:p>
        </w:tc>
        <w:tc>
          <w:tcPr>
            <w:tcW w:type="dxa" w:w="2626"/>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1D1D1F"/>
                <w:sz w:val="20"/>
                <w:szCs w:val="20"/>
              </w:rPr>
              <w:t xml:space="preserve">Group chat, voice/video calls, sharing files and meeting notes between all 7 members</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0071E3"/>
                <w:sz w:val="20"/>
                <w:szCs w:val="20"/>
              </w:rPr>
              <w:t xml:space="preserve">PowerPoint Online</w:t>
            </w:r>
          </w:p>
        </w:tc>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1D1D1F"/>
                <w:sz w:val="20"/>
                <w:szCs w:val="20"/>
              </w:rPr>
              <w:t xml:space="preserve">Microsoft 365 (Free)</w:t>
            </w:r>
          </w:p>
        </w:tc>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1D1D1F"/>
                <w:sz w:val="20"/>
                <w:szCs w:val="20"/>
              </w:rPr>
              <w:t xml:space="preserve">Presentation Slides</w:t>
            </w:r>
          </w:p>
        </w:tc>
        <w:tc>
          <w:tcPr>
            <w:tcW w:type="dxa" w:w="26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1D1D1F"/>
                <w:sz w:val="20"/>
                <w:szCs w:val="20"/>
              </w:rPr>
              <w:t xml:space="preserve">Co-editing the 15–20 slide deck in real time; all members work on the same shared file via OneDrive</w:t>
            </w:r>
          </w:p>
        </w:tc>
      </w:tr>
      <w:tr>
        <w:tc>
          <w:tcPr>
            <w:tcW w:type="dxa" w:w="18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bCs/>
                <w:color w:val="0071E3"/>
                <w:sz w:val="20"/>
                <w:szCs w:val="20"/>
              </w:rPr>
              <w:t xml:space="preserve">OneDrive</w:t>
            </w:r>
          </w:p>
        </w:tc>
        <w:tc>
          <w:tcPr>
            <w:tcW w:type="dxa" w:w="22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1D1D1F"/>
                <w:sz w:val="20"/>
                <w:szCs w:val="20"/>
              </w:rPr>
              <w:t xml:space="preserve">Microsoft 365 (Free)</w:t>
            </w:r>
          </w:p>
        </w:tc>
        <w:tc>
          <w:tcPr>
            <w:tcW w:type="dxa" w:w="24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1D1D1F"/>
                <w:sz w:val="20"/>
                <w:szCs w:val="20"/>
              </w:rPr>
              <w:t xml:space="preserve">File Storage &amp; Sharing</w:t>
            </w:r>
          </w:p>
        </w:tc>
        <w:tc>
          <w:tcPr>
            <w:tcW w:type="dxa" w:w="2626"/>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1D1D1F"/>
                <w:sz w:val="20"/>
                <w:szCs w:val="20"/>
              </w:rPr>
              <w:t xml:space="preserve">Central folder for storing slides, recorded videos, research articles, and the final compiled submission</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0071E3"/>
                <w:sz w:val="20"/>
                <w:szCs w:val="20"/>
              </w:rPr>
              <w:t xml:space="preserve">OBS Studio</w:t>
            </w:r>
          </w:p>
        </w:tc>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1D1D1F"/>
                <w:sz w:val="20"/>
                <w:szCs w:val="20"/>
              </w:rPr>
              <w:t xml:space="preserve">Free / Desktop</w:t>
            </w:r>
          </w:p>
        </w:tc>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1D1D1F"/>
                <w:sz w:val="20"/>
                <w:szCs w:val="20"/>
              </w:rPr>
              <w:t xml:space="preserve">Screen &amp; Webcam Recording</w:t>
            </w:r>
          </w:p>
        </w:tc>
        <w:tc>
          <w:tcPr>
            <w:tcW w:type="dxa" w:w="26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1D1D1F"/>
                <w:sz w:val="20"/>
                <w:szCs w:val="20"/>
              </w:rPr>
              <w:t xml:space="preserve">Each member records their individual segment with the webcam overlay (video-in-video) in the bottom right corner</w:t>
            </w:r>
          </w:p>
        </w:tc>
      </w:tr>
      <w:tr>
        <w:tc>
          <w:tcPr>
            <w:tcW w:type="dxa" w:w="18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bCs/>
                <w:color w:val="0071E3"/>
                <w:sz w:val="20"/>
                <w:szCs w:val="20"/>
              </w:rPr>
              <w:t xml:space="preserve">Clipchamp</w:t>
            </w:r>
          </w:p>
        </w:tc>
        <w:tc>
          <w:tcPr>
            <w:tcW w:type="dxa" w:w="22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1D1D1F"/>
                <w:sz w:val="20"/>
                <w:szCs w:val="20"/>
              </w:rPr>
              <w:t xml:space="preserve">Microsoft 365 (Free)</w:t>
            </w:r>
          </w:p>
        </w:tc>
        <w:tc>
          <w:tcPr>
            <w:tcW w:type="dxa" w:w="24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1D1D1F"/>
                <w:sz w:val="20"/>
                <w:szCs w:val="20"/>
              </w:rPr>
              <w:t xml:space="preserve">Video Editing &amp; Compiling</w:t>
            </w:r>
          </w:p>
        </w:tc>
        <w:tc>
          <w:tcPr>
            <w:tcW w:type="dxa" w:w="2626"/>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1D1D1F"/>
                <w:sz w:val="20"/>
                <w:szCs w:val="20"/>
              </w:rPr>
              <w:t xml:space="preserve">Stitching all individual recorded segments into one 15–20 minute compiled group video for submission</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0071E3"/>
                <w:sz w:val="20"/>
                <w:szCs w:val="20"/>
              </w:rPr>
              <w:t xml:space="preserve">Word Online</w:t>
            </w:r>
          </w:p>
        </w:tc>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1D1D1F"/>
                <w:sz w:val="20"/>
                <w:szCs w:val="20"/>
              </w:rPr>
              <w:t xml:space="preserve">Microsoft 365 (Free)</w:t>
            </w:r>
          </w:p>
        </w:tc>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1D1D1F"/>
                <w:sz w:val="20"/>
                <w:szCs w:val="20"/>
              </w:rPr>
              <w:t xml:space="preserve">Research Document</w:t>
            </w:r>
          </w:p>
        </w:tc>
        <w:tc>
          <w:tcPr>
            <w:tcW w:type="dxa" w:w="26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1D1D1F"/>
                <w:sz w:val="20"/>
                <w:szCs w:val="20"/>
              </w:rPr>
              <w:t xml:space="preserve">Collaborative editing of the research and analysis document; tracked changes used for peer review</w:t>
            </w:r>
          </w:p>
        </w:tc>
      </w:tr>
    </w:tbl>
    <w:p>
      <w:pPr>
        <w:spacing w:before="240" w:after="0"/>
      </w:pPr>
      <w:r>
        <w:t xml:space="preserve"/>
      </w:r>
    </w:p>
    <w:p>
      <w:pPr>
        <w:pStyle w:val="Heading2"/>
      </w:pPr>
      <w:r>
        <w:rPr>
          <w:rFonts w:ascii="Arial" w:cs="Arial" w:eastAsia="Arial" w:hAnsi="Arial"/>
          <w:b/>
          <w:bCs/>
          <w:color w:val="1D1D1F"/>
          <w:sz w:val="32"/>
          <w:szCs w:val="32"/>
        </w:rPr>
        <w:t xml:space="preserve">Recommended Workflow</w:t>
      </w:r>
    </w:p>
    <w:p>
      <w:pPr>
        <w:spacing w:before="100" w:after="100"/>
        <w:ind w:left="360"/>
      </w:pPr>
      <w:r>
        <w:rPr>
          <w:rFonts w:ascii="Arial" w:cs="Arial" w:eastAsia="Arial" w:hAnsi="Arial"/>
          <w:b/>
          <w:bCs/>
          <w:color w:val="0071E3"/>
          <w:sz w:val="22"/>
          <w:szCs w:val="22"/>
        </w:rPr>
        <w:t xml:space="preserve">Step 1 — Communicate:  </w:t>
      </w:r>
      <w:r>
        <w:rPr>
          <w:rFonts w:ascii="Arial" w:cs="Arial" w:eastAsia="Arial" w:hAnsi="Arial"/>
          <w:color w:val="1D1D1F"/>
          <w:sz w:val="22"/>
          <w:szCs w:val="22"/>
        </w:rPr>
        <w:t xml:space="preserve">Use Microsoft Teams for all group discussions, task assignments, and progress updates throughout the project.</w:t>
      </w:r>
    </w:p>
    <w:p>
      <w:pPr>
        <w:spacing w:before="100" w:after="100"/>
        <w:ind w:left="360"/>
      </w:pPr>
      <w:r>
        <w:rPr>
          <w:rFonts w:ascii="Arial" w:cs="Arial" w:eastAsia="Arial" w:hAnsi="Arial"/>
          <w:b/>
          <w:bCs/>
          <w:color w:val="0071E3"/>
          <w:sz w:val="22"/>
          <w:szCs w:val="22"/>
        </w:rPr>
        <w:t xml:space="preserve">Step 2 — Research &amp; Write:  </w:t>
      </w:r>
      <w:r>
        <w:rPr>
          <w:rFonts w:ascii="Arial" w:cs="Arial" w:eastAsia="Arial" w:hAnsi="Arial"/>
          <w:color w:val="1D1D1F"/>
          <w:sz w:val="22"/>
          <w:szCs w:val="22"/>
        </w:rPr>
        <w:t xml:space="preserve">Each member completes their assigned research question in the shared Word Online document on OneDrive.</w:t>
      </w:r>
    </w:p>
    <w:p>
      <w:pPr>
        <w:spacing w:before="100" w:after="100"/>
        <w:ind w:left="360"/>
      </w:pPr>
      <w:r>
        <w:rPr>
          <w:rFonts w:ascii="Arial" w:cs="Arial" w:eastAsia="Arial" w:hAnsi="Arial"/>
          <w:b/>
          <w:bCs/>
          <w:color w:val="0071E3"/>
          <w:sz w:val="22"/>
          <w:szCs w:val="22"/>
        </w:rPr>
        <w:t xml:space="preserve">Step 3 — Build Slides:  </w:t>
      </w:r>
      <w:r>
        <w:rPr>
          <w:rFonts w:ascii="Arial" w:cs="Arial" w:eastAsia="Arial" w:hAnsi="Arial"/>
          <w:color w:val="1D1D1F"/>
          <w:sz w:val="22"/>
          <w:szCs w:val="22"/>
        </w:rPr>
        <w:t xml:space="preserve">Co-edit the PowerPoint Online presentation together, with each member responsible for their own slides.</w:t>
      </w:r>
    </w:p>
    <w:p>
      <w:pPr>
        <w:spacing w:before="100" w:after="100"/>
        <w:ind w:left="360"/>
      </w:pPr>
      <w:r>
        <w:rPr>
          <w:rFonts w:ascii="Arial" w:cs="Arial" w:eastAsia="Arial" w:hAnsi="Arial"/>
          <w:b/>
          <w:bCs/>
          <w:color w:val="0071E3"/>
          <w:sz w:val="22"/>
          <w:szCs w:val="22"/>
        </w:rPr>
        <w:t xml:space="preserve">Step 4 — Record:  </w:t>
      </w:r>
      <w:r>
        <w:rPr>
          <w:rFonts w:ascii="Arial" w:cs="Arial" w:eastAsia="Arial" w:hAnsi="Arial"/>
          <w:color w:val="1D1D1F"/>
          <w:sz w:val="22"/>
          <w:szCs w:val="22"/>
        </w:rPr>
        <w:t xml:space="preserve">Each member uses OBS Studio to record their individual video segment with webcam overlay on slides.</w:t>
      </w:r>
    </w:p>
    <w:p>
      <w:pPr>
        <w:spacing w:before="100" w:after="100"/>
        <w:ind w:left="360"/>
      </w:pPr>
      <w:r>
        <w:rPr>
          <w:rFonts w:ascii="Arial" w:cs="Arial" w:eastAsia="Arial" w:hAnsi="Arial"/>
          <w:b/>
          <w:bCs/>
          <w:color w:val="0071E3"/>
          <w:sz w:val="22"/>
          <w:szCs w:val="22"/>
        </w:rPr>
        <w:t xml:space="preserve">Step 5 — Edit &amp; Compile:  </w:t>
      </w:r>
      <w:r>
        <w:rPr>
          <w:rFonts w:ascii="Arial" w:cs="Arial" w:eastAsia="Arial" w:hAnsi="Arial"/>
          <w:color w:val="1D1D1F"/>
          <w:sz w:val="22"/>
          <w:szCs w:val="22"/>
        </w:rPr>
        <w:t xml:space="preserve">One designated member compiles all video segments in Clipchamp into a single 15–20 minute video.</w:t>
      </w:r>
    </w:p>
    <w:p>
      <w:pPr>
        <w:spacing w:before="100" w:after="100"/>
        <w:ind w:left="360"/>
      </w:pPr>
      <w:r>
        <w:rPr>
          <w:rFonts w:ascii="Arial" w:cs="Arial" w:eastAsia="Arial" w:hAnsi="Arial"/>
          <w:b/>
          <w:bCs/>
          <w:color w:val="0071E3"/>
          <w:sz w:val="22"/>
          <w:szCs w:val="22"/>
        </w:rPr>
        <w:t xml:space="preserve">Step 6 — Submit:  </w:t>
      </w:r>
      <w:r>
        <w:rPr>
          <w:rFonts w:ascii="Arial" w:cs="Arial" w:eastAsia="Arial" w:hAnsi="Arial"/>
          <w:color w:val="1D1D1F"/>
          <w:sz w:val="22"/>
          <w:szCs w:val="22"/>
        </w:rPr>
        <w:t xml:space="preserve">Upload the final video, slides, and research document to Blackboard by Wednesday, 11 March 2026.</w:t>
      </w:r>
    </w:p>
    <w:p>
      <w:pPr>
        <w:spacing w:before="240" w:after="0"/>
      </w:pPr>
      <w:r>
        <w:t xml:space="preserve"/>
      </w:r>
    </w:p>
    <w:p>
      <w:r>
        <w:br w:type="page"/>
      </w:r>
    </w:p>
    <w:p>
      <w:pPr>
        <w:pStyle w:val="Heading1"/>
      </w:pPr>
      <w:r>
        <w:rPr>
          <w:rFonts w:ascii="Arial" w:cs="Arial" w:eastAsia="Arial" w:hAnsi="Arial"/>
          <w:b/>
          <w:bCs/>
          <w:color w:val="1D1D1F"/>
          <w:sz w:val="48"/>
          <w:szCs w:val="48"/>
        </w:rPr>
        <w:t xml:space="preserve">Research &amp; Analysis</w:t>
      </w:r>
    </w:p>
    <w:p>
      <w:pPr>
        <w:pBdr>
          <w:bottom w:val="single" w:color="D2D2D7" w:sz="4" w:space="1"/>
        </w:pBdr>
        <w:spacing w:before="80" w:after="80"/>
      </w:pPr>
      <w:r>
        <w:t xml:space="preserve"/>
      </w:r>
    </w:p>
    <w:p>
      <w:pPr>
        <w:pStyle w:val="Heading2"/>
      </w:pPr>
      <w:r>
        <w:rPr>
          <w:rFonts w:ascii="Arial" w:cs="Arial" w:eastAsia="Arial" w:hAnsi="Arial"/>
          <w:b/>
          <w:bCs/>
          <w:color w:val="1D1D1F"/>
          <w:sz w:val="32"/>
          <w:szCs w:val="32"/>
        </w:rPr>
        <w:t xml:space="preserve">Question 1: Origins of XP  [10 Marks]</w:t>
      </w:r>
    </w:p>
    <w:p>
      <w:r>
        <w:rPr>
          <w:rFonts w:ascii="Arial" w:cs="Arial" w:eastAsia="Arial" w:hAnsi="Arial"/>
          <w:i/>
          <w:iCs/>
          <w:color w:val="6E6E73"/>
          <w:sz w:val="22"/>
          <w:szCs w:val="22"/>
        </w:rPr>
        <w:t xml:space="preserve">Trace the origins of XP through the work of Kent Beck, Ward Cunningham, and Ron Jeffries. What was the Chrysler Comprehensive Compensation (C3) project's role in XP's development?</w:t>
      </w:r>
    </w:p>
    <w:p>
      <w:pPr>
        <w:spacing w:before="120" w:after="0"/>
      </w:pPr>
      <w:r>
        <w:t xml:space="preserve"/>
      </w:r>
    </w:p>
    <w:p>
      <w:pPr>
        <w:pStyle w:val="Heading3"/>
      </w:pPr>
      <w:r>
        <w:rPr>
          <w:rFonts w:ascii="Arial" w:cs="Arial" w:eastAsia="Arial" w:hAnsi="Arial"/>
          <w:b/>
          <w:bCs/>
          <w:color w:val="0071E3"/>
          <w:sz w:val="26"/>
          <w:szCs w:val="26"/>
        </w:rPr>
        <w:t xml:space="preserve">Founding Figures</w:t>
      </w:r>
    </w:p>
    <w:p>
      <w:r>
        <w:rPr>
          <w:rFonts w:ascii="Arial" w:cs="Arial" w:eastAsia="Arial" w:hAnsi="Arial"/>
          <w:color w:val="1D1D1F"/>
          <w:sz w:val="22"/>
          <w:szCs w:val="22"/>
        </w:rPr>
        <w:t xml:space="preserve">[Write your research here] — Discuss Kent Beck's foundational contributions, Ward Cunningham's influence on iterative design and patterns, and Ron Jeffries' hands-on implementation role. Reference the evolution of ideas from Smalltalk programming culture.</w:t>
      </w:r>
    </w:p>
    <w:p>
      <w:pPr>
        <w:spacing w:before="120" w:after="0"/>
      </w:pPr>
      <w:r>
        <w:t xml:space="preserve"/>
      </w:r>
    </w:p>
    <w:p>
      <w:pPr>
        <w:pStyle w:val="Heading3"/>
      </w:pPr>
      <w:r>
        <w:rPr>
          <w:rFonts w:ascii="Arial" w:cs="Arial" w:eastAsia="Arial" w:hAnsi="Arial"/>
          <w:b/>
          <w:bCs/>
          <w:color w:val="0071E3"/>
          <w:sz w:val="26"/>
          <w:szCs w:val="26"/>
        </w:rPr>
        <w:t xml:space="preserve">The C3 Project</w:t>
      </w:r>
    </w:p>
    <w:p>
      <w:r>
        <w:rPr>
          <w:rFonts w:ascii="Arial" w:cs="Arial" w:eastAsia="Arial" w:hAnsi="Arial"/>
          <w:color w:val="1D1D1F"/>
          <w:sz w:val="22"/>
          <w:szCs w:val="22"/>
        </w:rPr>
        <w:t xml:space="preserve">[Write your research here] — Explain the Chrysler Comprehensive Compensation project (1996), its role as the first formal XP project, and what lessons were drawn from its eventual cancellation.</w:t>
      </w:r>
    </w:p>
    <w:p>
      <w:pPr>
        <w:spacing w:before="240" w:after="0"/>
      </w:pPr>
      <w:r>
        <w:t xml:space="preserve"/>
      </w:r>
    </w:p>
    <w:p>
      <w:pPr>
        <w:pStyle w:val="Heading2"/>
      </w:pPr>
      <w:r>
        <w:rPr>
          <w:rFonts w:ascii="Arial" w:cs="Arial" w:eastAsia="Arial" w:hAnsi="Arial"/>
          <w:b/>
          <w:bCs/>
          <w:color w:val="1D1D1F"/>
          <w:sz w:val="32"/>
          <w:szCs w:val="32"/>
        </w:rPr>
        <w:t xml:space="preserve">Question 2: The Five Values of XP  [15 Marks]</w:t>
      </w:r>
    </w:p>
    <w:p>
      <w:r>
        <w:rPr>
          <w:rFonts w:ascii="Arial" w:cs="Arial" w:eastAsia="Arial" w:hAnsi="Arial"/>
          <w:i/>
          <w:iCs/>
          <w:color w:val="6E6E73"/>
          <w:sz w:val="22"/>
          <w:szCs w:val="22"/>
        </w:rPr>
        <w:t xml:space="preserve">Analyze the five values of XP: Communication, Simplicity, Feedback, Courage, and Respect. How do these values manifest in the technical practices of XP?</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none" w:color="FFFFFF" w:sz="0"/>
              <w:left w:val="none" w:color="FFFFFF" w:sz="0"/>
              <w:bottom w:val="none" w:color="FFFFFF" w:sz="0"/>
              <w:right w:val="none" w:color="FFFFFF" w:sz="0"/>
            </w:tcBorders>
            <w:shd w:fill="1D1D1F" w:val="clear"/>
            <w:tcMar>
              <w:top w:type="dxa" w:w="120"/>
              <w:left w:type="dxa" w:w="160"/>
              <w:bottom w:type="dxa" w:w="120"/>
              <w:right w:type="dxa" w:w="160"/>
            </w:tcMar>
          </w:tcPr>
          <w:p>
            <w:r>
              <w:rPr>
                <w:rFonts w:ascii="Arial" w:cs="Arial" w:eastAsia="Arial" w:hAnsi="Arial"/>
                <w:b/>
                <w:bCs/>
                <w:color w:val="FFFFFF"/>
                <w:sz w:val="22"/>
                <w:szCs w:val="22"/>
              </w:rPr>
              <w:t xml:space="preserve">Value</w:t>
            </w:r>
          </w:p>
        </w:tc>
        <w:tc>
          <w:tcPr>
            <w:tcW w:type="dxa" w:w="7026"/>
            <w:tcBorders>
              <w:top w:val="none" w:color="FFFFFF" w:sz="0"/>
              <w:left w:val="none" w:color="FFFFFF" w:sz="0"/>
              <w:bottom w:val="none" w:color="FFFFFF" w:sz="0"/>
              <w:right w:val="none" w:color="FFFFFF" w:sz="0"/>
            </w:tcBorders>
            <w:shd w:fill="1D1D1F" w:val="clear"/>
            <w:tcMar>
              <w:top w:type="dxa" w:w="120"/>
              <w:left w:type="dxa" w:w="160"/>
              <w:bottom w:type="dxa" w:w="120"/>
              <w:right w:type="dxa" w:w="160"/>
            </w:tcMar>
          </w:tcPr>
          <w:p>
            <w:r>
              <w:rPr>
                <w:rFonts w:ascii="Arial" w:cs="Arial" w:eastAsia="Arial" w:hAnsi="Arial"/>
                <w:b/>
                <w:bCs/>
                <w:color w:val="FFFFFF"/>
                <w:sz w:val="22"/>
                <w:szCs w:val="22"/>
              </w:rPr>
              <w:t xml:space="preserve">How it Manifests in XP Practices</w:t>
            </w:r>
          </w:p>
        </w:tc>
      </w:tr>
      <w:tr>
        <w:tc>
          <w:tcPr>
            <w:tcW w:type="dxa" w:w="2000"/>
            <w:tcBorders>
              <w:top w:val="none" w:color="FFFFFF" w:sz="0"/>
              <w:left w:val="none" w:color="FFFFFF" w:sz="0"/>
              <w:bottom w:val="none" w:color="FFFFFF" w:sz="0"/>
              <w:right w:val="none" w:color="FFFFFF" w:sz="0"/>
            </w:tcBorders>
            <w:shd w:fill="E8F4FE" w:val="clear"/>
            <w:tcMar>
              <w:top w:type="dxa" w:w="100"/>
              <w:left w:type="dxa" w:w="160"/>
              <w:bottom w:type="dxa" w:w="100"/>
              <w:right w:type="dxa" w:w="160"/>
            </w:tcMar>
          </w:tcPr>
          <w:p>
            <w:r>
              <w:rPr>
                <w:rFonts w:ascii="Arial" w:cs="Arial" w:eastAsia="Arial" w:hAnsi="Arial"/>
                <w:b/>
                <w:bCs/>
                <w:color w:val="0071E3"/>
                <w:sz w:val="22"/>
                <w:szCs w:val="22"/>
              </w:rPr>
              <w:t xml:space="preserve">Communication</w:t>
            </w:r>
          </w:p>
        </w:tc>
        <w:tc>
          <w:tcPr>
            <w:tcW w:type="dxa" w:w="7026"/>
            <w:tcBorders>
              <w:top w:val="none" w:color="FFFFFF" w:sz="0"/>
              <w:left w:val="none" w:color="FFFFFF" w:sz="0"/>
              <w:bottom w:val="none" w:color="FFFFFF" w:sz="0"/>
              <w:right w:val="none" w:color="FFFFFF" w:sz="0"/>
            </w:tcBorders>
            <w:shd w:fill="E8F4FE" w:val="clear"/>
            <w:tcMar>
              <w:top w:type="dxa" w:w="100"/>
              <w:left w:type="dxa" w:w="160"/>
              <w:bottom w:type="dxa" w:w="100"/>
              <w:right w:type="dxa" w:w="160"/>
            </w:tcMar>
          </w:tcPr>
          <w:p>
            <w:r>
              <w:rPr>
                <w:rFonts w:ascii="Arial" w:cs="Arial" w:eastAsia="Arial" w:hAnsi="Arial"/>
                <w:color w:val="1D1D1F"/>
                <w:sz w:val="22"/>
                <w:szCs w:val="22"/>
              </w:rPr>
              <w:t xml:space="preserve">[Describe how Communication manifests in XP technical practices. Use academic sources.]</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0071E3"/>
                <w:sz w:val="22"/>
                <w:szCs w:val="22"/>
              </w:rPr>
              <w:t xml:space="preserve">Simplicity</w:t>
            </w:r>
          </w:p>
        </w:tc>
        <w:tc>
          <w:tcPr>
            <w:tcW w:type="dxa" w:w="70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D1D1F"/>
                <w:sz w:val="22"/>
                <w:szCs w:val="22"/>
              </w:rPr>
              <w:t xml:space="preserve">[Describe how Simplicity manifests in XP technical practices. Use academic sources.]</w:t>
            </w:r>
          </w:p>
        </w:tc>
      </w:tr>
      <w:tr>
        <w:tc>
          <w:tcPr>
            <w:tcW w:type="dxa" w:w="2000"/>
            <w:tcBorders>
              <w:top w:val="none" w:color="FFFFFF" w:sz="0"/>
              <w:left w:val="none" w:color="FFFFFF" w:sz="0"/>
              <w:bottom w:val="none" w:color="FFFFFF" w:sz="0"/>
              <w:right w:val="none" w:color="FFFFFF" w:sz="0"/>
            </w:tcBorders>
            <w:shd w:fill="E8F4FE" w:val="clear"/>
            <w:tcMar>
              <w:top w:type="dxa" w:w="100"/>
              <w:left w:type="dxa" w:w="160"/>
              <w:bottom w:type="dxa" w:w="100"/>
              <w:right w:type="dxa" w:w="160"/>
            </w:tcMar>
          </w:tcPr>
          <w:p>
            <w:r>
              <w:rPr>
                <w:rFonts w:ascii="Arial" w:cs="Arial" w:eastAsia="Arial" w:hAnsi="Arial"/>
                <w:b/>
                <w:bCs/>
                <w:color w:val="0071E3"/>
                <w:sz w:val="22"/>
                <w:szCs w:val="22"/>
              </w:rPr>
              <w:t xml:space="preserve">Feedback</w:t>
            </w:r>
          </w:p>
        </w:tc>
        <w:tc>
          <w:tcPr>
            <w:tcW w:type="dxa" w:w="7026"/>
            <w:tcBorders>
              <w:top w:val="none" w:color="FFFFFF" w:sz="0"/>
              <w:left w:val="none" w:color="FFFFFF" w:sz="0"/>
              <w:bottom w:val="none" w:color="FFFFFF" w:sz="0"/>
              <w:right w:val="none" w:color="FFFFFF" w:sz="0"/>
            </w:tcBorders>
            <w:shd w:fill="E8F4FE" w:val="clear"/>
            <w:tcMar>
              <w:top w:type="dxa" w:w="100"/>
              <w:left w:type="dxa" w:w="160"/>
              <w:bottom w:type="dxa" w:w="100"/>
              <w:right w:type="dxa" w:w="160"/>
            </w:tcMar>
          </w:tcPr>
          <w:p>
            <w:r>
              <w:rPr>
                <w:rFonts w:ascii="Arial" w:cs="Arial" w:eastAsia="Arial" w:hAnsi="Arial"/>
                <w:color w:val="1D1D1F"/>
                <w:sz w:val="22"/>
                <w:szCs w:val="22"/>
              </w:rPr>
              <w:t xml:space="preserve">[Describe how Feedback manifests in XP technical practices. Use academic sources.]</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0071E3"/>
                <w:sz w:val="22"/>
                <w:szCs w:val="22"/>
              </w:rPr>
              <w:t xml:space="preserve">Courage</w:t>
            </w:r>
          </w:p>
        </w:tc>
        <w:tc>
          <w:tcPr>
            <w:tcW w:type="dxa" w:w="70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D1D1F"/>
                <w:sz w:val="22"/>
                <w:szCs w:val="22"/>
              </w:rPr>
              <w:t xml:space="preserve">[Describe how Courage manifests in XP technical practices. Use academic sources.]</w:t>
            </w:r>
          </w:p>
        </w:tc>
      </w:tr>
      <w:tr>
        <w:tc>
          <w:tcPr>
            <w:tcW w:type="dxa" w:w="2000"/>
            <w:tcBorders>
              <w:top w:val="none" w:color="FFFFFF" w:sz="0"/>
              <w:left w:val="none" w:color="FFFFFF" w:sz="0"/>
              <w:bottom w:val="none" w:color="FFFFFF" w:sz="0"/>
              <w:right w:val="none" w:color="FFFFFF" w:sz="0"/>
            </w:tcBorders>
            <w:shd w:fill="E8F4FE" w:val="clear"/>
            <w:tcMar>
              <w:top w:type="dxa" w:w="100"/>
              <w:left w:type="dxa" w:w="160"/>
              <w:bottom w:type="dxa" w:w="100"/>
              <w:right w:type="dxa" w:w="160"/>
            </w:tcMar>
          </w:tcPr>
          <w:p>
            <w:r>
              <w:rPr>
                <w:rFonts w:ascii="Arial" w:cs="Arial" w:eastAsia="Arial" w:hAnsi="Arial"/>
                <w:b/>
                <w:bCs/>
                <w:color w:val="0071E3"/>
                <w:sz w:val="22"/>
                <w:szCs w:val="22"/>
              </w:rPr>
              <w:t xml:space="preserve">Respect</w:t>
            </w:r>
          </w:p>
        </w:tc>
        <w:tc>
          <w:tcPr>
            <w:tcW w:type="dxa" w:w="7026"/>
            <w:tcBorders>
              <w:top w:val="none" w:color="FFFFFF" w:sz="0"/>
              <w:left w:val="none" w:color="FFFFFF" w:sz="0"/>
              <w:bottom w:val="none" w:color="FFFFFF" w:sz="0"/>
              <w:right w:val="none" w:color="FFFFFF" w:sz="0"/>
            </w:tcBorders>
            <w:shd w:fill="E8F4FE" w:val="clear"/>
            <w:tcMar>
              <w:top w:type="dxa" w:w="100"/>
              <w:left w:type="dxa" w:w="160"/>
              <w:bottom w:type="dxa" w:w="100"/>
              <w:right w:type="dxa" w:w="160"/>
            </w:tcMar>
          </w:tcPr>
          <w:p>
            <w:r>
              <w:rPr>
                <w:rFonts w:ascii="Arial" w:cs="Arial" w:eastAsia="Arial" w:hAnsi="Arial"/>
                <w:color w:val="1D1D1F"/>
                <w:sz w:val="22"/>
                <w:szCs w:val="22"/>
              </w:rPr>
              <w:t xml:space="preserve">[Describe how Respect manifests in XP technical practices. Use academic sources.]</w:t>
            </w:r>
          </w:p>
        </w:tc>
      </w:tr>
    </w:tbl>
    <w:p>
      <w:pPr>
        <w:spacing w:before="240" w:after="0"/>
      </w:pPr>
      <w:r>
        <w:t xml:space="preserve"/>
      </w:r>
    </w:p>
    <w:p>
      <w:pPr>
        <w:pStyle w:val="Heading2"/>
      </w:pPr>
      <w:r>
        <w:rPr>
          <w:rFonts w:ascii="Arial" w:cs="Arial" w:eastAsia="Arial" w:hAnsi="Arial"/>
          <w:b/>
          <w:bCs/>
          <w:color w:val="1D1D1F"/>
          <w:sz w:val="32"/>
          <w:szCs w:val="32"/>
        </w:rPr>
        <w:t xml:space="preserve">Question 3: Core XP Practices  [10 Marks]</w:t>
      </w:r>
    </w:p>
    <w:p>
      <w:r>
        <w:rPr>
          <w:rFonts w:ascii="Arial" w:cs="Arial" w:eastAsia="Arial" w:hAnsi="Arial"/>
          <w:i/>
          <w:iCs/>
          <w:color w:val="6E6E73"/>
          <w:sz w:val="22"/>
          <w:szCs w:val="22"/>
        </w:rPr>
        <w:t xml:space="preserve">Critically evaluate: TDD, Pair Programming, Collective Ownership, Continuous Integration, On-site Customer, and Refactoring. Which practices have the strongest empirical support?</w:t>
      </w:r>
    </w:p>
    <w:p>
      <w:pPr>
        <w:spacing w:before="120" w:after="0"/>
      </w:pPr>
      <w:r>
        <w:t xml:space="preserve"/>
      </w:r>
    </w:p>
    <w:p>
      <w:r>
        <w:rPr>
          <w:rFonts w:ascii="Arial" w:cs="Arial" w:eastAsia="Arial" w:hAnsi="Arial"/>
          <w:color w:val="1D1D1F"/>
          <w:sz w:val="22"/>
          <w:szCs w:val="22"/>
        </w:rPr>
        <w:t xml:space="preserve">Extreme Programming (XP) is built around six core technical practices: Test-Driven Development (TDD), Pair Programming, Collective Ownership, Continuous Integration (CI), On-site Customer, and Refactoring. While Beck (1999) presented these as a unified, mutually reinforcing system, empirical research reveals a clear hierarchy — some practices are strongly validated by independent studies, others remain contested, and at least one has been significantly challenged by modern working conditions.</w:t>
      </w:r>
    </w:p>
    <w:p>
      <w:pPr>
        <w:spacing w:before="120" w:after="0"/>
      </w:pPr>
      <w:r>
        <w:t xml:space="preserve"/>
      </w:r>
    </w:p>
    <w:p>
      <w:pPr>
        <w:pStyle w:val="Heading3"/>
      </w:pPr>
      <w:r>
        <w:rPr>
          <w:rFonts w:ascii="Arial" w:cs="Arial" w:eastAsia="Arial" w:hAnsi="Arial"/>
          <w:b/>
          <w:bCs/>
          <w:color w:val="0071E3"/>
          <w:sz w:val="26"/>
          <w:szCs w:val="26"/>
        </w:rPr>
        <w:t xml:space="preserve">Test-Driven Development (TDD)</w:t>
      </w:r>
    </w:p>
    <w:p>
      <w:r>
        <w:rPr>
          <w:rFonts w:ascii="Arial" w:cs="Arial" w:eastAsia="Arial" w:hAnsi="Arial"/>
          <w:color w:val="1D1D1F"/>
          <w:sz w:val="22"/>
          <w:szCs w:val="22"/>
        </w:rPr>
        <w:t xml:space="preserve">TDD requires developers to write a failing test before writing any production code, following a Red–Green–Refactor cycle. Of all XP practices, TDD has attracted the most empirical attention and has generated the largest body of independent research evidence.</w:t>
      </w:r>
    </w:p>
    <w:p>
      <w:r>
        <w:rPr>
          <w:rFonts w:ascii="Arial" w:cs="Arial" w:eastAsia="Arial" w:hAnsi="Arial"/>
          <w:color w:val="1D1D1F"/>
          <w:sz w:val="22"/>
          <w:szCs w:val="22"/>
        </w:rPr>
        <w:t xml:space="preserve">A comparative analysis of empirical studies found that TDD can reduce the amount of introduced defects and lead to more maintainable code, with parts of the implemented code being somewhat smaller in size and complexity — though initial development may take longer (Mäkinen &amp; Münch, 2014). At the industrial level, Bissi et al. (2016) conducted a systematic review of 27 studies published between 1999 and 2014 and found broadly positive effects on external software quality, though gains in productivity were inconsistent across contexts.</w:t>
      </w:r>
    </w:p>
    <w:p>
      <w:r>
        <w:rPr>
          <w:rFonts w:ascii="Arial" w:cs="Arial" w:eastAsia="Arial" w:hAnsi="Arial"/>
          <w:color w:val="1D1D1F"/>
          <w:sz w:val="22"/>
          <w:szCs w:val="22"/>
        </w:rPr>
        <w:t xml:space="preserve">More recently, Ren and Barrett (2023) conducted an empirical study of 237 third-year undergraduate students and found that TDD behaviours improve engagement in development activities, and that this engagement is positively associated with maintainability. However, TDD is not without criticism. Ghafari (2020) observed that many empirical studies on TDD struggle to balance internal and ecological validity, and that results remain inconclusive when only the most rigorous experimental designs are considered. The core difficulty is that TDD’s benefits depend heavily on developer experience, project context, and how strictly the practice is followed.</w:t>
      </w:r>
    </w:p>
    <w:p>
      <w:r>
        <w:rPr>
          <w:rFonts w:ascii="Arial" w:cs="Arial" w:eastAsia="Arial" w:hAnsi="Arial"/>
          <w:color w:val="1D1D1F"/>
          <w:b/>
          <w:sz w:val="22"/>
          <w:szCs w:val="22"/>
        </w:rPr>
        <w:t xml:space="preserve">Verdict: Strongest empirical support.</w:t>
      </w:r>
      <w:r>
        <w:rPr>
          <w:rFonts w:ascii="Arial" w:cs="Arial" w:eastAsia="Arial" w:hAnsi="Arial"/>
          <w:color w:val="1D1D1F"/>
          <w:sz w:val="22"/>
          <w:szCs w:val="22"/>
        </w:rPr>
        <w:t xml:space="preserve"> TDD is the most extensively studied XP practice and the most widely adopted beyond XP teams, forming the backbone of DevOps and CI/CD pipelines globally.</w:t>
      </w:r>
    </w:p>
    <w:p>
      <w:pPr>
        <w:spacing w:before="100" w:after="0"/>
      </w:pPr>
      <w:r>
        <w:t xml:space="preserve"/>
      </w:r>
    </w:p>
    <w:p>
      <w:pPr>
        <w:pStyle w:val="Heading3"/>
      </w:pPr>
      <w:r>
        <w:rPr>
          <w:rFonts w:ascii="Arial" w:cs="Arial" w:eastAsia="Arial" w:hAnsi="Arial"/>
          <w:b/>
          <w:bCs/>
          <w:color w:val="0071E3"/>
          <w:sz w:val="26"/>
          <w:szCs w:val="26"/>
        </w:rPr>
        <w:t xml:space="preserve">Pair Programming</w:t>
      </w:r>
    </w:p>
    <w:p>
      <w:r>
        <w:rPr>
          <w:rFonts w:ascii="Arial" w:cs="Arial" w:eastAsia="Arial" w:hAnsi="Arial"/>
          <w:color w:val="1D1D1F"/>
          <w:sz w:val="22"/>
          <w:szCs w:val="22"/>
        </w:rPr>
        <w:t xml:space="preserve">Pair programming requires two developers to share a single workstation — one writes code (the driver), the other reviews in real time (the navigator). It is one of XP’s most debated practices, with a growing body of empirical research that reveals both its strengths and its limitations.</w:t>
      </w:r>
    </w:p>
    <w:p>
      <w:r>
        <w:rPr>
          <w:rFonts w:ascii="Arial" w:cs="Arial" w:eastAsia="Arial" w:hAnsi="Arial"/>
          <w:color w:val="1D1D1F"/>
          <w:sz w:val="22"/>
          <w:szCs w:val="22"/>
        </w:rPr>
        <w:t xml:space="preserve">The foundational study remains Williams et al. (2000), who demonstrated that solo developers passed between 73–78% of test cases with their solutions, whereas paired developers passed 86–94% — a meaningful quality improvement. A commonly cited best-case estimate places the overhead of systematic pairing at approximately 15% more elapsed time compared to individual work. When the savings from putting higher-quality code into testing and into the hands of the customer are factored in, this overhead can be economically justified (Williams &amp; Erdogmus, 2003).</w:t>
      </w:r>
    </w:p>
    <w:p>
      <w:r>
        <w:rPr>
          <w:rFonts w:ascii="Arial" w:cs="Arial" w:eastAsia="Arial" w:hAnsi="Arial"/>
          <w:color w:val="1D1D1F"/>
          <w:sz w:val="22"/>
          <w:szCs w:val="22"/>
        </w:rPr>
        <w:t xml:space="preserve">A meta-analysis by Hannay et al. (2009), aggregating 18 empirical studies, confirmed that pair programming takes slightly more time but produces higher-quality code. Critically, Lui and Chan (2006) found that novice–novice pairs can be substantially more productive than expert–expert pairs, suggesting that the benefits of pair programming are not uniform and depend critically on programmer skill level. The quality jump is most pronounced when junior developers pair on complex challenges.</w:t>
      </w:r>
    </w:p>
    <w:p>
      <w:r>
        <w:rPr>
          <w:rFonts w:ascii="Arial" w:cs="Arial" w:eastAsia="Arial" w:hAnsi="Arial"/>
          <w:color w:val="1D1D1F"/>
          <w:b/>
          <w:sz w:val="22"/>
          <w:szCs w:val="22"/>
        </w:rPr>
        <w:t xml:space="preserve">Verdict: Strong empirical support</w:t>
      </w:r>
      <w:r>
        <w:rPr>
          <w:rFonts w:ascii="Arial" w:cs="Arial" w:eastAsia="Arial" w:hAnsi="Arial"/>
          <w:color w:val="1D1D1F"/>
          <w:sz w:val="22"/>
          <w:szCs w:val="22"/>
        </w:rPr>
        <w:t xml:space="preserve"> — but context-dependent. Pair programming benefits junior teams and complex tasks most; the overhead diminishes its value for senior developers on routine work.</w:t>
      </w:r>
    </w:p>
    <w:p>
      <w:pPr>
        <w:spacing w:before="100" w:after="0"/>
      </w:pPr>
      <w:r>
        <w:t xml:space="preserve"/>
      </w:r>
    </w:p>
    <w:p>
      <w:pPr>
        <w:pStyle w:val="Heading3"/>
      </w:pPr>
      <w:r>
        <w:rPr>
          <w:rFonts w:ascii="Arial" w:cs="Arial" w:eastAsia="Arial" w:hAnsi="Arial"/>
          <w:b/>
          <w:bCs/>
          <w:color w:val="0071E3"/>
          <w:sz w:val="26"/>
          <w:szCs w:val="26"/>
        </w:rPr>
        <w:t xml:space="preserve">Collective Code Ownership</w:t>
      </w:r>
    </w:p>
    <w:p>
      <w:r>
        <w:rPr>
          <w:rFonts w:ascii="Arial" w:cs="Arial" w:eastAsia="Arial" w:hAnsi="Arial"/>
          <w:color w:val="1D1D1F"/>
          <w:sz w:val="22"/>
          <w:szCs w:val="22"/>
        </w:rPr>
        <w:t xml:space="preserve">Collective ownership holds that any developer may change any part of the codebase at any time. Empirically, this practice has received less direct investigation than TDD or pair programming, but meaningful evidence is emerging from both quantitative and qualitative studies.</w:t>
      </w:r>
    </w:p>
    <w:p>
      <w:r>
        <w:rPr>
          <w:rFonts w:ascii="Arial" w:cs="Arial" w:eastAsia="Arial" w:hAnsi="Arial"/>
          <w:color w:val="1D1D1F"/>
          <w:sz w:val="22"/>
          <w:szCs w:val="22"/>
        </w:rPr>
        <w:t xml:space="preserve">Wang et al. (2012) conducted a quantitative study of XP teams and found that continuous integration, coding standards, and collective code ownership together form the XP-specific team factor most significantly linked to performance — and that cooperation mediates this relationship, making teamwork a prerequisite for collective ownership to deliver its benefits. Dybå and Dingsøyr (2008) further identified collective ownership as one of the practices that reduces knowledge bottlenecks and distributes technical risk across the team.</w:t>
      </w:r>
    </w:p>
    <w:p>
      <w:r>
        <w:rPr>
          <w:rFonts w:ascii="Arial" w:cs="Arial" w:eastAsia="Arial" w:hAnsi="Arial"/>
          <w:color w:val="1D1D1F"/>
          <w:sz w:val="22"/>
          <w:szCs w:val="22"/>
        </w:rPr>
        <w:t xml:space="preserve">The primary risk of collective ownership is unintended regression — when a developer modifies unfamiliar code without adequate testing. This is why researchers consistently find it works best in combination with TDD, which provides a safety net of automated tests that prevents regressions when others refactor unfamiliar modules.</w:t>
      </w:r>
    </w:p>
    <w:p>
      <w:r>
        <w:rPr>
          <w:rFonts w:ascii="Arial" w:cs="Arial" w:eastAsia="Arial" w:hAnsi="Arial"/>
          <w:color w:val="1D1D1F"/>
          <w:b/>
          <w:sz w:val="22"/>
          <w:szCs w:val="22"/>
        </w:rPr>
        <w:t xml:space="preserve">Verdict: Strong support</w:t>
      </w:r>
      <w:r>
        <w:rPr>
          <w:rFonts w:ascii="Arial" w:cs="Arial" w:eastAsia="Arial" w:hAnsi="Arial"/>
          <w:color w:val="1D1D1F"/>
          <w:sz w:val="22"/>
          <w:szCs w:val="22"/>
        </w:rPr>
        <w:t xml:space="preserve"> — but dependent on TDD as a safeguard. Collective ownership has limited standalone empirical study and is typically evaluated in combination with other XP practices.</w:t>
      </w:r>
    </w:p>
    <w:p>
      <w:pPr>
        <w:spacing w:before="100" w:after="0"/>
      </w:pPr>
      <w:r>
        <w:t xml:space="preserve"/>
      </w:r>
    </w:p>
    <w:p>
      <w:pPr>
        <w:pStyle w:val="Heading3"/>
      </w:pPr>
      <w:r>
        <w:rPr>
          <w:rFonts w:ascii="Arial" w:cs="Arial" w:eastAsia="Arial" w:hAnsi="Arial"/>
          <w:b/>
          <w:bCs/>
          <w:color w:val="0071E3"/>
          <w:sz w:val="26"/>
          <w:szCs w:val="26"/>
        </w:rPr>
        <w:t xml:space="preserve">Continuous Integration</w:t>
      </w:r>
    </w:p>
    <w:p>
      <w:r>
        <w:rPr>
          <w:rFonts w:ascii="Arial" w:cs="Arial" w:eastAsia="Arial" w:hAnsi="Arial"/>
          <w:color w:val="1D1D1F"/>
          <w:sz w:val="22"/>
          <w:szCs w:val="22"/>
        </w:rPr>
        <w:t xml:space="preserve">Continuous Integration requires team members to integrate their code into a shared repository multiple times daily, with each integration verified by an automated build and test suite. CI has arguably transcended XP itself — becoming a default expectation in professional software development globally.</w:t>
      </w:r>
    </w:p>
    <w:p>
      <w:r>
        <w:rPr>
          <w:rFonts w:ascii="Arial" w:cs="Arial" w:eastAsia="Arial" w:hAnsi="Arial"/>
          <w:color w:val="1D1D1F"/>
          <w:sz w:val="22"/>
          <w:szCs w:val="22"/>
        </w:rPr>
        <w:t xml:space="preserve">Ståhl and Bosch (2022) conducted a systematic literature review of 101 empirical studies and confirmed positive effects of CI, including better cooperation and earlier defect detection, while also identifying negative effects such as added technical and process challenges. Fowler (2006) documented CI as one of the highest-impact practices for reducing integration risk and deployment pain, noting that automating the build and test processes makes frequent integration practically achievable at daily or sub-daily intervals.</w:t>
      </w:r>
    </w:p>
    <w:p>
      <w:r>
        <w:rPr>
          <w:rFonts w:ascii="Arial" w:cs="Arial" w:eastAsia="Arial" w:hAnsi="Arial"/>
          <w:color w:val="1D1D1F"/>
          <w:sz w:val="22"/>
          <w:szCs w:val="22"/>
        </w:rPr>
        <w:t xml:space="preserve">Unlike most XP practices, CI’s adoption has vastly outgrown XP itself. Tools such as Jenkins, GitHub Actions, and CircleCI have embedded CI as a default expectation in professional software development, which itself constitutes strong real-world validation beyond controlled studies. Duvall et al. (2007) further established the economic case: CI measurably reduces the cost of late-stage defect detection by surfacing integration failures at the earliest possible moment in the development cycle.</w:t>
      </w:r>
    </w:p>
    <w:p>
      <w:r>
        <w:rPr>
          <w:rFonts w:ascii="Arial" w:cs="Arial" w:eastAsia="Arial" w:hAnsi="Arial"/>
          <w:color w:val="1D1D1F"/>
          <w:b/>
          <w:sz w:val="22"/>
          <w:szCs w:val="22"/>
        </w:rPr>
        <w:t xml:space="preserve">Verdict: Strongest empirical support.</w:t>
      </w:r>
      <w:r>
        <w:rPr>
          <w:rFonts w:ascii="Arial" w:cs="Arial" w:eastAsia="Arial" w:hAnsi="Arial"/>
          <w:color w:val="1D1D1F"/>
          <w:sz w:val="22"/>
          <w:szCs w:val="22"/>
        </w:rPr>
        <w:t xml:space="preserve"> CI and TDD share the top position. CI’s industry-wide adoption and measurable quality outcomes make it the most universally validated XP practice.</w:t>
      </w:r>
    </w:p>
    <w:p>
      <w:pPr>
        <w:spacing w:before="100" w:after="0"/>
      </w:pPr>
      <w:r>
        <w:t xml:space="preserve"/>
      </w:r>
    </w:p>
    <w:p>
      <w:pPr>
        <w:pStyle w:val="Heading3"/>
      </w:pPr>
      <w:r>
        <w:rPr>
          <w:rFonts w:ascii="Arial" w:cs="Arial" w:eastAsia="Arial" w:hAnsi="Arial"/>
          <w:b/>
          <w:bCs/>
          <w:color w:val="0071E3"/>
          <w:sz w:val="26"/>
          <w:szCs w:val="26"/>
        </w:rPr>
        <w:t xml:space="preserve">On-site Customer</w:t>
      </w:r>
    </w:p>
    <w:p>
      <w:r>
        <w:rPr>
          <w:rFonts w:ascii="Arial" w:cs="Arial" w:eastAsia="Arial" w:hAnsi="Arial"/>
          <w:color w:val="1D1D1F"/>
          <w:sz w:val="22"/>
          <w:szCs w:val="22"/>
        </w:rPr>
        <w:t xml:space="preserve">The on-site customer practice requires a real customer representative to be physically co-located with the development team full-time, providing immediate feedback, answering questions, and driving requirements in real time. It is among the most logistically demanding of XP’s practices and has faced the most significant practical challenges.</w:t>
      </w:r>
    </w:p>
    <w:p>
      <w:r>
        <w:rPr>
          <w:rFonts w:ascii="Arial" w:cs="Arial" w:eastAsia="Arial" w:hAnsi="Arial"/>
          <w:color w:val="1D1D1F"/>
          <w:sz w:val="22"/>
          <w:szCs w:val="22"/>
        </w:rPr>
        <w:t xml:space="preserve">Dybå and Dingsøyr’s (2008) landmark systematic review of 36 empirical studies on agile software development found that most studies addressed introduction and adoption challenges rather than measuring the direct performance impact of on-site customers. This is itself telling: the difficulty of implementing the practice reliably in real organisations has limited the quality of evidence available. A case study by Hoda et al. (2012) found that on-site customer was among the practices most frequently abandoned in practice, with teams citing business unavailability, role conflict, and organisational resistance as barriers.</w:t>
      </w:r>
    </w:p>
    <w:p>
      <w:r>
        <w:rPr>
          <w:rFonts w:ascii="Arial" w:cs="Arial" w:eastAsia="Arial" w:hAnsi="Arial"/>
          <w:color w:val="1D1D1F"/>
          <w:sz w:val="22"/>
          <w:szCs w:val="22"/>
        </w:rPr>
        <w:t xml:space="preserve">Wang et al. (2012) offer a more nuanced finding: only customer planning — including customer access and short releases — is positively related to team performance, suggesting that what matters is frequent customer interaction, not necessarily physical presence. This distinction is significant. Remote work, distributed teams, and organisational resistance make the full-time on-site model impractical for most teams. Modern adaptations — such as Product Owner proxies (from Scrum), sprint reviews, and asynchronous communication tools — attempt to replicate the feedback function without the physical co-location requirement.</w:t>
      </w:r>
    </w:p>
    <w:p>
      <w:r>
        <w:rPr>
          <w:rFonts w:ascii="Arial" w:cs="Arial" w:eastAsia="Arial" w:hAnsi="Arial"/>
          <w:color w:val="1D1D1F"/>
          <w:b/>
          <w:sz w:val="22"/>
          <w:szCs w:val="22"/>
        </w:rPr>
        <w:t xml:space="preserve">Verdict: Contested in practice.</w:t>
      </w:r>
      <w:r>
        <w:rPr>
          <w:rFonts w:ascii="Arial" w:cs="Arial" w:eastAsia="Arial" w:hAnsi="Arial"/>
          <w:color w:val="1D1D1F"/>
          <w:sz w:val="22"/>
          <w:szCs w:val="22"/>
        </w:rPr>
        <w:t xml:space="preserve"> The underlying principle — rapid customer feedback — is empirically supported; the specific mechanism of physical presence is not feasible in modern distributed development and has been widely adapted or abandoned.</w:t>
      </w:r>
    </w:p>
    <w:p>
      <w:pPr>
        <w:spacing w:before="100" w:after="0"/>
      </w:pPr>
      <w:r>
        <w:t xml:space="preserve"/>
      </w:r>
    </w:p>
    <w:p>
      <w:pPr>
        <w:pStyle w:val="Heading3"/>
      </w:pPr>
      <w:r>
        <w:rPr>
          <w:rFonts w:ascii="Arial" w:cs="Arial" w:eastAsia="Arial" w:hAnsi="Arial"/>
          <w:b/>
          <w:bCs/>
          <w:color w:val="0071E3"/>
          <w:sz w:val="26"/>
          <w:szCs w:val="26"/>
        </w:rPr>
        <w:t xml:space="preserve">Refactoring</w:t>
      </w:r>
    </w:p>
    <w:p>
      <w:r>
        <w:rPr>
          <w:rFonts w:ascii="Arial" w:cs="Arial" w:eastAsia="Arial" w:hAnsi="Arial"/>
          <w:color w:val="1D1D1F"/>
          <w:sz w:val="22"/>
          <w:szCs w:val="22"/>
        </w:rPr>
        <w:t xml:space="preserve">Refactoring involves continuously improving the internal structure of code without changing its external behaviour. Fowler (1999) established the canonical catalogue of refactoring patterns, and Beck (1999) embedded it as a core XP practice to ensure that the codebase remains clean and extensible as requirements evolve through iterative development.</w:t>
      </w:r>
    </w:p>
    <w:p>
      <w:r>
        <w:rPr>
          <w:rFonts w:ascii="Arial" w:cs="Arial" w:eastAsia="Arial" w:hAnsi="Arial"/>
          <w:color w:val="1D1D1F"/>
          <w:sz w:val="22"/>
          <w:szCs w:val="22"/>
        </w:rPr>
        <w:t xml:space="preserve">Bissi et al. (2016) found in their systematic mapping study that refactoring activities generally cause software quality attributes to improve, though studies conducted in academic settings found more positive impacts than those performed in industry — suggesting context strongly moderates the benefits of refactoring. This gap between laboratory and industrial findings is a recurring limitation in refactoring research.</w:t>
      </w:r>
    </w:p>
    <w:p>
      <w:r>
        <w:rPr>
          <w:rFonts w:ascii="Arial" w:cs="Arial" w:eastAsia="Arial" w:hAnsi="Arial"/>
          <w:color w:val="1D1D1F"/>
          <w:sz w:val="22"/>
          <w:szCs w:val="22"/>
        </w:rPr>
        <w:t xml:space="preserve">The relationship between CI and refactoring has received important empirical attention. Vassallo et al. (2021), analysing 99,545 commits and 89,926 refactoring operations from 39 open-source GitHub projects, found that CI adoption changes the way developers perceive and apply refactoring — but that without deliberate refactoring practices, the frequent changes enabled by CI can actually compromise software quality over time. This finding reinforces XP’s position that refactoring should not be treated as an optional activity but as a disciplined, continuous practice integrated with testing and integration.</w:t>
      </w:r>
    </w:p>
    <w:p>
      <w:r>
        <w:rPr>
          <w:rFonts w:ascii="Arial" w:cs="Arial" w:eastAsia="Arial" w:hAnsi="Arial"/>
          <w:color w:val="1D1D1F"/>
          <w:b/>
          <w:sz w:val="22"/>
          <w:szCs w:val="22"/>
        </w:rPr>
        <w:t xml:space="preserve">Verdict: Strong empirical support</w:t>
      </w:r>
      <w:r>
        <w:rPr>
          <w:rFonts w:ascii="Arial" w:cs="Arial" w:eastAsia="Arial" w:hAnsi="Arial"/>
          <w:color w:val="1D1D1F"/>
          <w:sz w:val="22"/>
          <w:szCs w:val="22"/>
        </w:rPr>
        <w:t xml:space="preserve"> — particularly when combined with TDD and CI as a unified technical discipline. Refactoring’s value is most clearly demonstrated in combination with automated testing, not as an isolated practice.</w:t>
      </w:r>
    </w:p>
    <w:p>
      <w:pPr>
        <w:spacing w:before="100" w:after="0"/>
      </w:pPr>
      <w:r>
        <w:t xml:space="preserve"/>
      </w:r>
    </w:p>
    <w:p>
      <w:pPr>
        <w:spacing w:before="120" w:after="0"/>
      </w:pPr>
      <w:r>
        <w:t xml:space="preserve"/>
      </w:r>
    </w:p>
    <w:p>
      <w:r>
        <w:br w:type="page"/>
      </w:r>
    </w:p>
    <w:p>
      <w:pPr>
        <w:pStyle w:val="Heading2"/>
      </w:pPr>
      <w:r>
        <w:rPr>
          <w:rFonts w:ascii="Arial" w:cs="Arial" w:eastAsia="Arial" w:hAnsi="Arial"/>
          <w:b/>
          <w:bCs/>
          <w:color w:val="1D1D1F"/>
          <w:sz w:val="32"/>
          <w:szCs w:val="32"/>
        </w:rPr>
        <w:t xml:space="preserve">Question 4: Controversial Practices  [10 Marks]</w:t>
      </w:r>
    </w:p>
    <w:p>
      <w:r>
        <w:rPr>
          <w:rFonts w:ascii="Arial" w:cs="Arial" w:eastAsia="Arial" w:hAnsi="Arial"/>
          <w:i/>
          <w:iCs/>
          <w:color w:val="6E6E73"/>
          <w:sz w:val="22"/>
          <w:szCs w:val="22"/>
        </w:rPr>
        <w:t xml:space="preserve">Examine Pair Programming and On-site Customer. What research exists on the productivity impact of pairing? How has remote work challenged the 'on-site' requirement?</w:t>
      </w:r>
    </w:p>
    <w:p>
      <w:pPr>
        <w:spacing w:before="120" w:after="0"/>
      </w:pPr>
      <w:r>
        <w:t xml:space="preserve"/>
      </w:r>
    </w:p>
    <w:p>
      <w:pPr>
        <w:pStyle w:val="Heading3"/>
      </w:pPr>
      <w:r>
        <w:rPr>
          <w:rFonts w:ascii="Arial" w:cs="Arial" w:eastAsia="Arial" w:hAnsi="Arial"/>
          <w:b/>
          <w:bCs/>
          <w:color w:val="0071E3"/>
          <w:sz w:val="26"/>
          <w:szCs w:val="26"/>
        </w:rPr>
        <w:t xml:space="preserve">Pair Programming — Productivity Research</w:t>
      </w:r>
    </w:p>
    <w:p>
      <w:r>
        <w:rPr>
          <w:rFonts w:ascii="Arial" w:cs="Arial" w:eastAsia="Arial" w:hAnsi="Arial"/>
          <w:color w:val="1D1D1F"/>
          <w:sz w:val="22"/>
          <w:szCs w:val="22"/>
        </w:rPr>
        <w:t xml:space="preserve">[Analyse empirical studies on Pair Programming. Include research by Williams et al. (2000) and others. Discuss cost-benefit arguments and when pairing helps vs. hinders.]</w:t>
      </w:r>
    </w:p>
    <w:p>
      <w:pPr>
        <w:spacing w:before="120" w:after="0"/>
      </w:pPr>
      <w:r>
        <w:t xml:space="preserve"/>
      </w:r>
    </w:p>
    <w:p>
      <w:pPr>
        <w:pStyle w:val="Heading3"/>
      </w:pPr>
      <w:r>
        <w:rPr>
          <w:rFonts w:ascii="Arial" w:cs="Arial" w:eastAsia="Arial" w:hAnsi="Arial"/>
          <w:b/>
          <w:bCs/>
          <w:color w:val="0071E3"/>
          <w:sz w:val="26"/>
          <w:szCs w:val="26"/>
        </w:rPr>
        <w:t xml:space="preserve">On-site Customer — Remote Work Challenge</w:t>
      </w:r>
    </w:p>
    <w:p>
      <w:r>
        <w:rPr>
          <w:rFonts w:ascii="Arial" w:cs="Arial" w:eastAsia="Arial" w:hAnsi="Arial"/>
          <w:color w:val="1D1D1F"/>
          <w:sz w:val="22"/>
          <w:szCs w:val="22"/>
        </w:rPr>
        <w:t xml:space="preserve">[Critically assess how remote and hybrid work environments have disrupted the On-site Customer ideal. Discuss adaptations such as virtual customer proxies, async communication tools, and digital collaboration platforms.]</w:t>
      </w:r>
    </w:p>
    <w:p>
      <w:pPr>
        <w:spacing w:before="240" w:after="0"/>
      </w:pPr>
      <w:r>
        <w:t xml:space="preserve"/>
      </w:r>
    </w:p>
    <w:p>
      <w:pPr>
        <w:pStyle w:val="Heading2"/>
      </w:pPr>
      <w:r>
        <w:rPr>
          <w:rFonts w:ascii="Arial" w:cs="Arial" w:eastAsia="Arial" w:hAnsi="Arial"/>
          <w:b/>
          <w:bCs/>
          <w:color w:val="1D1D1F"/>
          <w:sz w:val="32"/>
          <w:szCs w:val="32"/>
        </w:rPr>
        <w:t xml:space="preserve">Question 5: XP vs Other Agile Methods  [10 Marks]</w:t>
      </w:r>
    </w:p>
    <w:p>
      <w:r>
        <w:rPr>
          <w:rFonts w:ascii="Arial" w:cs="Arial" w:eastAsia="Arial" w:hAnsi="Arial"/>
          <w:i/>
          <w:iCs/>
          <w:color w:val="6E6E73"/>
          <w:sz w:val="22"/>
          <w:szCs w:val="22"/>
        </w:rPr>
        <w:t xml:space="preserve">Compare XP's technical rigor with other Agile methods that place greater emphasis on management and planning. Why is XP considered the 'engineering' Agile method?</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9"/>
        <w:gridCol w:w="2209"/>
        <w:gridCol w:w="2408"/>
      </w:tblGrid>
      <w:tr>
        <w:trPr>
          <w:tblHeader/>
        </w:trPr>
        <w:tc>
          <w:tcPr>
            <w:tcW w:type="dxa" w:w="2200"/>
            <w:tcBorders>
              <w:top w:val="none" w:color="FFFFFF" w:sz="0"/>
              <w:left w:val="none" w:color="FFFFFF" w:sz="0"/>
              <w:bottom w:val="none" w:color="FFFFFF" w:sz="0"/>
              <w:right w:val="none" w:color="FFFFFF" w:sz="0"/>
            </w:tcBorders>
            <w:shd w:fill="0071E3" w:val="clear"/>
            <w:tcMar>
              <w:top w:type="dxa" w:w="120"/>
              <w:left w:type="dxa" w:w="160"/>
              <w:bottom w:type="dxa" w:w="120"/>
              <w:right w:type="dxa" w:w="160"/>
            </w:tcMar>
          </w:tcPr>
          <w:p>
            <w:r>
              <w:rPr>
                <w:rFonts w:ascii="Arial" w:cs="Arial" w:eastAsia="Arial" w:hAnsi="Arial"/>
                <w:b/>
                <w:bCs/>
                <w:color w:val="FFFFFF"/>
                <w:sz w:val="22"/>
                <w:szCs w:val="22"/>
              </w:rPr>
              <w:t xml:space="preserve">Dimension</w:t>
            </w:r>
          </w:p>
        </w:tc>
        <w:tc>
          <w:tcPr>
            <w:tcW w:type="dxa" w:w="2209"/>
            <w:tcBorders>
              <w:top w:val="none" w:color="FFFFFF" w:sz="0"/>
              <w:left w:val="none" w:color="FFFFFF" w:sz="0"/>
              <w:bottom w:val="none" w:color="FFFFFF" w:sz="0"/>
              <w:right w:val="none" w:color="FFFFFF" w:sz="0"/>
            </w:tcBorders>
            <w:shd w:fill="0071E3" w:val="clear"/>
            <w:tcMar>
              <w:top w:type="dxa" w:w="120"/>
              <w:left w:type="dxa" w:w="160"/>
              <w:bottom w:type="dxa" w:w="120"/>
              <w:right w:type="dxa" w:w="160"/>
            </w:tcMar>
          </w:tcPr>
          <w:p>
            <w:r>
              <w:rPr>
                <w:rFonts w:ascii="Arial" w:cs="Arial" w:eastAsia="Arial" w:hAnsi="Arial"/>
                <w:b/>
                <w:bCs/>
                <w:color w:val="FFFFFF"/>
                <w:sz w:val="22"/>
                <w:szCs w:val="22"/>
              </w:rPr>
              <w:t xml:space="preserve">XP</w:t>
            </w:r>
          </w:p>
        </w:tc>
        <w:tc>
          <w:tcPr>
            <w:tcW w:type="dxa" w:w="2209"/>
            <w:tcBorders>
              <w:top w:val="none" w:color="FFFFFF" w:sz="0"/>
              <w:left w:val="none" w:color="FFFFFF" w:sz="0"/>
              <w:bottom w:val="none" w:color="FFFFFF" w:sz="0"/>
              <w:right w:val="none" w:color="FFFFFF" w:sz="0"/>
            </w:tcBorders>
            <w:shd w:fill="0071E3" w:val="clear"/>
            <w:tcMar>
              <w:top w:type="dxa" w:w="120"/>
              <w:left w:type="dxa" w:w="160"/>
              <w:bottom w:type="dxa" w:w="120"/>
              <w:right w:type="dxa" w:w="160"/>
            </w:tcMar>
          </w:tcPr>
          <w:p>
            <w:r>
              <w:rPr>
                <w:rFonts w:ascii="Arial" w:cs="Arial" w:eastAsia="Arial" w:hAnsi="Arial"/>
                <w:b/>
                <w:bCs/>
                <w:color w:val="FFFFFF"/>
                <w:sz w:val="22"/>
                <w:szCs w:val="22"/>
              </w:rPr>
              <w:t xml:space="preserve">Scrum</w:t>
            </w:r>
          </w:p>
        </w:tc>
        <w:tc>
          <w:tcPr>
            <w:tcW w:type="dxa" w:w="2408"/>
            <w:tcBorders>
              <w:top w:val="none" w:color="FFFFFF" w:sz="0"/>
              <w:left w:val="none" w:color="FFFFFF" w:sz="0"/>
              <w:bottom w:val="none" w:color="FFFFFF" w:sz="0"/>
              <w:right w:val="none" w:color="FFFFFF" w:sz="0"/>
            </w:tcBorders>
            <w:shd w:fill="0071E3" w:val="clear"/>
            <w:tcMar>
              <w:top w:type="dxa" w:w="120"/>
              <w:left w:type="dxa" w:w="160"/>
              <w:bottom w:type="dxa" w:w="120"/>
              <w:right w:type="dxa" w:w="160"/>
            </w:tcMar>
          </w:tcPr>
          <w:p>
            <w:r>
              <w:rPr>
                <w:rFonts w:ascii="Arial" w:cs="Arial" w:eastAsia="Arial" w:hAnsi="Arial"/>
                <w:b/>
                <w:bCs/>
                <w:color w:val="FFFFFF"/>
                <w:sz w:val="22"/>
                <w:szCs w:val="22"/>
              </w:rPr>
              <w:t xml:space="preserve">Kanban</w:t>
            </w:r>
          </w:p>
        </w:tc>
      </w:tr>
      <w:tr>
        <w:tc>
          <w:tcPr>
            <w:tcW w:type="dxa" w:w="22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bCs/>
                <w:color w:val="1D1D1F"/>
                <w:sz w:val="22"/>
                <w:szCs w:val="22"/>
              </w:rPr>
              <w:t xml:space="preserve">Focus</w:t>
            </w:r>
          </w:p>
        </w:tc>
        <w:tc>
          <w:tcPr>
            <w:tcW w:type="dxa" w:w="2209"/>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209"/>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408"/>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D1D1F"/>
                <w:sz w:val="22"/>
                <w:szCs w:val="22"/>
              </w:rPr>
              <w:t xml:space="preserve">Roles</w:t>
            </w:r>
          </w:p>
        </w:tc>
        <w:tc>
          <w:tcPr>
            <w:tcW w:type="dxa" w:w="2209"/>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209"/>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408"/>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r>
      <w:tr>
        <w:tc>
          <w:tcPr>
            <w:tcW w:type="dxa" w:w="22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bCs/>
                <w:color w:val="1D1D1F"/>
                <w:sz w:val="22"/>
                <w:szCs w:val="22"/>
              </w:rPr>
              <w:t xml:space="preserve">Iteration</w:t>
            </w:r>
          </w:p>
        </w:tc>
        <w:tc>
          <w:tcPr>
            <w:tcW w:type="dxa" w:w="2209"/>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209"/>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408"/>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D1D1F"/>
                <w:sz w:val="22"/>
                <w:szCs w:val="22"/>
              </w:rPr>
              <w:t xml:space="preserve">Technical Practices</w:t>
            </w:r>
          </w:p>
        </w:tc>
        <w:tc>
          <w:tcPr>
            <w:tcW w:type="dxa" w:w="2209"/>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209"/>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408"/>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r>
      <w:tr>
        <w:tc>
          <w:tcPr>
            <w:tcW w:type="dxa" w:w="2200"/>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bCs/>
                <w:color w:val="1D1D1F"/>
                <w:sz w:val="22"/>
                <w:szCs w:val="22"/>
              </w:rPr>
              <w:t xml:space="preserve">Best For</w:t>
            </w:r>
          </w:p>
        </w:tc>
        <w:tc>
          <w:tcPr>
            <w:tcW w:type="dxa" w:w="2209"/>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209"/>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c>
          <w:tcPr>
            <w:tcW w:type="dxa" w:w="2408"/>
            <w:tcBorders>
              <w:top w:val="none" w:color="FFFFFF" w:sz="0"/>
              <w:left w:val="none" w:color="FFFFFF" w:sz="0"/>
              <w:bottom w:val="none" w:color="FFFFFF" w:sz="0"/>
              <w:right w:val="none" w:color="FFFFFF" w:sz="0"/>
            </w:tcBorders>
            <w:shd w:fill="F5F5F7" w:val="clear"/>
            <w:tcMar>
              <w:top w:type="dxa" w:w="100"/>
              <w:left w:type="dxa" w:w="160"/>
              <w:bottom w:type="dxa" w:w="100"/>
              <w:right w:type="dxa" w:w="160"/>
            </w:tcMar>
          </w:tcPr>
          <w:p>
            <w:r>
              <w:rPr>
                <w:rFonts w:ascii="Arial" w:cs="Arial" w:eastAsia="Arial" w:hAnsi="Arial"/>
                <w:b w:val="false"/>
                <w:bCs w:val="false"/>
                <w:color w:val="6E6E73"/>
                <w:sz w:val="22"/>
                <w:szCs w:val="22"/>
              </w:rPr>
              <w:t xml:space="preserve">[Insert]</w:t>
            </w:r>
          </w:p>
        </w:tc>
      </w:tr>
    </w:tbl>
    <w:p>
      <w:pPr>
        <w:spacing w:before="120" w:after="0"/>
      </w:pPr>
      <w:r>
        <w:t xml:space="preserve"/>
      </w:r>
    </w:p>
    <w:p>
      <w:r>
        <w:rPr>
          <w:rFonts w:ascii="Arial" w:cs="Arial" w:eastAsia="Arial" w:hAnsi="Arial"/>
          <w:color w:val="1D1D1F"/>
          <w:sz w:val="22"/>
          <w:szCs w:val="22"/>
        </w:rPr>
        <w:t xml:space="preserve">[Insert critical comparison narrative here. Discuss why XP emphasises technical excellence (TDD, refactoring, CI) while Scrum focuses on process management and Kanban on flow. Cite academic literature.]</w:t>
      </w:r>
    </w:p>
    <w:p>
      <w:pPr>
        <w:spacing w:before="240" w:after="0"/>
      </w:pPr>
      <w:r>
        <w:t xml:space="preserve"/>
      </w:r>
    </w:p>
    <w:p>
      <w:pPr>
        <w:pStyle w:val="Heading2"/>
      </w:pPr>
      <w:r>
        <w:rPr>
          <w:rFonts w:ascii="Arial" w:cs="Arial" w:eastAsia="Arial" w:hAnsi="Arial"/>
          <w:b/>
          <w:bCs/>
          <w:color w:val="1D1D1F"/>
          <w:sz w:val="32"/>
          <w:szCs w:val="32"/>
        </w:rPr>
        <w:t xml:space="preserve">Question 6: Evolution of XP  [10 Marks]</w:t>
      </w:r>
    </w:p>
    <w:p>
      <w:r>
        <w:rPr>
          <w:rFonts w:ascii="Arial" w:cs="Arial" w:eastAsia="Arial" w:hAnsi="Arial"/>
          <w:i/>
          <w:iCs/>
          <w:color w:val="6E6E73"/>
          <w:sz w:val="22"/>
          <w:szCs w:val="22"/>
        </w:rPr>
        <w:t xml:space="preserve">Investigate the evolution of XP since its formalization in the late 1990s. Which practices have endured, which have been adapted, and why?</w:t>
      </w:r>
    </w:p>
    <w:p>
      <w:pPr>
        <w:spacing w:before="120" w:after="0"/>
      </w:pPr>
      <w:r>
        <w:t xml:space="preserve"/>
      </w:r>
    </w:p>
    <w:p>
      <w:pPr>
        <w:pStyle w:val="Heading3"/>
      </w:pPr>
      <w:r>
        <w:rPr>
          <w:rFonts w:ascii="Arial" w:cs="Arial" w:eastAsia="Arial" w:hAnsi="Arial"/>
          <w:b/>
          <w:bCs/>
          <w:color w:val="0071E3"/>
          <w:sz w:val="26"/>
          <w:szCs w:val="26"/>
        </w:rPr>
        <w:t xml:space="preserve">Practices That Have Endured</w:t>
      </w:r>
    </w:p>
    <w:p>
      <w:r>
        <w:rPr>
          <w:rFonts w:ascii="Arial" w:cs="Arial" w:eastAsia="Arial" w:hAnsi="Arial"/>
          <w:color w:val="1D1D1F"/>
          <w:sz w:val="22"/>
          <w:szCs w:val="22"/>
        </w:rPr>
        <w:t xml:space="preserve">[List and discuss XP practices that have remained prominent, e.g., TDD, CI, Refactoring. Explain why these proved resilient and have been adopted beyond XP into mainstream software development.]</w:t>
      </w:r>
    </w:p>
    <w:p>
      <w:pPr>
        <w:spacing w:before="120" w:after="0"/>
      </w:pPr>
      <w:r>
        <w:t xml:space="preserve"/>
      </w:r>
    </w:p>
    <w:p>
      <w:pPr>
        <w:pStyle w:val="Heading3"/>
      </w:pPr>
      <w:r>
        <w:rPr>
          <w:rFonts w:ascii="Arial" w:cs="Arial" w:eastAsia="Arial" w:hAnsi="Arial"/>
          <w:b/>
          <w:bCs/>
          <w:color w:val="0071E3"/>
          <w:sz w:val="26"/>
          <w:szCs w:val="26"/>
        </w:rPr>
        <w:t xml:space="preserve">Practices That Have Been Adapted</w:t>
      </w:r>
    </w:p>
    <w:p>
      <w:r>
        <w:rPr>
          <w:rFonts w:ascii="Arial" w:cs="Arial" w:eastAsia="Arial" w:hAnsi="Arial"/>
          <w:color w:val="1D1D1F"/>
          <w:sz w:val="22"/>
          <w:szCs w:val="22"/>
        </w:rPr>
        <w:t xml:space="preserve">[Discuss which practices were modified, e.g., On-site Customer evolving into Product Owner proxies. Explain contextual factors — remote work, DevOps, cloud computing — that drove these adaptations.]</w:t>
      </w:r>
    </w:p>
    <w:p>
      <w:pPr>
        <w:spacing w:before="120" w:after="0"/>
      </w:pPr>
      <w:r>
        <w:t xml:space="preserve"/>
      </w:r>
    </w:p>
    <w:p>
      <w:pPr>
        <w:pStyle w:val="Heading3"/>
      </w:pPr>
      <w:r>
        <w:rPr>
          <w:rFonts w:ascii="Arial" w:cs="Arial" w:eastAsia="Arial" w:hAnsi="Arial"/>
          <w:b/>
          <w:bCs/>
          <w:color w:val="0071E3"/>
          <w:sz w:val="26"/>
          <w:szCs w:val="26"/>
        </w:rPr>
        <w:t xml:space="preserve">Practices That Were Dropped</w:t>
      </w:r>
    </w:p>
    <w:p>
      <w:r>
        <w:rPr>
          <w:rFonts w:ascii="Arial" w:cs="Arial" w:eastAsia="Arial" w:hAnsi="Arial"/>
          <w:color w:val="1D1D1F"/>
          <w:sz w:val="22"/>
          <w:szCs w:val="22"/>
        </w:rPr>
        <w:t xml:space="preserve">[Identify XP practices that fell out of favour and explain why. Consider the shift from XP 1st to 2nd edition (Beck, 2004) and the consolidation of practices in DevOps culture.]</w:t>
      </w:r>
    </w:p>
    <w:p>
      <w:pPr>
        <w:spacing w:before="240" w:after="0"/>
      </w:pPr>
      <w:r>
        <w:t xml:space="preserve"/>
      </w:r>
    </w:p>
    <w:p>
      <w:r>
        <w:br w:type="page"/>
      </w:r>
    </w:p>
    <w:p>
      <w:pPr>
        <w:pStyle w:val="Heading1"/>
      </w:pPr>
      <w:r>
        <w:rPr>
          <w:rFonts w:ascii="Arial" w:cs="Arial" w:eastAsia="Arial" w:hAnsi="Arial"/>
          <w:b/>
          <w:bCs/>
          <w:color w:val="1D1D1F"/>
          <w:sz w:val="48"/>
          <w:szCs w:val="48"/>
        </w:rPr>
        <w:t xml:space="preserve">References</w:t>
      </w:r>
    </w:p>
    <w:p>
      <w:pPr>
        <w:pBdr>
          <w:bottom w:val="single" w:color="D2D2D7" w:sz="4" w:space="1"/>
        </w:pBdr>
        <w:spacing w:before="80" w:after="80"/>
      </w:pPr>
      <w:r>
        <w:t xml:space="preserve"/>
      </w:r>
    </w:p>
    <w:p>
      <w:pPr>
        <w:spacing w:before="120" w:after="0"/>
      </w:pPr>
      <w:r>
        <w:t xml:space="preserve"/>
      </w:r>
    </w:p>
    <w:p>
      <w:r>
        <w:rPr>
          <w:rFonts w:ascii="Arial" w:cs="Arial" w:eastAsia="Arial" w:hAnsi="Arial"/>
          <w:i/>
          <w:iCs/>
          <w:color w:val="6E6E73"/>
          <w:sz w:val="22"/>
          <w:szCs w:val="22"/>
        </w:rPr>
        <w:t xml:space="preserve">Use APA 7th Edition formatting for all references. A minimum of 8 peer-reviewed sources is required. Below are suggested starter references — verify, update, and add more:</w:t>
      </w:r>
    </w:p>
    <w:p>
      <w:pPr>
        <w:spacing w:before="120" w:after="0"/>
      </w:pPr>
      <w:r>
        <w:t xml:space="preserve"/>
      </w:r>
    </w:p>
    <w:p>
      <w:pPr>
        <w:pStyle w:val="ListParagraph"/>
        <w:numPr>
          <w:ilvl w:val="0"/>
          <w:numId w:val="2"/>
        </w:numPr>
      </w:pPr>
      <w:r>
        <w:rPr>
          <w:rFonts w:ascii="Arial" w:cs="Arial" w:eastAsia="Arial" w:hAnsi="Arial"/>
          <w:color w:val="1D1D1F"/>
          <w:sz w:val="20"/>
          <w:szCs w:val="20"/>
        </w:rPr>
        <w:t xml:space="preserve">Beck, K. (1999). Extreme Programming explained: Embrace change. Addison-Wesley.</w:t>
      </w:r>
    </w:p>
    <w:p>
      <w:pPr>
        <w:pStyle w:val="ListParagraph"/>
        <w:numPr>
          <w:ilvl w:val="0"/>
          <w:numId w:val="2"/>
        </w:numPr>
      </w:pPr>
      <w:r>
        <w:rPr>
          <w:rFonts w:ascii="Arial" w:cs="Arial" w:eastAsia="Arial" w:hAnsi="Arial"/>
          <w:color w:val="1D1D1F"/>
          <w:sz w:val="20"/>
          <w:szCs w:val="20"/>
        </w:rPr>
        <w:t xml:space="preserve">Beck, K. (2004). Extreme Programming explained: Embrace change (2nd ed.). Addison-Wesley.</w:t>
      </w:r>
    </w:p>
    <w:p>
      <w:pPr>
        <w:pStyle w:val="ListParagraph"/>
        <w:numPr>
          <w:ilvl w:val="0"/>
          <w:numId w:val="2"/>
        </w:numPr>
      </w:pPr>
      <w:r>
        <w:rPr>
          <w:rFonts w:ascii="Arial" w:cs="Arial" w:eastAsia="Arial" w:hAnsi="Arial"/>
          <w:color w:val="1D1D1F"/>
          <w:sz w:val="20"/>
          <w:szCs w:val="20"/>
        </w:rPr>
        <w:t xml:space="preserve">Williams, L., Kessler, R. R., Cunningham, W., &amp; Jeffries, R. (2000). Strengthening the case for pair programming. IEEE Software, 17(4), 19–25. https://doi.org/10.1109/52.854064</w:t>
      </w:r>
    </w:p>
    <w:p>
      <w:pPr>
        <w:pStyle w:val="ListParagraph"/>
        <w:numPr>
          <w:ilvl w:val="0"/>
          <w:numId w:val="2"/>
        </w:numPr>
      </w:pPr>
      <w:r>
        <w:rPr>
          <w:rFonts w:ascii="Arial" w:cs="Arial" w:eastAsia="Arial" w:hAnsi="Arial"/>
          <w:color w:val="1D1D1F"/>
          <w:sz w:val="20"/>
          <w:szCs w:val="20"/>
        </w:rPr>
        <w:t xml:space="preserve">Jeffries, R., Anderson, A., &amp; Hendrickson, C. (2001). Extreme Programming installed. Addison-Wesley.</w:t>
      </w:r>
    </w:p>
    <w:p>
      <w:pPr>
        <w:pStyle w:val="ListParagraph"/>
        <w:numPr>
          <w:ilvl w:val="0"/>
          <w:numId w:val="2"/>
        </w:numPr>
      </w:pPr>
      <w:r>
        <w:rPr>
          <w:rFonts w:ascii="Arial" w:cs="Arial" w:eastAsia="Arial" w:hAnsi="Arial"/>
          <w:color w:val="1D1D1F"/>
          <w:sz w:val="20"/>
          <w:szCs w:val="20"/>
        </w:rPr>
        <w:t xml:space="preserve">Dybå, T., &amp; Dingsøyr, T. (2008). Empirical studies of agile software development: A systematic review. Information and Software Technology, 50(9–10), 833–859.</w:t>
      </w:r>
    </w:p>
    <w:p>
      <w:pPr>
        <w:pStyle w:val="ListParagraph"/>
        <w:numPr>
          <w:ilvl w:val="0"/>
          <w:numId w:val="2"/>
        </w:numPr>
      </w:pPr>
      <w:r>
        <w:rPr>
          <w:rFonts w:ascii="Arial" w:cs="Arial" w:eastAsia="Arial" w:hAnsi="Arial"/>
          <w:color w:val="1D1D1F"/>
          <w:sz w:val="20"/>
          <w:szCs w:val="20"/>
        </w:rPr>
        <w:t xml:space="preserve">Nawrocki, J., &amp; Wojciechowski, A. (2001). Experimental evaluation of pair programming. Proceedings of the 12th European Software Control and Metrics Conference.</w:t>
      </w:r>
    </w:p>
    <w:p>
      <w:pPr>
        <w:pStyle w:val="ListParagraph"/>
        <w:numPr>
          <w:ilvl w:val="0"/>
          <w:numId w:val="2"/>
        </w:numPr>
      </w:pPr>
      <w:r>
        <w:rPr>
          <w:rFonts w:ascii="Arial" w:cs="Arial" w:eastAsia="Arial" w:hAnsi="Arial"/>
          <w:color w:val="1D1D1F"/>
          <w:sz w:val="20"/>
          <w:szCs w:val="20"/>
        </w:rPr>
        <w:t xml:space="preserve">Maurer, F., &amp; Hellmann, T. D. (2013). People-centered software development: An overview of agile methodologies. In T. Mistrik et al. (Eds.), Collaborative Software Engineering (pp. 29–57). Springer.</w:t>
      </w:r>
    </w:p>
    <w:p>
      <w:pPr>
        <w:pStyle w:val="ListParagraph"/>
        <w:numPr>
          <w:ilvl w:val="0"/>
          <w:numId w:val="2"/>
        </w:numPr>
      </w:pPr>
      <w:r>
        <w:rPr>
          <w:rFonts w:ascii="Arial" w:cs="Arial" w:eastAsia="Arial" w:hAnsi="Arial"/>
          <w:color w:val="1D1D1F"/>
          <w:sz w:val="20"/>
          <w:szCs w:val="20"/>
        </w:rPr>
        <w:t xml:space="preserve">Bissi, W., Neto, A., &amp; Emer, M. (2016). The effects of test driven development on internal quality, external quality and productivity: A systematic review. Information and Software Technology, 74, 45–54. https://doi.org/10.1016/j.infsof.2016.02.004</w:t>
      </w:r>
    </w:p>
    <w:p>
      <w:r>
        <w:rPr>
          <w:rFonts w:ascii="Arial" w:cs="Arial" w:eastAsia="Arial" w:hAnsi="Arial"/>
          <w:color w:val="1D1D1F"/>
          <w:sz w:val="22"/>
          <w:szCs w:val="22"/>
        </w:rPr>
        <w:t xml:space="preserve">Duvall, P. M., Matyas, S., &amp; Glover, A. (2007). Continuous integration: Improving software quality and reducing risk. Addison-Wesley.</w:t>
      </w:r>
    </w:p>
    <w:p>
      <w:r>
        <w:rPr>
          <w:rFonts w:ascii="Arial" w:cs="Arial" w:eastAsia="Arial" w:hAnsi="Arial"/>
          <w:color w:val="1D1D1F"/>
          <w:sz w:val="22"/>
          <w:szCs w:val="22"/>
        </w:rPr>
        <w:t xml:space="preserve">Fowler, M. (2006). Continuous integration. https://martinfowler.com/articles/continuousIntegration.html</w:t>
      </w:r>
    </w:p>
    <w:p>
      <w:r>
        <w:rPr>
          <w:rFonts w:ascii="Arial" w:cs="Arial" w:eastAsia="Arial" w:hAnsi="Arial"/>
          <w:color w:val="1D1D1F"/>
          <w:sz w:val="22"/>
          <w:szCs w:val="22"/>
        </w:rPr>
        <w:t xml:space="preserve">Lui, K. M., &amp; Chan, K. C. C. (2006). Pair programming productivity: Novice–novice vs. expert–expert. International Journal of Human-Computer Studies, 64(9), 915–925. https://doi.org/10.1016/j.ijhcs.2006.04.010</w:t>
      </w:r>
    </w:p>
    <w:p>
      <w:r>
        <w:rPr>
          <w:rFonts w:ascii="Arial" w:cs="Arial" w:eastAsia="Arial" w:hAnsi="Arial"/>
          <w:color w:val="1D1D1F"/>
          <w:sz w:val="22"/>
          <w:szCs w:val="22"/>
        </w:rPr>
        <w:t xml:space="preserve">Mäkinen, S., &amp; Münch, J. (2014). Effects of test-driven development: A comparative analysis of empirical studies. In Proceedings of the 6th International Conference on Software Quality Days (pp. 15–30). Springer. https://doi.org/10.1007/978-3-319-03602-1_10</w:t>
      </w:r>
    </w:p>
    <w:p>
      <w:r>
        <w:rPr>
          <w:rFonts w:ascii="Arial" w:cs="Arial" w:eastAsia="Arial" w:hAnsi="Arial"/>
          <w:color w:val="1D1D1F"/>
          <w:sz w:val="22"/>
          <w:szCs w:val="22"/>
        </w:rPr>
        <w:t xml:space="preserve">Ren, W., &amp; Barrett, S. (2023). Test-driven development, engagement in activity, and maintainability: An empirical study. IET Software, 17(4), 509–525. https://doi.org/10.1049/sfw2.12135</w:t>
      </w:r>
    </w:p>
    <w:p>
      <w:r>
        <w:rPr>
          <w:rFonts w:ascii="Arial" w:cs="Arial" w:eastAsia="Arial" w:hAnsi="Arial"/>
          <w:color w:val="1D1D1F"/>
          <w:sz w:val="22"/>
          <w:szCs w:val="22"/>
        </w:rPr>
        <w:t xml:space="preserve">Ståhl, D., &amp; Bosch, J. (2022). Continuous integration and delivery: A systematic review of the empirical literature. Information and Software Technology, 143, Article 106777. https://doi.org/10.1016/j.infsof.2021.106777</w:t>
      </w:r>
    </w:p>
    <w:p>
      <w:r>
        <w:rPr>
          <w:rFonts w:ascii="Arial" w:cs="Arial" w:eastAsia="Arial" w:hAnsi="Arial"/>
          <w:color w:val="1D1D1F"/>
          <w:sz w:val="22"/>
          <w:szCs w:val="22"/>
        </w:rPr>
        <w:t xml:space="preserve">Vassallo, C., Palomba, F., Bacchelli, A., &amp; Gall, H. C. (2021). On the impact of continuous integration on refactoring practice: An exploratory study on TravisTorrent. Information and Software Technology, 137, Article 106588. https://doi.org/10.1016/j.infsof.2021.106588</w:t>
      </w:r>
    </w:p>
    <w:p>
      <w:r>
        <w:rPr>
          <w:rFonts w:ascii="Arial" w:cs="Arial" w:eastAsia="Arial" w:hAnsi="Arial"/>
          <w:color w:val="1D1D1F"/>
          <w:sz w:val="22"/>
          <w:szCs w:val="22"/>
        </w:rPr>
        <w:t xml:space="preserve">Wang, X., Lane, M., &amp; Conboy, K. (2013). Successful extreme programming: Fidelity to the methodology or good teamworking? Information and Software Technology, 55(4), 660–671. https://doi.org/10.1016/j.infsof.2012.10.002</w:t>
      </w:r>
    </w:p>
    <w:p>
      <w:r>
        <w:rPr>
          <w:rFonts w:ascii="Arial" w:cs="Arial" w:eastAsia="Arial" w:hAnsi="Arial"/>
          <w:color w:val="1D1D1F"/>
          <w:sz w:val="22"/>
          <w:szCs w:val="22"/>
        </w:rPr>
        <w:t xml:space="preserve">Williams, L., &amp; Erdogmus, H. (2003). In favour of pair programming. IEEE Software, 20(4), 25–26. https://doi.org/10.1109/MS.2003.1207448</w:t>
      </w:r>
    </w:p>
    <w:p>
      <w:pPr>
        <w:spacing w:before="480" w:after="0"/>
      </w:pPr>
      <w:r>
        <w:t xml:space="preserve"/>
      </w:r>
    </w:p>
    <w:p>
      <w:pPr>
        <w:pBdr>
          <w:bottom w:val="single" w:color="D2D2D7" w:sz="4" w:space="1"/>
        </w:pBdr>
        <w:spacing w:before="80" w:after="80"/>
      </w:pPr>
      <w:r>
        <w:t xml:space="preserve"/>
      </w:r>
    </w:p>
    <w:p>
      <w:pPr>
        <w:spacing w:before="120" w:after="0"/>
      </w:pPr>
      <w:r>
        <w:t xml:space="preserve"/>
      </w:r>
    </w:p>
    <w:p>
      <w:pPr>
        <w:jc w:val="center"/>
      </w:pPr>
      <w:r>
        <w:rPr>
          <w:rFonts w:ascii="Arial" w:cs="Arial" w:eastAsia="Arial" w:hAnsi="Arial"/>
          <w:color w:val="6E6E73"/>
          <w:sz w:val="18"/>
          <w:szCs w:val="18"/>
        </w:rPr>
        <w:t xml:space="preserve">Group 1  |  Applications Development Theory 4 (APT470S)  |  Cape Peninsula University of Technology  |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D2D7" w:sz="4" w:space="1"/>
      </w:pBdr>
      <w:spacing w:before="120"/>
      <w:jc w:val="center"/>
    </w:pPr>
    <w:r>
      <w:rPr>
        <w:rFonts w:ascii="Arial" w:cs="Arial" w:eastAsia="Arial" w:hAnsi="Arial"/>
        <w:color w:val="6E6E73"/>
        <w:sz w:val="18"/>
        <w:szCs w:val="18"/>
      </w:rPr>
      <w:t xml:space="preserve">Cape Peninsula University of Technology  |  Applications Development Theory 4  |  </w:t>
    </w:r>
    <w:r>
      <w:rPr>
        <w:rFonts w:ascii="Arial" w:cs="Arial" w:eastAsia="Arial" w:hAnsi="Arial"/>
        <w:color w:val="6E6E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2D7" w:sz="4" w:space="1"/>
      </w:pBdr>
      <w:spacing w:after="120"/>
    </w:pPr>
    <w:r>
      <w:rPr>
        <w:rFonts w:ascii="Arial" w:cs="Arial" w:eastAsia="Arial" w:hAnsi="Arial"/>
        <w:color w:val="6E6E73"/>
        <w:sz w:val="18"/>
        <w:szCs w:val="18"/>
      </w:rPr>
      <w:t xml:space="preserve">Group 1  |  Extreme Programming (XP)  |  APT470S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F Pro Display, Arial" w:cs="SF Pro Display, Arial" w:eastAsia="SF Pro Display, Arial" w:hAnsi="SF Pro Display, Arial"/>
        <w:color w:val="1D1D1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D1D1F"/>
      <w:sz w:val="48"/>
      <w:szCs w:val="48"/>
    </w:rPr>
  </w:style>
  <w:style w:type="paragraph" w:styleId="Heading2">
    <w:name w:val="Heading 2"/>
    <w:basedOn w:val="Normal"/>
    <w:next w:val="Normal"/>
    <w:qFormat/>
    <w:pPr>
      <w:spacing w:before="360" w:after="180"/>
      <w:outlineLvl w:val="1"/>
    </w:pPr>
    <w:rPr>
      <w:rFonts w:ascii="Arial" w:cs="Arial" w:eastAsia="Arial" w:hAnsi="Arial"/>
      <w:b/>
      <w:bCs/>
      <w:color w:val="1D1D1F"/>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0071E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2026-03-01T13:10:09.678Z</dcterms:created>
  <dcterms:modified xsi:type="dcterms:W3CDTF">2026-03-01T13:10:09.679Z</dcterms:modified>
</cp:coreProperties>
</file>

<file path=docProps/custom.xml><?xml version="1.0" encoding="utf-8"?>
<Properties xmlns="http://schemas.openxmlformats.org/officeDocument/2006/custom-properties" xmlns:vt="http://schemas.openxmlformats.org/officeDocument/2006/docPropsVTypes"/>
</file>