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B5B8F" w14:textId="77777777" w:rsidR="00C70B8E" w:rsidRDefault="00000000">
      <w:pPr>
        <w:spacing w:before="1800" w:after="120"/>
        <w:jc w:val="center"/>
      </w:pPr>
      <w:r>
        <w:rPr>
          <w:b/>
          <w:bCs/>
          <w:color w:val="E8A020"/>
          <w:spacing w:val="80"/>
          <w:sz w:val="20"/>
          <w:szCs w:val="20"/>
        </w:rPr>
        <w:t>PROJECT 4</w:t>
      </w:r>
    </w:p>
    <w:p w14:paraId="73C4785A" w14:textId="77777777" w:rsidR="00C70B8E" w:rsidRDefault="00000000">
      <w:pPr>
        <w:spacing w:after="200"/>
        <w:jc w:val="center"/>
        <w:rPr>
          <w:b/>
          <w:bCs/>
          <w:color w:val="0D1B3E"/>
          <w:sz w:val="52"/>
          <w:szCs w:val="52"/>
        </w:rPr>
      </w:pPr>
      <w:r>
        <w:rPr>
          <w:b/>
          <w:bCs/>
          <w:color w:val="0D1B3E"/>
          <w:sz w:val="52"/>
          <w:szCs w:val="52"/>
        </w:rPr>
        <w:t>Research Topic Proposals</w:t>
      </w:r>
    </w:p>
    <w:p w14:paraId="3C55C2FD" w14:textId="3F5A0624" w:rsidR="00D17719" w:rsidRDefault="00D17719">
      <w:pPr>
        <w:spacing w:after="200"/>
        <w:jc w:val="center"/>
      </w:pPr>
      <w:r>
        <w:rPr>
          <w:b/>
          <w:bCs/>
          <w:color w:val="0D1B3E"/>
          <w:sz w:val="52"/>
          <w:szCs w:val="52"/>
        </w:rPr>
        <w:t>Thabiso Matsaba: 220296006</w:t>
      </w:r>
    </w:p>
    <w:p w14:paraId="534A1B1E" w14:textId="77777777" w:rsidR="00C70B8E" w:rsidRDefault="00000000">
      <w:pPr>
        <w:pBdr>
          <w:bottom w:val="single" w:sz="8" w:space="0" w:color="E8A020"/>
        </w:pBdr>
        <w:spacing w:after="600"/>
        <w:jc w:val="center"/>
      </w:pPr>
      <w:r>
        <w:rPr>
          <w:i/>
          <w:iCs/>
          <w:color w:val="4A5568"/>
          <w:sz w:val="20"/>
          <w:szCs w:val="20"/>
        </w:rPr>
        <w:t xml:space="preserve">Advanced Diploma in Information </w:t>
      </w:r>
      <w:proofErr w:type="gramStart"/>
      <w:r>
        <w:rPr>
          <w:i/>
          <w:iCs/>
          <w:color w:val="4A5568"/>
          <w:sz w:val="20"/>
          <w:szCs w:val="20"/>
        </w:rPr>
        <w:t>Technology  ·</w:t>
      </w:r>
      <w:proofErr w:type="gramEnd"/>
      <w:r>
        <w:rPr>
          <w:i/>
          <w:iCs/>
          <w:color w:val="4A5568"/>
          <w:sz w:val="20"/>
          <w:szCs w:val="20"/>
        </w:rPr>
        <w:t xml:space="preserve">  RME478</w:t>
      </w:r>
      <w:proofErr w:type="gramStart"/>
      <w:r>
        <w:rPr>
          <w:i/>
          <w:iCs/>
          <w:color w:val="4A5568"/>
          <w:sz w:val="20"/>
          <w:szCs w:val="20"/>
        </w:rPr>
        <w:t>S  ·</w:t>
      </w:r>
      <w:proofErr w:type="gramEnd"/>
      <w:r>
        <w:rPr>
          <w:i/>
          <w:iCs/>
          <w:color w:val="4A5568"/>
          <w:sz w:val="20"/>
          <w:szCs w:val="20"/>
        </w:rPr>
        <w:t xml:space="preserve">  </w:t>
      </w:r>
      <w:proofErr w:type="gramStart"/>
      <w:r>
        <w:rPr>
          <w:i/>
          <w:iCs/>
          <w:color w:val="4A5568"/>
          <w:sz w:val="20"/>
          <w:szCs w:val="20"/>
        </w:rPr>
        <w:t>CPUT  ·</w:t>
      </w:r>
      <w:proofErr w:type="gramEnd"/>
      <w:r>
        <w:rPr>
          <w:i/>
          <w:iCs/>
          <w:color w:val="4A5568"/>
          <w:sz w:val="20"/>
          <w:szCs w:val="20"/>
        </w:rPr>
        <w:t xml:space="preserve">  2026</w:t>
      </w:r>
    </w:p>
    <w:p w14:paraId="5CFF22A4" w14:textId="77777777" w:rsidR="00C70B8E" w:rsidRDefault="00C70B8E">
      <w:pPr>
        <w:spacing w:after="400"/>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3"/>
        <w:gridCol w:w="1667"/>
        <w:gridCol w:w="2727"/>
        <w:gridCol w:w="2263"/>
      </w:tblGrid>
      <w:tr w:rsidR="00C70B8E" w14:paraId="1B0EC558" w14:textId="77777777">
        <w:tblPrEx>
          <w:tblCellMar>
            <w:top w:w="0" w:type="dxa"/>
            <w:bottom w:w="0" w:type="dxa"/>
          </w:tblCellMar>
        </w:tblPrEx>
        <w:trPr>
          <w:jc w:val="center"/>
        </w:trPr>
        <w:tc>
          <w:tcPr>
            <w:tcW w:w="0" w:type="auto"/>
            <w:shd w:val="clear" w:color="auto" w:fill="1565C0"/>
            <w:tcMar>
              <w:top w:w="120" w:type="dxa"/>
              <w:left w:w="160" w:type="dxa"/>
              <w:bottom w:w="120" w:type="dxa"/>
              <w:right w:w="160" w:type="dxa"/>
            </w:tcMar>
          </w:tcPr>
          <w:p w14:paraId="42E0D820" w14:textId="77777777" w:rsidR="00C70B8E" w:rsidRDefault="00000000">
            <w:pPr>
              <w:jc w:val="center"/>
            </w:pPr>
            <w:proofErr w:type="gramStart"/>
            <w:r>
              <w:rPr>
                <w:b/>
                <w:bCs/>
                <w:color w:val="FFFFFF"/>
                <w:sz w:val="20"/>
                <w:szCs w:val="20"/>
              </w:rPr>
              <w:t>🔐  Cybersecurity</w:t>
            </w:r>
            <w:proofErr w:type="gramEnd"/>
          </w:p>
        </w:tc>
        <w:tc>
          <w:tcPr>
            <w:tcW w:w="0" w:type="auto"/>
            <w:shd w:val="clear" w:color="auto" w:fill="00695C"/>
            <w:tcMar>
              <w:top w:w="120" w:type="dxa"/>
              <w:left w:w="160" w:type="dxa"/>
              <w:bottom w:w="120" w:type="dxa"/>
              <w:right w:w="160" w:type="dxa"/>
            </w:tcMar>
          </w:tcPr>
          <w:p w14:paraId="46D028B4" w14:textId="77777777" w:rsidR="00C70B8E" w:rsidRDefault="00000000">
            <w:pPr>
              <w:jc w:val="center"/>
            </w:pPr>
            <w:proofErr w:type="gramStart"/>
            <w:r>
              <w:rPr>
                <w:b/>
                <w:bCs/>
                <w:color w:val="FFFFFF"/>
                <w:sz w:val="20"/>
                <w:szCs w:val="20"/>
              </w:rPr>
              <w:t>💳  Fintech</w:t>
            </w:r>
            <w:proofErr w:type="gramEnd"/>
          </w:p>
        </w:tc>
        <w:tc>
          <w:tcPr>
            <w:tcW w:w="0" w:type="auto"/>
            <w:shd w:val="clear" w:color="auto" w:fill="6A1B9A"/>
            <w:tcMar>
              <w:top w:w="120" w:type="dxa"/>
              <w:left w:w="160" w:type="dxa"/>
              <w:bottom w:w="120" w:type="dxa"/>
              <w:right w:w="160" w:type="dxa"/>
            </w:tcMar>
          </w:tcPr>
          <w:p w14:paraId="3AB65C81" w14:textId="77777777" w:rsidR="00C70B8E" w:rsidRDefault="00000000">
            <w:pPr>
              <w:jc w:val="center"/>
            </w:pPr>
            <w:r>
              <w:rPr>
                <w:b/>
                <w:bCs/>
                <w:color w:val="FFFFFF"/>
                <w:sz w:val="20"/>
                <w:szCs w:val="20"/>
              </w:rPr>
              <w:t>☁</w:t>
            </w:r>
            <w:proofErr w:type="gramStart"/>
            <w:r>
              <w:rPr>
                <w:b/>
                <w:bCs/>
                <w:color w:val="FFFFFF"/>
                <w:sz w:val="20"/>
                <w:szCs w:val="20"/>
              </w:rPr>
              <w:t>️  Cloud</w:t>
            </w:r>
            <w:proofErr w:type="gramEnd"/>
            <w:r>
              <w:rPr>
                <w:b/>
                <w:bCs/>
                <w:color w:val="FFFFFF"/>
                <w:sz w:val="20"/>
                <w:szCs w:val="20"/>
              </w:rPr>
              <w:t xml:space="preserve"> Computing</w:t>
            </w:r>
          </w:p>
        </w:tc>
        <w:tc>
          <w:tcPr>
            <w:tcW w:w="0" w:type="auto"/>
            <w:shd w:val="clear" w:color="auto" w:fill="B71C1C"/>
            <w:tcMar>
              <w:top w:w="120" w:type="dxa"/>
              <w:left w:w="160" w:type="dxa"/>
              <w:bottom w:w="120" w:type="dxa"/>
              <w:right w:w="160" w:type="dxa"/>
            </w:tcMar>
          </w:tcPr>
          <w:p w14:paraId="010795E9" w14:textId="77777777" w:rsidR="00C70B8E" w:rsidRDefault="00000000">
            <w:pPr>
              <w:jc w:val="center"/>
            </w:pPr>
            <w:proofErr w:type="gramStart"/>
            <w:r>
              <w:rPr>
                <w:b/>
                <w:bCs/>
                <w:color w:val="FFFFFF"/>
                <w:sz w:val="20"/>
                <w:szCs w:val="20"/>
              </w:rPr>
              <w:t>🏭  Data</w:t>
            </w:r>
            <w:proofErr w:type="gramEnd"/>
            <w:r>
              <w:rPr>
                <w:b/>
                <w:bCs/>
                <w:color w:val="FFFFFF"/>
                <w:sz w:val="20"/>
                <w:szCs w:val="20"/>
              </w:rPr>
              <w:t xml:space="preserve"> Centres</w:t>
            </w:r>
          </w:p>
        </w:tc>
      </w:tr>
    </w:tbl>
    <w:p w14:paraId="20B56F34" w14:textId="77777777" w:rsidR="00C70B8E" w:rsidRDefault="00C70B8E">
      <w:pPr>
        <w:spacing w:after="800"/>
      </w:pPr>
    </w:p>
    <w:p w14:paraId="6B77DFA3" w14:textId="77777777" w:rsidR="00C70B8E" w:rsidRDefault="00000000">
      <w:pPr>
        <w:jc w:val="center"/>
      </w:pPr>
      <w:r>
        <w:rPr>
          <w:i/>
          <w:iCs/>
          <w:color w:val="AAAAAA"/>
          <w:sz w:val="18"/>
          <w:szCs w:val="18"/>
        </w:rPr>
        <w:t xml:space="preserve">Supervisor </w:t>
      </w:r>
      <w:proofErr w:type="gramStart"/>
      <w:r>
        <w:rPr>
          <w:i/>
          <w:iCs/>
          <w:color w:val="AAAAAA"/>
          <w:sz w:val="18"/>
          <w:szCs w:val="18"/>
        </w:rPr>
        <w:t>Meeting  ·</w:t>
      </w:r>
      <w:proofErr w:type="gramEnd"/>
      <w:r>
        <w:rPr>
          <w:i/>
          <w:iCs/>
          <w:color w:val="AAAAAA"/>
          <w:sz w:val="18"/>
          <w:szCs w:val="18"/>
        </w:rPr>
        <w:t xml:space="preserve">  February 2026</w:t>
      </w:r>
    </w:p>
    <w:p w14:paraId="70CB6C2E" w14:textId="77777777" w:rsidR="00C70B8E" w:rsidRDefault="00000000">
      <w:r>
        <w:br/>
      </w:r>
    </w:p>
    <w:p w14:paraId="470221F6" w14:textId="77777777" w:rsidR="00C70B8E" w:rsidRDefault="00000000">
      <w:pPr>
        <w:pStyle w:val="Heading1"/>
      </w:pPr>
      <w:r>
        <w:t>Overview</w:t>
      </w:r>
    </w:p>
    <w:p w14:paraId="37DDC0F2" w14:textId="77777777" w:rsidR="00C70B8E" w:rsidRDefault="00000000">
      <w:pPr>
        <w:spacing w:before="60" w:after="80"/>
      </w:pPr>
      <w:r>
        <w:rPr>
          <w:color w:val="1A2340"/>
        </w:rPr>
        <w:t xml:space="preserve">The following document presents four ICT-focused research topic proposals for the Project 4 module (RME478S) at the Cape Peninsula University of Technology. Each topic has been developed with a clear South African context and global research </w:t>
      </w:r>
      <w:proofErr w:type="gramStart"/>
      <w:r>
        <w:rPr>
          <w:color w:val="1A2340"/>
        </w:rPr>
        <w:t>reach, and</w:t>
      </w:r>
      <w:proofErr w:type="gramEnd"/>
      <w:r>
        <w:rPr>
          <w:color w:val="1A2340"/>
        </w:rPr>
        <w:t xml:space="preserve"> is fully supported by published peer-reviewed journal articles, industry reports and policy documents. All proposed topics follow a document-based, qualitative systematic literature review methodology — aligned with the RME478S module requirements.</w:t>
      </w:r>
    </w:p>
    <w:p w14:paraId="513FD0F1" w14:textId="77777777" w:rsidR="00C70B8E" w:rsidRDefault="00000000">
      <w:pPr>
        <w:spacing w:before="60" w:after="80"/>
      </w:pPr>
      <w:r>
        <w:rPr>
          <w:color w:val="1A2340"/>
        </w:rPr>
        <w:t>For each topic, the document provides the full proposed research title, the aim of the study, the South African context, global reach, and research method. Three reading articles are also referenced per topic to support the proposal.</w:t>
      </w:r>
    </w:p>
    <w:p w14:paraId="183F7CE7" w14:textId="77777777" w:rsidR="00C70B8E" w:rsidRDefault="00C70B8E">
      <w:pPr>
        <w:spacing w:after="200"/>
      </w:pPr>
    </w:p>
    <w:p w14:paraId="56A76B1B" w14:textId="77777777" w:rsidR="00C70B8E" w:rsidRDefault="00000000">
      <w:pPr>
        <w:pBdr>
          <w:bottom w:val="single" w:sz="6" w:space="0" w:color="E8A020"/>
        </w:pBdr>
        <w:shd w:val="clear" w:color="auto" w:fill="1565C0"/>
        <w:spacing w:before="320" w:after="120"/>
      </w:pPr>
      <w:proofErr w:type="gramStart"/>
      <w:r>
        <w:rPr>
          <w:b/>
          <w:bCs/>
          <w:color w:val="FFFFFF"/>
        </w:rPr>
        <w:t>🔐  TOPIC</w:t>
      </w:r>
      <w:proofErr w:type="gramEnd"/>
      <w:r>
        <w:rPr>
          <w:b/>
          <w:bCs/>
          <w:color w:val="FFFFFF"/>
        </w:rPr>
        <w:t xml:space="preserve"> </w:t>
      </w:r>
      <w:proofErr w:type="gramStart"/>
      <w:r>
        <w:rPr>
          <w:b/>
          <w:bCs/>
          <w:color w:val="FFFFFF"/>
        </w:rPr>
        <w:t>1  ·</w:t>
      </w:r>
      <w:proofErr w:type="gramEnd"/>
      <w:r>
        <w:rPr>
          <w:b/>
          <w:bCs/>
          <w:color w:val="FFFFFF"/>
        </w:rPr>
        <w:t xml:space="preserve">  CYBERSECURITY</w:t>
      </w:r>
    </w:p>
    <w:p w14:paraId="6FC4C5B2" w14:textId="77777777" w:rsidR="00C70B8E" w:rsidRDefault="00C70B8E">
      <w:pPr>
        <w:spacing w:after="60"/>
      </w:pPr>
    </w:p>
    <w:p w14:paraId="6AE1242A" w14:textId="77777777" w:rsidR="00C70B8E" w:rsidRDefault="00000000">
      <w:pPr>
        <w:spacing w:before="200" w:after="60"/>
      </w:pPr>
      <w:r>
        <w:rPr>
          <w:b/>
          <w:bCs/>
          <w:color w:val="1565C0"/>
          <w:spacing w:val="40"/>
          <w:sz w:val="18"/>
          <w:szCs w:val="18"/>
        </w:rPr>
        <w:t>TOPIC</w:t>
      </w:r>
    </w:p>
    <w:tbl>
      <w:tblPr>
        <w:tblW w:w="9360" w:type="dxa"/>
        <w:tblBorders>
          <w:top w:val="single" w:sz="4" w:space="0" w:color="1565C0"/>
          <w:left w:val="single" w:sz="12" w:space="0" w:color="1565C0"/>
          <w:bottom w:val="single" w:sz="4" w:space="0" w:color="1565C0"/>
          <w:right w:val="single" w:sz="4" w:space="0" w:color="1565C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0B8E" w14:paraId="49A525C1" w14:textId="77777777">
        <w:tblPrEx>
          <w:tblCellMar>
            <w:top w:w="0" w:type="dxa"/>
            <w:bottom w:w="0" w:type="dxa"/>
          </w:tblCellMar>
        </w:tblPrEx>
        <w:tc>
          <w:tcPr>
            <w:tcW w:w="9360" w:type="dxa"/>
            <w:shd w:val="clear" w:color="auto" w:fill="F4F6FA"/>
            <w:tcMar>
              <w:top w:w="160" w:type="dxa"/>
              <w:left w:w="200" w:type="dxa"/>
              <w:bottom w:w="160" w:type="dxa"/>
              <w:right w:w="200" w:type="dxa"/>
            </w:tcMar>
          </w:tcPr>
          <w:p w14:paraId="5A354BAE" w14:textId="77777777" w:rsidR="00C70B8E" w:rsidRDefault="00000000">
            <w:r>
              <w:rPr>
                <w:b/>
                <w:bCs/>
                <w:color w:val="0D1B3E"/>
                <w:sz w:val="24"/>
                <w:szCs w:val="24"/>
              </w:rPr>
              <w:t>The Role of Human Error and Cybersecurity Awareness in Data Breaches within South African Organisations: A Review of Local Incidents and Global Behavioural Research</w:t>
            </w:r>
          </w:p>
        </w:tc>
      </w:tr>
    </w:tbl>
    <w:p w14:paraId="5FA64B42" w14:textId="77777777" w:rsidR="00C70B8E" w:rsidRDefault="00C70B8E">
      <w:pPr>
        <w:spacing w:after="100"/>
      </w:pPr>
    </w:p>
    <w:p w14:paraId="09A1FD45" w14:textId="77777777" w:rsidR="00C70B8E" w:rsidRDefault="00000000">
      <w:pPr>
        <w:spacing w:before="200" w:after="60"/>
      </w:pPr>
      <w:r>
        <w:rPr>
          <w:b/>
          <w:bCs/>
          <w:color w:val="334477"/>
          <w:spacing w:val="40"/>
          <w:sz w:val="18"/>
          <w:szCs w:val="18"/>
        </w:rPr>
        <w:t>AIM</w:t>
      </w:r>
    </w:p>
    <w:tbl>
      <w:tblPr>
        <w:tblW w:w="9360" w:type="dxa"/>
        <w:tblBorders>
          <w:top w:val="single" w:sz="4" w:space="0" w:color="334477"/>
          <w:left w:val="single" w:sz="12" w:space="0" w:color="334477"/>
          <w:bottom w:val="single" w:sz="4" w:space="0" w:color="334477"/>
          <w:right w:val="single" w:sz="4" w:space="0" w:color="334477"/>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0B8E" w14:paraId="483FD551" w14:textId="77777777">
        <w:tblPrEx>
          <w:tblCellMar>
            <w:top w:w="0" w:type="dxa"/>
            <w:bottom w:w="0" w:type="dxa"/>
          </w:tblCellMar>
        </w:tblPrEx>
        <w:tc>
          <w:tcPr>
            <w:tcW w:w="9360" w:type="dxa"/>
            <w:shd w:val="clear" w:color="auto" w:fill="F0F2F8"/>
            <w:tcMar>
              <w:top w:w="160" w:type="dxa"/>
              <w:left w:w="200" w:type="dxa"/>
              <w:bottom w:w="160" w:type="dxa"/>
              <w:right w:w="200" w:type="dxa"/>
            </w:tcMar>
          </w:tcPr>
          <w:p w14:paraId="267DEED3" w14:textId="77777777" w:rsidR="00C70B8E" w:rsidRDefault="00000000">
            <w:r>
              <w:rPr>
                <w:i/>
                <w:iCs/>
                <w:color w:val="4A5568"/>
              </w:rPr>
              <w:t>To investigate what published literature reveals about the relationship between human error, cybersecurity awareness training and the occurrence of data breaches in South African organisations, and to compare local practices and incidents with documented international approaches and findings.</w:t>
            </w:r>
          </w:p>
        </w:tc>
      </w:tr>
    </w:tbl>
    <w:p w14:paraId="53E754E6" w14:textId="77777777" w:rsidR="00C70B8E" w:rsidRDefault="00C70B8E">
      <w:pPr>
        <w:spacing w:after="120"/>
      </w:pPr>
    </w:p>
    <w:p w14:paraId="6CB0D88A" w14:textId="77777777" w:rsidR="00C70B8E" w:rsidRDefault="00000000">
      <w:pPr>
        <w:spacing w:before="200" w:after="60"/>
      </w:pPr>
      <w:r>
        <w:rPr>
          <w:b/>
          <w:bCs/>
          <w:color w:val="0D1B3E"/>
          <w:spacing w:val="40"/>
          <w:sz w:val="18"/>
          <w:szCs w:val="18"/>
        </w:rPr>
        <w:t xml:space="preserve">SOUTH AFRICAN </w:t>
      </w:r>
      <w:proofErr w:type="gramStart"/>
      <w:r>
        <w:rPr>
          <w:b/>
          <w:bCs/>
          <w:color w:val="0D1B3E"/>
          <w:spacing w:val="40"/>
          <w:sz w:val="18"/>
          <w:szCs w:val="18"/>
        </w:rPr>
        <w:t>CONTEXT  ·</w:t>
      </w:r>
      <w:proofErr w:type="gramEnd"/>
      <w:r>
        <w:rPr>
          <w:b/>
          <w:bCs/>
          <w:color w:val="0D1B3E"/>
          <w:spacing w:val="40"/>
          <w:sz w:val="18"/>
          <w:szCs w:val="18"/>
        </w:rPr>
        <w:t xml:space="preserve">  GLOBAL </w:t>
      </w:r>
      <w:proofErr w:type="gramStart"/>
      <w:r>
        <w:rPr>
          <w:b/>
          <w:bCs/>
          <w:color w:val="0D1B3E"/>
          <w:spacing w:val="40"/>
          <w:sz w:val="18"/>
          <w:szCs w:val="18"/>
        </w:rPr>
        <w:t>REACH  ·</w:t>
      </w:r>
      <w:proofErr w:type="gramEnd"/>
      <w:r>
        <w:rPr>
          <w:b/>
          <w:bCs/>
          <w:color w:val="0D1B3E"/>
          <w:spacing w:val="40"/>
          <w:sz w:val="18"/>
          <w:szCs w:val="18"/>
        </w:rPr>
        <w:t xml:space="preserve">  RESEARCH METHOD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0"/>
        <w:gridCol w:w="3060"/>
        <w:gridCol w:w="3240"/>
      </w:tblGrid>
      <w:tr w:rsidR="00C70B8E" w14:paraId="70117EA7" w14:textId="77777777">
        <w:tblPrEx>
          <w:tblCellMar>
            <w:top w:w="0" w:type="dxa"/>
            <w:bottom w:w="0" w:type="dxa"/>
          </w:tblCellMar>
        </w:tblPrEx>
        <w:tc>
          <w:tcPr>
            <w:tcW w:w="3060" w:type="dxa"/>
            <w:shd w:val="clear" w:color="auto" w:fill="1565C0"/>
            <w:tcMar>
              <w:top w:w="80" w:type="dxa"/>
              <w:left w:w="120" w:type="dxa"/>
              <w:bottom w:w="80" w:type="dxa"/>
              <w:right w:w="120" w:type="dxa"/>
            </w:tcMar>
          </w:tcPr>
          <w:p w14:paraId="57700FEE" w14:textId="77777777" w:rsidR="00C70B8E" w:rsidRDefault="00000000">
            <w:r>
              <w:rPr>
                <w:b/>
                <w:bCs/>
                <w:color w:val="FFFFFF"/>
                <w:sz w:val="18"/>
                <w:szCs w:val="18"/>
              </w:rPr>
              <w:t>🇿</w:t>
            </w:r>
            <w:proofErr w:type="gramStart"/>
            <w:r>
              <w:rPr>
                <w:b/>
                <w:bCs/>
                <w:color w:val="FFFFFF"/>
                <w:sz w:val="18"/>
                <w:szCs w:val="18"/>
              </w:rPr>
              <w:t>🇦  South</w:t>
            </w:r>
            <w:proofErr w:type="gramEnd"/>
            <w:r>
              <w:rPr>
                <w:b/>
                <w:bCs/>
                <w:color w:val="FFFFFF"/>
                <w:sz w:val="18"/>
                <w:szCs w:val="18"/>
              </w:rPr>
              <w:t xml:space="preserve"> African Context</w:t>
            </w:r>
          </w:p>
        </w:tc>
        <w:tc>
          <w:tcPr>
            <w:tcW w:w="3060" w:type="dxa"/>
            <w:shd w:val="clear" w:color="auto" w:fill="1565C0"/>
            <w:tcMar>
              <w:top w:w="80" w:type="dxa"/>
              <w:left w:w="120" w:type="dxa"/>
              <w:bottom w:w="80" w:type="dxa"/>
              <w:right w:w="120" w:type="dxa"/>
            </w:tcMar>
          </w:tcPr>
          <w:p w14:paraId="01200996" w14:textId="77777777" w:rsidR="00C70B8E" w:rsidRDefault="00000000">
            <w:proofErr w:type="gramStart"/>
            <w:r>
              <w:rPr>
                <w:b/>
                <w:bCs/>
                <w:color w:val="FFFFFF"/>
                <w:sz w:val="18"/>
                <w:szCs w:val="18"/>
              </w:rPr>
              <w:t>🌍  Global</w:t>
            </w:r>
            <w:proofErr w:type="gramEnd"/>
            <w:r>
              <w:rPr>
                <w:b/>
                <w:bCs/>
                <w:color w:val="FFFFFF"/>
                <w:sz w:val="18"/>
                <w:szCs w:val="18"/>
              </w:rPr>
              <w:t xml:space="preserve"> Reach</w:t>
            </w:r>
          </w:p>
        </w:tc>
        <w:tc>
          <w:tcPr>
            <w:tcW w:w="3240" w:type="dxa"/>
            <w:shd w:val="clear" w:color="auto" w:fill="334477"/>
            <w:tcMar>
              <w:top w:w="80" w:type="dxa"/>
              <w:left w:w="120" w:type="dxa"/>
              <w:bottom w:w="80" w:type="dxa"/>
              <w:right w:w="120" w:type="dxa"/>
            </w:tcMar>
          </w:tcPr>
          <w:p w14:paraId="451C7717" w14:textId="77777777" w:rsidR="00C70B8E" w:rsidRDefault="00000000">
            <w:r>
              <w:rPr>
                <w:b/>
                <w:bCs/>
                <w:color w:val="FFFFFF"/>
                <w:sz w:val="18"/>
                <w:szCs w:val="18"/>
              </w:rPr>
              <w:t>⚙</w:t>
            </w:r>
            <w:proofErr w:type="gramStart"/>
            <w:r>
              <w:rPr>
                <w:b/>
                <w:bCs/>
                <w:color w:val="FFFFFF"/>
                <w:sz w:val="18"/>
                <w:szCs w:val="18"/>
              </w:rPr>
              <w:t>️  Research</w:t>
            </w:r>
            <w:proofErr w:type="gramEnd"/>
            <w:r>
              <w:rPr>
                <w:b/>
                <w:bCs/>
                <w:color w:val="FFFFFF"/>
                <w:sz w:val="18"/>
                <w:szCs w:val="18"/>
              </w:rPr>
              <w:t xml:space="preserve"> Method</w:t>
            </w:r>
          </w:p>
        </w:tc>
      </w:tr>
      <w:tr w:rsidR="00C70B8E" w14:paraId="341DEDA2" w14:textId="77777777">
        <w:tblPrEx>
          <w:tblCellMar>
            <w:top w:w="0" w:type="dxa"/>
            <w:bottom w:w="0" w:type="dxa"/>
          </w:tblCellMar>
        </w:tblPrEx>
        <w:tc>
          <w:tcPr>
            <w:tcW w:w="3060" w:type="dxa"/>
            <w:shd w:val="clear" w:color="auto" w:fill="FAFBFD"/>
            <w:tcMar>
              <w:top w:w="100" w:type="dxa"/>
              <w:left w:w="120" w:type="dxa"/>
              <w:bottom w:w="100" w:type="dxa"/>
              <w:right w:w="120" w:type="dxa"/>
            </w:tcMar>
          </w:tcPr>
          <w:p w14:paraId="6A34B50A" w14:textId="77777777" w:rsidR="00C70B8E" w:rsidRDefault="00000000">
            <w:pPr>
              <w:pStyle w:val="ListParagraph"/>
              <w:numPr>
                <w:ilvl w:val="0"/>
                <w:numId w:val="2"/>
              </w:numPr>
              <w:spacing w:before="40" w:after="40"/>
            </w:pPr>
            <w:r>
              <w:rPr>
                <w:color w:val="1A2340"/>
                <w:sz w:val="20"/>
                <w:szCs w:val="20"/>
              </w:rPr>
              <w:t>2020 Experian SA breach — 24 million records exposed</w:t>
            </w:r>
          </w:p>
          <w:p w14:paraId="031241E3" w14:textId="77777777" w:rsidR="00C70B8E" w:rsidRDefault="00000000">
            <w:pPr>
              <w:pStyle w:val="ListParagraph"/>
              <w:numPr>
                <w:ilvl w:val="0"/>
                <w:numId w:val="2"/>
              </w:numPr>
              <w:spacing w:before="40" w:after="40"/>
            </w:pPr>
            <w:r>
              <w:rPr>
                <w:color w:val="1A2340"/>
                <w:sz w:val="20"/>
                <w:szCs w:val="20"/>
              </w:rPr>
              <w:t>POPIA enforcement and Information Regulator — 2,374 breaches reported in 2024/25</w:t>
            </w:r>
          </w:p>
          <w:p w14:paraId="6E76619A" w14:textId="77777777" w:rsidR="00C70B8E" w:rsidRDefault="00000000">
            <w:pPr>
              <w:pStyle w:val="ListParagraph"/>
              <w:numPr>
                <w:ilvl w:val="0"/>
                <w:numId w:val="2"/>
              </w:numPr>
              <w:spacing w:before="40" w:after="40"/>
            </w:pPr>
            <w:r>
              <w:rPr>
                <w:color w:val="1A2340"/>
                <w:sz w:val="20"/>
                <w:szCs w:val="20"/>
              </w:rPr>
              <w:t>Phishing &amp; social engineering rising across SA banking and government sectors</w:t>
            </w:r>
          </w:p>
        </w:tc>
        <w:tc>
          <w:tcPr>
            <w:tcW w:w="3060" w:type="dxa"/>
            <w:shd w:val="clear" w:color="auto" w:fill="FAFBFD"/>
            <w:tcMar>
              <w:top w:w="100" w:type="dxa"/>
              <w:left w:w="120" w:type="dxa"/>
              <w:bottom w:w="100" w:type="dxa"/>
              <w:right w:w="120" w:type="dxa"/>
            </w:tcMar>
          </w:tcPr>
          <w:p w14:paraId="4E8B3D5E" w14:textId="77777777" w:rsidR="00C70B8E" w:rsidRDefault="00000000">
            <w:pPr>
              <w:pStyle w:val="ListParagraph"/>
              <w:numPr>
                <w:ilvl w:val="0"/>
                <w:numId w:val="2"/>
              </w:numPr>
              <w:spacing w:before="40" w:after="40"/>
            </w:pPr>
            <w:r>
              <w:rPr>
                <w:color w:val="1A2340"/>
                <w:sz w:val="20"/>
                <w:szCs w:val="20"/>
              </w:rPr>
              <w:t>IBM Cost of a Data Breach Report (annual)</w:t>
            </w:r>
          </w:p>
          <w:p w14:paraId="4EBE299F" w14:textId="77777777" w:rsidR="00C70B8E" w:rsidRDefault="00000000">
            <w:pPr>
              <w:pStyle w:val="ListParagraph"/>
              <w:numPr>
                <w:ilvl w:val="0"/>
                <w:numId w:val="2"/>
              </w:numPr>
              <w:spacing w:before="40" w:after="40"/>
            </w:pPr>
            <w:r>
              <w:rPr>
                <w:color w:val="1A2340"/>
                <w:sz w:val="20"/>
                <w:szCs w:val="20"/>
              </w:rPr>
              <w:t>Verizon Data Breach Investigations Report</w:t>
            </w:r>
          </w:p>
          <w:p w14:paraId="704F96DE" w14:textId="77777777" w:rsidR="00C70B8E" w:rsidRDefault="00000000">
            <w:pPr>
              <w:pStyle w:val="ListParagraph"/>
              <w:numPr>
                <w:ilvl w:val="0"/>
                <w:numId w:val="2"/>
              </w:numPr>
              <w:spacing w:before="40" w:after="40"/>
            </w:pPr>
            <w:r>
              <w:rPr>
                <w:color w:val="1A2340"/>
                <w:sz w:val="20"/>
                <w:szCs w:val="20"/>
              </w:rPr>
              <w:t>SANS Institute security awareness research &amp; IEEE Access journals</w:t>
            </w:r>
          </w:p>
        </w:tc>
        <w:tc>
          <w:tcPr>
            <w:tcW w:w="3240" w:type="dxa"/>
            <w:shd w:val="clear" w:color="auto" w:fill="FAFBFD"/>
            <w:tcMar>
              <w:top w:w="100" w:type="dxa"/>
              <w:left w:w="120" w:type="dxa"/>
              <w:bottom w:w="100" w:type="dxa"/>
              <w:right w:w="120" w:type="dxa"/>
            </w:tcMar>
          </w:tcPr>
          <w:p w14:paraId="385BC83F" w14:textId="77777777" w:rsidR="00C70B8E" w:rsidRDefault="00000000">
            <w:r>
              <w:rPr>
                <w:i/>
                <w:iCs/>
                <w:color w:val="4A5568"/>
                <w:sz w:val="20"/>
                <w:szCs w:val="20"/>
              </w:rPr>
              <w:t>Qualitative systematic literature review — published documents, peer-reviewed articles and industry reports. No interviews or questionnaires.</w:t>
            </w:r>
          </w:p>
        </w:tc>
      </w:tr>
    </w:tbl>
    <w:p w14:paraId="7B322408" w14:textId="77777777" w:rsidR="00C70B8E" w:rsidRDefault="00C70B8E">
      <w:pPr>
        <w:spacing w:after="200"/>
      </w:pPr>
    </w:p>
    <w:p w14:paraId="4D9D5259" w14:textId="77777777" w:rsidR="00C70B8E" w:rsidRDefault="00000000">
      <w:pPr>
        <w:spacing w:before="200" w:after="60"/>
      </w:pPr>
      <w:r>
        <w:rPr>
          <w:b/>
          <w:bCs/>
          <w:color w:val="1565C0"/>
          <w:spacing w:val="40"/>
          <w:sz w:val="18"/>
          <w:szCs w:val="18"/>
        </w:rPr>
        <w:t>KEY READING ARTICLES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
        <w:gridCol w:w="8920"/>
      </w:tblGrid>
      <w:tr w:rsidR="00C70B8E" w14:paraId="02DEE775" w14:textId="77777777">
        <w:tblPrEx>
          <w:tblCellMar>
            <w:top w:w="0" w:type="dxa"/>
            <w:bottom w:w="0" w:type="dxa"/>
          </w:tblCellMar>
        </w:tblPrEx>
        <w:tc>
          <w:tcPr>
            <w:tcW w:w="440" w:type="dxa"/>
            <w:tcBorders>
              <w:bottom w:val="single" w:sz="2" w:space="0" w:color="DDDDDD"/>
            </w:tcBorders>
            <w:shd w:val="clear" w:color="auto" w:fill="1565C0"/>
            <w:tcMar>
              <w:top w:w="80" w:type="dxa"/>
              <w:left w:w="100" w:type="dxa"/>
              <w:bottom w:w="80" w:type="dxa"/>
              <w:right w:w="100" w:type="dxa"/>
            </w:tcMar>
            <w:vAlign w:val="center"/>
          </w:tcPr>
          <w:p w14:paraId="276CFB86" w14:textId="77777777" w:rsidR="00C70B8E" w:rsidRDefault="00000000">
            <w:pPr>
              <w:jc w:val="center"/>
            </w:pPr>
            <w:r>
              <w:rPr>
                <w:b/>
                <w:bCs/>
                <w:color w:val="FFFFFF"/>
                <w:sz w:val="20"/>
                <w:szCs w:val="20"/>
              </w:rPr>
              <w:t>1</w:t>
            </w:r>
          </w:p>
        </w:tc>
        <w:tc>
          <w:tcPr>
            <w:tcW w:w="8920" w:type="dxa"/>
            <w:tcBorders>
              <w:bottom w:val="single" w:sz="2" w:space="0" w:color="DDDDDD"/>
            </w:tcBorders>
            <w:tcMar>
              <w:top w:w="80" w:type="dxa"/>
              <w:left w:w="160" w:type="dxa"/>
              <w:bottom w:w="80" w:type="dxa"/>
              <w:right w:w="120" w:type="dxa"/>
            </w:tcMar>
          </w:tcPr>
          <w:p w14:paraId="1AF9F955" w14:textId="77777777" w:rsidR="00C70B8E" w:rsidRDefault="00000000">
            <w:r>
              <w:rPr>
                <w:color w:val="1A2340"/>
                <w:sz w:val="20"/>
                <w:szCs w:val="20"/>
              </w:rPr>
              <w:t>Kaspersky (2025) — Human Error Fuels Breaches as Cybersecurity Training Lags. IT-Online. Only 46% of SA professionals received cybersecurity training in the past year (Kaspersky, 2025).</w:t>
            </w:r>
          </w:p>
        </w:tc>
      </w:tr>
      <w:tr w:rsidR="00C70B8E" w14:paraId="3210AB0F" w14:textId="77777777">
        <w:tblPrEx>
          <w:tblCellMar>
            <w:top w:w="0" w:type="dxa"/>
            <w:bottom w:w="0" w:type="dxa"/>
          </w:tblCellMar>
        </w:tblPrEx>
        <w:tc>
          <w:tcPr>
            <w:tcW w:w="440" w:type="dxa"/>
            <w:tcBorders>
              <w:bottom w:val="single" w:sz="2" w:space="0" w:color="DDDDDD"/>
            </w:tcBorders>
            <w:shd w:val="clear" w:color="auto" w:fill="1565C0"/>
            <w:tcMar>
              <w:top w:w="80" w:type="dxa"/>
              <w:left w:w="100" w:type="dxa"/>
              <w:bottom w:w="80" w:type="dxa"/>
              <w:right w:w="100" w:type="dxa"/>
            </w:tcMar>
            <w:vAlign w:val="center"/>
          </w:tcPr>
          <w:p w14:paraId="3C62221C" w14:textId="77777777" w:rsidR="00C70B8E" w:rsidRDefault="00000000">
            <w:pPr>
              <w:jc w:val="center"/>
            </w:pPr>
            <w:r>
              <w:rPr>
                <w:b/>
                <w:bCs/>
                <w:color w:val="FFFFFF"/>
                <w:sz w:val="20"/>
                <w:szCs w:val="20"/>
              </w:rPr>
              <w:t>2</w:t>
            </w:r>
          </w:p>
        </w:tc>
        <w:tc>
          <w:tcPr>
            <w:tcW w:w="8920" w:type="dxa"/>
            <w:tcBorders>
              <w:bottom w:val="single" w:sz="2" w:space="0" w:color="DDDDDD"/>
            </w:tcBorders>
            <w:tcMar>
              <w:top w:w="80" w:type="dxa"/>
              <w:left w:w="160" w:type="dxa"/>
              <w:bottom w:w="80" w:type="dxa"/>
              <w:right w:w="120" w:type="dxa"/>
            </w:tcMar>
          </w:tcPr>
          <w:p w14:paraId="1BC36544" w14:textId="77777777" w:rsidR="00C70B8E" w:rsidRDefault="00000000">
            <w:r>
              <w:rPr>
                <w:color w:val="1A2340"/>
                <w:sz w:val="20"/>
                <w:szCs w:val="20"/>
              </w:rPr>
              <w:t>Mimecast (2025) — 95% of Data Breaches Involve Human Error. SC World. SA respondents most likely to fall for scams despite expressing highest confidence in identifying them (Mimecast, 2025).</w:t>
            </w:r>
          </w:p>
        </w:tc>
      </w:tr>
      <w:tr w:rsidR="00C70B8E" w14:paraId="250190B5" w14:textId="77777777">
        <w:tblPrEx>
          <w:tblCellMar>
            <w:top w:w="0" w:type="dxa"/>
            <w:bottom w:w="0" w:type="dxa"/>
          </w:tblCellMar>
        </w:tblPrEx>
        <w:tc>
          <w:tcPr>
            <w:tcW w:w="440" w:type="dxa"/>
            <w:tcBorders>
              <w:bottom w:val="single" w:sz="2" w:space="0" w:color="DDDDDD"/>
            </w:tcBorders>
            <w:shd w:val="clear" w:color="auto" w:fill="1565C0"/>
            <w:tcMar>
              <w:top w:w="80" w:type="dxa"/>
              <w:left w:w="100" w:type="dxa"/>
              <w:bottom w:w="80" w:type="dxa"/>
              <w:right w:w="100" w:type="dxa"/>
            </w:tcMar>
            <w:vAlign w:val="center"/>
          </w:tcPr>
          <w:p w14:paraId="447F319F" w14:textId="77777777" w:rsidR="00C70B8E" w:rsidRDefault="00000000">
            <w:pPr>
              <w:jc w:val="center"/>
            </w:pPr>
            <w:r>
              <w:rPr>
                <w:b/>
                <w:bCs/>
                <w:color w:val="FFFFFF"/>
                <w:sz w:val="20"/>
                <w:szCs w:val="20"/>
              </w:rPr>
              <w:t>3</w:t>
            </w:r>
          </w:p>
        </w:tc>
        <w:tc>
          <w:tcPr>
            <w:tcW w:w="8920" w:type="dxa"/>
            <w:tcBorders>
              <w:bottom w:val="single" w:sz="2" w:space="0" w:color="DDDDDD"/>
            </w:tcBorders>
            <w:tcMar>
              <w:top w:w="80" w:type="dxa"/>
              <w:left w:w="160" w:type="dxa"/>
              <w:bottom w:w="80" w:type="dxa"/>
              <w:right w:w="120" w:type="dxa"/>
            </w:tcMar>
          </w:tcPr>
          <w:p w14:paraId="5E9F6C10" w14:textId="77777777" w:rsidR="00C70B8E" w:rsidRDefault="00000000">
            <w:proofErr w:type="spellStart"/>
            <w:r>
              <w:rPr>
                <w:color w:val="1A2340"/>
                <w:sz w:val="20"/>
                <w:szCs w:val="20"/>
              </w:rPr>
              <w:t>TechCabal</w:t>
            </w:r>
            <w:proofErr w:type="spellEnd"/>
            <w:r>
              <w:rPr>
                <w:color w:val="1A2340"/>
                <w:sz w:val="20"/>
                <w:szCs w:val="20"/>
              </w:rPr>
              <w:t xml:space="preserve"> (2025) — Cyber Breaches in Africa Became Harder to Hide. SA's Information Regulator received 2,374 breach reports in 2024/25, 82% after April 2025 (</w:t>
            </w:r>
            <w:proofErr w:type="spellStart"/>
            <w:r>
              <w:rPr>
                <w:color w:val="1A2340"/>
                <w:sz w:val="20"/>
                <w:szCs w:val="20"/>
              </w:rPr>
              <w:t>TechCabal</w:t>
            </w:r>
            <w:proofErr w:type="spellEnd"/>
            <w:r>
              <w:rPr>
                <w:color w:val="1A2340"/>
                <w:sz w:val="20"/>
                <w:szCs w:val="20"/>
              </w:rPr>
              <w:t>, 2025).</w:t>
            </w:r>
          </w:p>
        </w:tc>
      </w:tr>
    </w:tbl>
    <w:p w14:paraId="48194300" w14:textId="77777777" w:rsidR="00C70B8E" w:rsidRDefault="00C70B8E">
      <w:pPr>
        <w:spacing w:after="200"/>
      </w:pPr>
    </w:p>
    <w:p w14:paraId="0C2C2946" w14:textId="77777777" w:rsidR="00C70B8E" w:rsidRDefault="00000000">
      <w:r>
        <w:br/>
      </w:r>
    </w:p>
    <w:p w14:paraId="153826D8" w14:textId="77777777" w:rsidR="00C70B8E" w:rsidRDefault="00000000">
      <w:pPr>
        <w:pBdr>
          <w:bottom w:val="single" w:sz="6" w:space="0" w:color="E8A020"/>
        </w:pBdr>
        <w:shd w:val="clear" w:color="auto" w:fill="00695C"/>
        <w:spacing w:before="320" w:after="120"/>
      </w:pPr>
      <w:proofErr w:type="gramStart"/>
      <w:r>
        <w:rPr>
          <w:b/>
          <w:bCs/>
          <w:color w:val="FFFFFF"/>
        </w:rPr>
        <w:t>💳  TOPIC</w:t>
      </w:r>
      <w:proofErr w:type="gramEnd"/>
      <w:r>
        <w:rPr>
          <w:b/>
          <w:bCs/>
          <w:color w:val="FFFFFF"/>
        </w:rPr>
        <w:t xml:space="preserve"> </w:t>
      </w:r>
      <w:proofErr w:type="gramStart"/>
      <w:r>
        <w:rPr>
          <w:b/>
          <w:bCs/>
          <w:color w:val="FFFFFF"/>
        </w:rPr>
        <w:t>2  ·</w:t>
      </w:r>
      <w:proofErr w:type="gramEnd"/>
      <w:r>
        <w:rPr>
          <w:b/>
          <w:bCs/>
          <w:color w:val="FFFFFF"/>
        </w:rPr>
        <w:t xml:space="preserve">  FINANCIAL TECHNOLOGY</w:t>
      </w:r>
    </w:p>
    <w:p w14:paraId="2636D9BA" w14:textId="77777777" w:rsidR="00C70B8E" w:rsidRDefault="00C70B8E">
      <w:pPr>
        <w:spacing w:after="60"/>
      </w:pPr>
    </w:p>
    <w:p w14:paraId="214B8352" w14:textId="77777777" w:rsidR="00C70B8E" w:rsidRDefault="00000000">
      <w:pPr>
        <w:spacing w:before="200" w:after="60"/>
      </w:pPr>
      <w:r>
        <w:rPr>
          <w:b/>
          <w:bCs/>
          <w:color w:val="00695C"/>
          <w:spacing w:val="40"/>
          <w:sz w:val="18"/>
          <w:szCs w:val="18"/>
        </w:rPr>
        <w:t>TOPIC</w:t>
      </w:r>
    </w:p>
    <w:tbl>
      <w:tblPr>
        <w:tblW w:w="9360" w:type="dxa"/>
        <w:tblBorders>
          <w:top w:val="single" w:sz="4" w:space="0" w:color="00695C"/>
          <w:left w:val="single" w:sz="12" w:space="0" w:color="00695C"/>
          <w:bottom w:val="single" w:sz="4" w:space="0" w:color="00695C"/>
          <w:right w:val="single" w:sz="4" w:space="0" w:color="00695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0B8E" w14:paraId="4EECAA7F" w14:textId="77777777">
        <w:tblPrEx>
          <w:tblCellMar>
            <w:top w:w="0" w:type="dxa"/>
            <w:bottom w:w="0" w:type="dxa"/>
          </w:tblCellMar>
        </w:tblPrEx>
        <w:tc>
          <w:tcPr>
            <w:tcW w:w="9360" w:type="dxa"/>
            <w:shd w:val="clear" w:color="auto" w:fill="F4F6FA"/>
            <w:tcMar>
              <w:top w:w="160" w:type="dxa"/>
              <w:left w:w="200" w:type="dxa"/>
              <w:bottom w:w="160" w:type="dxa"/>
              <w:right w:w="200" w:type="dxa"/>
            </w:tcMar>
          </w:tcPr>
          <w:p w14:paraId="68F9B6F4" w14:textId="77777777" w:rsidR="00C70B8E" w:rsidRDefault="00000000">
            <w:r>
              <w:rPr>
                <w:b/>
                <w:bCs/>
                <w:color w:val="0D1B3E"/>
                <w:sz w:val="24"/>
                <w:szCs w:val="24"/>
              </w:rPr>
              <w:t>Fintech Solutions as a Driver of Financial Inclusion in South Africa: A Comparative Analysis with Mobile Banking Models in Sub-Saharan Africa and Global Emerging Markets</w:t>
            </w:r>
          </w:p>
        </w:tc>
      </w:tr>
    </w:tbl>
    <w:p w14:paraId="6855ADA4" w14:textId="77777777" w:rsidR="00C70B8E" w:rsidRDefault="00C70B8E">
      <w:pPr>
        <w:spacing w:after="100"/>
      </w:pPr>
    </w:p>
    <w:p w14:paraId="39F34ECF" w14:textId="77777777" w:rsidR="00C70B8E" w:rsidRDefault="00000000">
      <w:pPr>
        <w:spacing w:before="200" w:after="60"/>
      </w:pPr>
      <w:r>
        <w:rPr>
          <w:b/>
          <w:bCs/>
          <w:color w:val="334477"/>
          <w:spacing w:val="40"/>
          <w:sz w:val="18"/>
          <w:szCs w:val="18"/>
        </w:rPr>
        <w:t>AIM</w:t>
      </w:r>
    </w:p>
    <w:tbl>
      <w:tblPr>
        <w:tblW w:w="9360" w:type="dxa"/>
        <w:tblBorders>
          <w:top w:val="single" w:sz="4" w:space="0" w:color="334477"/>
          <w:left w:val="single" w:sz="12" w:space="0" w:color="334477"/>
          <w:bottom w:val="single" w:sz="4" w:space="0" w:color="334477"/>
          <w:right w:val="single" w:sz="4" w:space="0" w:color="334477"/>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0B8E" w14:paraId="507729A4" w14:textId="77777777">
        <w:tblPrEx>
          <w:tblCellMar>
            <w:top w:w="0" w:type="dxa"/>
            <w:bottom w:w="0" w:type="dxa"/>
          </w:tblCellMar>
        </w:tblPrEx>
        <w:tc>
          <w:tcPr>
            <w:tcW w:w="9360" w:type="dxa"/>
            <w:shd w:val="clear" w:color="auto" w:fill="F0F2F8"/>
            <w:tcMar>
              <w:top w:w="160" w:type="dxa"/>
              <w:left w:w="200" w:type="dxa"/>
              <w:bottom w:w="160" w:type="dxa"/>
              <w:right w:w="200" w:type="dxa"/>
            </w:tcMar>
          </w:tcPr>
          <w:p w14:paraId="46233A0F" w14:textId="77777777" w:rsidR="00C70B8E" w:rsidRDefault="00000000">
            <w:r>
              <w:rPr>
                <w:i/>
                <w:iCs/>
                <w:color w:val="4A5568"/>
              </w:rPr>
              <w:lastRenderedPageBreak/>
              <w:t>To examine how fintech innovation has contributed to financial inclusion in South Africa, and to draw lessons from successful mobile banking implementations in Sub-Saharan Africa and other emerging markets by analysing published literature, industry reports and policy documents.</w:t>
            </w:r>
          </w:p>
        </w:tc>
      </w:tr>
    </w:tbl>
    <w:p w14:paraId="06854A67" w14:textId="77777777" w:rsidR="00C70B8E" w:rsidRDefault="00C70B8E">
      <w:pPr>
        <w:spacing w:after="120"/>
      </w:pPr>
    </w:p>
    <w:p w14:paraId="42841262" w14:textId="77777777" w:rsidR="00C70B8E" w:rsidRDefault="00000000">
      <w:pPr>
        <w:spacing w:before="200" w:after="60"/>
      </w:pPr>
      <w:r>
        <w:rPr>
          <w:b/>
          <w:bCs/>
          <w:color w:val="0D1B3E"/>
          <w:spacing w:val="40"/>
          <w:sz w:val="18"/>
          <w:szCs w:val="18"/>
        </w:rPr>
        <w:t xml:space="preserve">SOUTH AFRICAN </w:t>
      </w:r>
      <w:proofErr w:type="gramStart"/>
      <w:r>
        <w:rPr>
          <w:b/>
          <w:bCs/>
          <w:color w:val="0D1B3E"/>
          <w:spacing w:val="40"/>
          <w:sz w:val="18"/>
          <w:szCs w:val="18"/>
        </w:rPr>
        <w:t>CONTEXT  ·</w:t>
      </w:r>
      <w:proofErr w:type="gramEnd"/>
      <w:r>
        <w:rPr>
          <w:b/>
          <w:bCs/>
          <w:color w:val="0D1B3E"/>
          <w:spacing w:val="40"/>
          <w:sz w:val="18"/>
          <w:szCs w:val="18"/>
        </w:rPr>
        <w:t xml:space="preserve">  GLOBAL </w:t>
      </w:r>
      <w:proofErr w:type="gramStart"/>
      <w:r>
        <w:rPr>
          <w:b/>
          <w:bCs/>
          <w:color w:val="0D1B3E"/>
          <w:spacing w:val="40"/>
          <w:sz w:val="18"/>
          <w:szCs w:val="18"/>
        </w:rPr>
        <w:t>REACH  ·</w:t>
      </w:r>
      <w:proofErr w:type="gramEnd"/>
      <w:r>
        <w:rPr>
          <w:b/>
          <w:bCs/>
          <w:color w:val="0D1B3E"/>
          <w:spacing w:val="40"/>
          <w:sz w:val="18"/>
          <w:szCs w:val="18"/>
        </w:rPr>
        <w:t xml:space="preserve">  RESEARCH METHOD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0"/>
        <w:gridCol w:w="3060"/>
        <w:gridCol w:w="3240"/>
      </w:tblGrid>
      <w:tr w:rsidR="00C70B8E" w14:paraId="3C4BDF13" w14:textId="77777777">
        <w:tblPrEx>
          <w:tblCellMar>
            <w:top w:w="0" w:type="dxa"/>
            <w:bottom w:w="0" w:type="dxa"/>
          </w:tblCellMar>
        </w:tblPrEx>
        <w:tc>
          <w:tcPr>
            <w:tcW w:w="3060" w:type="dxa"/>
            <w:shd w:val="clear" w:color="auto" w:fill="00695C"/>
            <w:tcMar>
              <w:top w:w="80" w:type="dxa"/>
              <w:left w:w="120" w:type="dxa"/>
              <w:bottom w:w="80" w:type="dxa"/>
              <w:right w:w="120" w:type="dxa"/>
            </w:tcMar>
          </w:tcPr>
          <w:p w14:paraId="5FC1FF95" w14:textId="77777777" w:rsidR="00C70B8E" w:rsidRDefault="00000000">
            <w:r>
              <w:rPr>
                <w:b/>
                <w:bCs/>
                <w:color w:val="FFFFFF"/>
                <w:sz w:val="18"/>
                <w:szCs w:val="18"/>
              </w:rPr>
              <w:t>🇿</w:t>
            </w:r>
            <w:proofErr w:type="gramStart"/>
            <w:r>
              <w:rPr>
                <w:b/>
                <w:bCs/>
                <w:color w:val="FFFFFF"/>
                <w:sz w:val="18"/>
                <w:szCs w:val="18"/>
              </w:rPr>
              <w:t>🇦  South</w:t>
            </w:r>
            <w:proofErr w:type="gramEnd"/>
            <w:r>
              <w:rPr>
                <w:b/>
                <w:bCs/>
                <w:color w:val="FFFFFF"/>
                <w:sz w:val="18"/>
                <w:szCs w:val="18"/>
              </w:rPr>
              <w:t xml:space="preserve"> African Context</w:t>
            </w:r>
          </w:p>
        </w:tc>
        <w:tc>
          <w:tcPr>
            <w:tcW w:w="3060" w:type="dxa"/>
            <w:shd w:val="clear" w:color="auto" w:fill="1565C0"/>
            <w:tcMar>
              <w:top w:w="80" w:type="dxa"/>
              <w:left w:w="120" w:type="dxa"/>
              <w:bottom w:w="80" w:type="dxa"/>
              <w:right w:w="120" w:type="dxa"/>
            </w:tcMar>
          </w:tcPr>
          <w:p w14:paraId="3076E9FF" w14:textId="77777777" w:rsidR="00C70B8E" w:rsidRDefault="00000000">
            <w:proofErr w:type="gramStart"/>
            <w:r>
              <w:rPr>
                <w:b/>
                <w:bCs/>
                <w:color w:val="FFFFFF"/>
                <w:sz w:val="18"/>
                <w:szCs w:val="18"/>
              </w:rPr>
              <w:t>🌍  Global</w:t>
            </w:r>
            <w:proofErr w:type="gramEnd"/>
            <w:r>
              <w:rPr>
                <w:b/>
                <w:bCs/>
                <w:color w:val="FFFFFF"/>
                <w:sz w:val="18"/>
                <w:szCs w:val="18"/>
              </w:rPr>
              <w:t xml:space="preserve"> Reach</w:t>
            </w:r>
          </w:p>
        </w:tc>
        <w:tc>
          <w:tcPr>
            <w:tcW w:w="3240" w:type="dxa"/>
            <w:shd w:val="clear" w:color="auto" w:fill="334477"/>
            <w:tcMar>
              <w:top w:w="80" w:type="dxa"/>
              <w:left w:w="120" w:type="dxa"/>
              <w:bottom w:w="80" w:type="dxa"/>
              <w:right w:w="120" w:type="dxa"/>
            </w:tcMar>
          </w:tcPr>
          <w:p w14:paraId="5CFBA092" w14:textId="77777777" w:rsidR="00C70B8E" w:rsidRDefault="00000000">
            <w:r>
              <w:rPr>
                <w:b/>
                <w:bCs/>
                <w:color w:val="FFFFFF"/>
                <w:sz w:val="18"/>
                <w:szCs w:val="18"/>
              </w:rPr>
              <w:t>⚙</w:t>
            </w:r>
            <w:proofErr w:type="gramStart"/>
            <w:r>
              <w:rPr>
                <w:b/>
                <w:bCs/>
                <w:color w:val="FFFFFF"/>
                <w:sz w:val="18"/>
                <w:szCs w:val="18"/>
              </w:rPr>
              <w:t>️  Research</w:t>
            </w:r>
            <w:proofErr w:type="gramEnd"/>
            <w:r>
              <w:rPr>
                <w:b/>
                <w:bCs/>
                <w:color w:val="FFFFFF"/>
                <w:sz w:val="18"/>
                <w:szCs w:val="18"/>
              </w:rPr>
              <w:t xml:space="preserve"> Method</w:t>
            </w:r>
          </w:p>
        </w:tc>
      </w:tr>
      <w:tr w:rsidR="00C70B8E" w14:paraId="0280FFBF" w14:textId="77777777">
        <w:tblPrEx>
          <w:tblCellMar>
            <w:top w:w="0" w:type="dxa"/>
            <w:bottom w:w="0" w:type="dxa"/>
          </w:tblCellMar>
        </w:tblPrEx>
        <w:tc>
          <w:tcPr>
            <w:tcW w:w="3060" w:type="dxa"/>
            <w:shd w:val="clear" w:color="auto" w:fill="FAFBFD"/>
            <w:tcMar>
              <w:top w:w="100" w:type="dxa"/>
              <w:left w:w="120" w:type="dxa"/>
              <w:bottom w:w="100" w:type="dxa"/>
              <w:right w:w="120" w:type="dxa"/>
            </w:tcMar>
          </w:tcPr>
          <w:p w14:paraId="45B9B42B" w14:textId="77777777" w:rsidR="00C70B8E" w:rsidRDefault="00000000">
            <w:pPr>
              <w:pStyle w:val="ListParagraph"/>
              <w:numPr>
                <w:ilvl w:val="0"/>
                <w:numId w:val="2"/>
              </w:numPr>
              <w:spacing w:before="40" w:after="40"/>
            </w:pPr>
            <w:proofErr w:type="spellStart"/>
            <w:r>
              <w:rPr>
                <w:color w:val="1A2340"/>
                <w:sz w:val="20"/>
                <w:szCs w:val="20"/>
              </w:rPr>
              <w:t>TymeBank</w:t>
            </w:r>
            <w:proofErr w:type="spellEnd"/>
            <w:r>
              <w:rPr>
                <w:color w:val="1A2340"/>
                <w:sz w:val="20"/>
                <w:szCs w:val="20"/>
              </w:rPr>
              <w:t>, Capitec &amp; Discovery Bank mobile-first platforms</w:t>
            </w:r>
          </w:p>
          <w:p w14:paraId="0041AE6A" w14:textId="77777777" w:rsidR="00C70B8E" w:rsidRDefault="00000000">
            <w:pPr>
              <w:pStyle w:val="ListParagraph"/>
              <w:numPr>
                <w:ilvl w:val="0"/>
                <w:numId w:val="2"/>
              </w:numPr>
              <w:spacing w:before="40" w:after="40"/>
            </w:pPr>
            <w:r>
              <w:rPr>
                <w:color w:val="1A2340"/>
                <w:sz w:val="20"/>
                <w:szCs w:val="20"/>
              </w:rPr>
              <w:t>FSCA Fintech Innovation Hub regulatory framework</w:t>
            </w:r>
          </w:p>
          <w:p w14:paraId="72CCD559" w14:textId="77777777" w:rsidR="00C70B8E" w:rsidRDefault="00000000">
            <w:pPr>
              <w:pStyle w:val="ListParagraph"/>
              <w:numPr>
                <w:ilvl w:val="0"/>
                <w:numId w:val="2"/>
              </w:numPr>
              <w:spacing w:before="40" w:after="40"/>
            </w:pPr>
            <w:proofErr w:type="spellStart"/>
            <w:r>
              <w:rPr>
                <w:color w:val="1A2340"/>
                <w:sz w:val="20"/>
                <w:szCs w:val="20"/>
              </w:rPr>
              <w:t>FinMark</w:t>
            </w:r>
            <w:proofErr w:type="spellEnd"/>
            <w:r>
              <w:rPr>
                <w:color w:val="1A2340"/>
                <w:sz w:val="20"/>
                <w:szCs w:val="20"/>
              </w:rPr>
              <w:t xml:space="preserve"> Trust &amp; SARB financial inclusion reports</w:t>
            </w:r>
          </w:p>
        </w:tc>
        <w:tc>
          <w:tcPr>
            <w:tcW w:w="3060" w:type="dxa"/>
            <w:shd w:val="clear" w:color="auto" w:fill="FAFBFD"/>
            <w:tcMar>
              <w:top w:w="100" w:type="dxa"/>
              <w:left w:w="120" w:type="dxa"/>
              <w:bottom w:w="100" w:type="dxa"/>
              <w:right w:w="120" w:type="dxa"/>
            </w:tcMar>
          </w:tcPr>
          <w:p w14:paraId="3721A40E" w14:textId="77777777" w:rsidR="00C70B8E" w:rsidRDefault="00000000">
            <w:pPr>
              <w:pStyle w:val="ListParagraph"/>
              <w:numPr>
                <w:ilvl w:val="0"/>
                <w:numId w:val="2"/>
              </w:numPr>
              <w:spacing w:before="40" w:after="40"/>
            </w:pPr>
            <w:r>
              <w:rPr>
                <w:color w:val="1A2340"/>
                <w:sz w:val="20"/>
                <w:szCs w:val="20"/>
              </w:rPr>
              <w:t>Kenya M-Pesa — global benchmark for mobile money</w:t>
            </w:r>
          </w:p>
          <w:p w14:paraId="209F8488" w14:textId="77777777" w:rsidR="00C70B8E" w:rsidRDefault="00000000">
            <w:pPr>
              <w:pStyle w:val="ListParagraph"/>
              <w:numPr>
                <w:ilvl w:val="0"/>
                <w:numId w:val="2"/>
              </w:numPr>
              <w:spacing w:before="40" w:after="40"/>
            </w:pPr>
            <w:r>
              <w:rPr>
                <w:color w:val="1A2340"/>
                <w:sz w:val="20"/>
                <w:szCs w:val="20"/>
              </w:rPr>
              <w:t xml:space="preserve">India UPI &amp; Brazil </w:t>
            </w:r>
            <w:proofErr w:type="spellStart"/>
            <w:r>
              <w:rPr>
                <w:color w:val="1A2340"/>
                <w:sz w:val="20"/>
                <w:szCs w:val="20"/>
              </w:rPr>
              <w:t>Pix</w:t>
            </w:r>
            <w:proofErr w:type="spellEnd"/>
            <w:r>
              <w:rPr>
                <w:color w:val="1A2340"/>
                <w:sz w:val="20"/>
                <w:szCs w:val="20"/>
              </w:rPr>
              <w:t xml:space="preserve"> digital payment systems</w:t>
            </w:r>
          </w:p>
          <w:p w14:paraId="22AC07E9" w14:textId="77777777" w:rsidR="00C70B8E" w:rsidRDefault="00000000">
            <w:pPr>
              <w:pStyle w:val="ListParagraph"/>
              <w:numPr>
                <w:ilvl w:val="0"/>
                <w:numId w:val="2"/>
              </w:numPr>
              <w:spacing w:before="40" w:after="40"/>
            </w:pPr>
            <w:r>
              <w:rPr>
                <w:color w:val="1A2340"/>
                <w:sz w:val="20"/>
                <w:szCs w:val="20"/>
              </w:rPr>
              <w:t>World Bank &amp; FATF global financial inclusion reports</w:t>
            </w:r>
          </w:p>
        </w:tc>
        <w:tc>
          <w:tcPr>
            <w:tcW w:w="3240" w:type="dxa"/>
            <w:shd w:val="clear" w:color="auto" w:fill="FAFBFD"/>
            <w:tcMar>
              <w:top w:w="100" w:type="dxa"/>
              <w:left w:w="120" w:type="dxa"/>
              <w:bottom w:w="100" w:type="dxa"/>
              <w:right w:w="120" w:type="dxa"/>
            </w:tcMar>
          </w:tcPr>
          <w:p w14:paraId="3CB83975" w14:textId="77777777" w:rsidR="00C70B8E" w:rsidRDefault="00000000">
            <w:r>
              <w:rPr>
                <w:i/>
                <w:iCs/>
                <w:color w:val="4A5568"/>
                <w:sz w:val="20"/>
                <w:szCs w:val="20"/>
              </w:rPr>
              <w:t>Qualitative systematic literature review — published journal articles, industry and policy reports. No interviews or questionnaires.</w:t>
            </w:r>
          </w:p>
        </w:tc>
      </w:tr>
    </w:tbl>
    <w:p w14:paraId="29DFE561" w14:textId="77777777" w:rsidR="00C70B8E" w:rsidRDefault="00C70B8E">
      <w:pPr>
        <w:spacing w:after="200"/>
      </w:pPr>
    </w:p>
    <w:p w14:paraId="0D6F8D6A" w14:textId="77777777" w:rsidR="00C70B8E" w:rsidRDefault="00000000">
      <w:pPr>
        <w:spacing w:before="200" w:after="60"/>
      </w:pPr>
      <w:r>
        <w:rPr>
          <w:b/>
          <w:bCs/>
          <w:color w:val="00695C"/>
          <w:spacing w:val="40"/>
          <w:sz w:val="18"/>
          <w:szCs w:val="18"/>
        </w:rPr>
        <w:t>KEY READING ARTICLES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
        <w:gridCol w:w="8920"/>
      </w:tblGrid>
      <w:tr w:rsidR="00C70B8E" w14:paraId="5A6FDA60" w14:textId="77777777">
        <w:tblPrEx>
          <w:tblCellMar>
            <w:top w:w="0" w:type="dxa"/>
            <w:bottom w:w="0" w:type="dxa"/>
          </w:tblCellMar>
        </w:tblPrEx>
        <w:tc>
          <w:tcPr>
            <w:tcW w:w="440" w:type="dxa"/>
            <w:tcBorders>
              <w:bottom w:val="single" w:sz="2" w:space="0" w:color="DDDDDD"/>
            </w:tcBorders>
            <w:shd w:val="clear" w:color="auto" w:fill="00695C"/>
            <w:tcMar>
              <w:top w:w="80" w:type="dxa"/>
              <w:left w:w="100" w:type="dxa"/>
              <w:bottom w:w="80" w:type="dxa"/>
              <w:right w:w="100" w:type="dxa"/>
            </w:tcMar>
            <w:vAlign w:val="center"/>
          </w:tcPr>
          <w:p w14:paraId="0B90D774" w14:textId="77777777" w:rsidR="00C70B8E" w:rsidRDefault="00000000">
            <w:pPr>
              <w:jc w:val="center"/>
            </w:pPr>
            <w:r>
              <w:rPr>
                <w:b/>
                <w:bCs/>
                <w:color w:val="FFFFFF"/>
                <w:sz w:val="20"/>
                <w:szCs w:val="20"/>
              </w:rPr>
              <w:t>1</w:t>
            </w:r>
          </w:p>
        </w:tc>
        <w:tc>
          <w:tcPr>
            <w:tcW w:w="8920" w:type="dxa"/>
            <w:tcBorders>
              <w:bottom w:val="single" w:sz="2" w:space="0" w:color="DDDDDD"/>
            </w:tcBorders>
            <w:tcMar>
              <w:top w:w="80" w:type="dxa"/>
              <w:left w:w="160" w:type="dxa"/>
              <w:bottom w:w="80" w:type="dxa"/>
              <w:right w:w="120" w:type="dxa"/>
            </w:tcMar>
          </w:tcPr>
          <w:p w14:paraId="4EA63C9B" w14:textId="77777777" w:rsidR="00C70B8E" w:rsidRDefault="00000000">
            <w:r>
              <w:rPr>
                <w:color w:val="1A2340"/>
                <w:sz w:val="20"/>
                <w:szCs w:val="20"/>
              </w:rPr>
              <w:t>World Bank / Fintech News Africa (2025) — Mobile Money Drives Surge in Financial Inclusion. 40% of Sub-Saharan African adults had mobile money accounts in 2024, up from 27% in 2021 (World Bank, 2025).</w:t>
            </w:r>
          </w:p>
        </w:tc>
      </w:tr>
      <w:tr w:rsidR="00C70B8E" w14:paraId="0AD82CBC" w14:textId="77777777">
        <w:tblPrEx>
          <w:tblCellMar>
            <w:top w:w="0" w:type="dxa"/>
            <w:bottom w:w="0" w:type="dxa"/>
          </w:tblCellMar>
        </w:tblPrEx>
        <w:tc>
          <w:tcPr>
            <w:tcW w:w="440" w:type="dxa"/>
            <w:tcBorders>
              <w:bottom w:val="single" w:sz="2" w:space="0" w:color="DDDDDD"/>
            </w:tcBorders>
            <w:shd w:val="clear" w:color="auto" w:fill="00695C"/>
            <w:tcMar>
              <w:top w:w="80" w:type="dxa"/>
              <w:left w:w="100" w:type="dxa"/>
              <w:bottom w:w="80" w:type="dxa"/>
              <w:right w:w="100" w:type="dxa"/>
            </w:tcMar>
            <w:vAlign w:val="center"/>
          </w:tcPr>
          <w:p w14:paraId="10198D70" w14:textId="77777777" w:rsidR="00C70B8E" w:rsidRDefault="00000000">
            <w:pPr>
              <w:jc w:val="center"/>
            </w:pPr>
            <w:r>
              <w:rPr>
                <w:b/>
                <w:bCs/>
                <w:color w:val="FFFFFF"/>
                <w:sz w:val="20"/>
                <w:szCs w:val="20"/>
              </w:rPr>
              <w:t>2</w:t>
            </w:r>
          </w:p>
        </w:tc>
        <w:tc>
          <w:tcPr>
            <w:tcW w:w="8920" w:type="dxa"/>
            <w:tcBorders>
              <w:bottom w:val="single" w:sz="2" w:space="0" w:color="DDDDDD"/>
            </w:tcBorders>
            <w:tcMar>
              <w:top w:w="80" w:type="dxa"/>
              <w:left w:w="160" w:type="dxa"/>
              <w:bottom w:w="80" w:type="dxa"/>
              <w:right w:w="120" w:type="dxa"/>
            </w:tcMar>
          </w:tcPr>
          <w:p w14:paraId="3F53BF21" w14:textId="77777777" w:rsidR="00C70B8E" w:rsidRDefault="00000000">
            <w:r>
              <w:rPr>
                <w:color w:val="1A2340"/>
                <w:sz w:val="20"/>
                <w:szCs w:val="20"/>
              </w:rPr>
              <w:t>ScienceDirect (2024) — Mobile Fintech Adoption in Sub-Saharan Africa: A Systematic Literature Review. Perceived ease of use and usefulness are top drivers of fintech adoption (Mhlanga &amp; Denhere, 2024).</w:t>
            </w:r>
          </w:p>
        </w:tc>
      </w:tr>
      <w:tr w:rsidR="00C70B8E" w14:paraId="1D5F0011" w14:textId="77777777">
        <w:tblPrEx>
          <w:tblCellMar>
            <w:top w:w="0" w:type="dxa"/>
            <w:bottom w:w="0" w:type="dxa"/>
          </w:tblCellMar>
        </w:tblPrEx>
        <w:tc>
          <w:tcPr>
            <w:tcW w:w="440" w:type="dxa"/>
            <w:tcBorders>
              <w:bottom w:val="single" w:sz="2" w:space="0" w:color="DDDDDD"/>
            </w:tcBorders>
            <w:shd w:val="clear" w:color="auto" w:fill="00695C"/>
            <w:tcMar>
              <w:top w:w="80" w:type="dxa"/>
              <w:left w:w="100" w:type="dxa"/>
              <w:bottom w:w="80" w:type="dxa"/>
              <w:right w:w="100" w:type="dxa"/>
            </w:tcMar>
            <w:vAlign w:val="center"/>
          </w:tcPr>
          <w:p w14:paraId="2238D050" w14:textId="77777777" w:rsidR="00C70B8E" w:rsidRDefault="00000000">
            <w:pPr>
              <w:jc w:val="center"/>
            </w:pPr>
            <w:r>
              <w:rPr>
                <w:b/>
                <w:bCs/>
                <w:color w:val="FFFFFF"/>
                <w:sz w:val="20"/>
                <w:szCs w:val="20"/>
              </w:rPr>
              <w:t>3</w:t>
            </w:r>
          </w:p>
        </w:tc>
        <w:tc>
          <w:tcPr>
            <w:tcW w:w="8920" w:type="dxa"/>
            <w:tcBorders>
              <w:bottom w:val="single" w:sz="2" w:space="0" w:color="DDDDDD"/>
            </w:tcBorders>
            <w:tcMar>
              <w:top w:w="80" w:type="dxa"/>
              <w:left w:w="160" w:type="dxa"/>
              <w:bottom w:w="80" w:type="dxa"/>
              <w:right w:w="120" w:type="dxa"/>
            </w:tcMar>
          </w:tcPr>
          <w:p w14:paraId="789C4063" w14:textId="77777777" w:rsidR="00C70B8E" w:rsidRDefault="00000000">
            <w:r>
              <w:rPr>
                <w:color w:val="1A2340"/>
                <w:sz w:val="20"/>
                <w:szCs w:val="20"/>
              </w:rPr>
              <w:t>US EXIM Bank (2024) — South Africa's Growing Fintech Sector. SA positioned as leading African fintech player driven by regulation, digital payments, and mobile banking (US EXIM, 2024).</w:t>
            </w:r>
          </w:p>
        </w:tc>
      </w:tr>
    </w:tbl>
    <w:p w14:paraId="60924771" w14:textId="77777777" w:rsidR="00C70B8E" w:rsidRDefault="00C70B8E">
      <w:pPr>
        <w:spacing w:after="200"/>
      </w:pPr>
    </w:p>
    <w:p w14:paraId="66CBADE3" w14:textId="77777777" w:rsidR="00C70B8E" w:rsidRDefault="00000000">
      <w:r>
        <w:br/>
      </w:r>
    </w:p>
    <w:p w14:paraId="2EDAD6A0" w14:textId="77777777" w:rsidR="00C70B8E" w:rsidRDefault="00000000">
      <w:pPr>
        <w:pBdr>
          <w:bottom w:val="single" w:sz="6" w:space="0" w:color="E8A020"/>
        </w:pBdr>
        <w:shd w:val="clear" w:color="auto" w:fill="6A1B9A"/>
        <w:spacing w:before="320" w:after="120"/>
      </w:pPr>
      <w:r>
        <w:rPr>
          <w:b/>
          <w:bCs/>
          <w:color w:val="FFFFFF"/>
        </w:rPr>
        <w:t>☁</w:t>
      </w:r>
      <w:proofErr w:type="gramStart"/>
      <w:r>
        <w:rPr>
          <w:b/>
          <w:bCs/>
          <w:color w:val="FFFFFF"/>
        </w:rPr>
        <w:t>️  TOPIC</w:t>
      </w:r>
      <w:proofErr w:type="gramEnd"/>
      <w:r>
        <w:rPr>
          <w:b/>
          <w:bCs/>
          <w:color w:val="FFFFFF"/>
        </w:rPr>
        <w:t xml:space="preserve"> </w:t>
      </w:r>
      <w:proofErr w:type="gramStart"/>
      <w:r>
        <w:rPr>
          <w:b/>
          <w:bCs/>
          <w:color w:val="FFFFFF"/>
        </w:rPr>
        <w:t>3  ·</w:t>
      </w:r>
      <w:proofErr w:type="gramEnd"/>
      <w:r>
        <w:rPr>
          <w:b/>
          <w:bCs/>
          <w:color w:val="FFFFFF"/>
        </w:rPr>
        <w:t xml:space="preserve">  CLOUD COMPUTING</w:t>
      </w:r>
    </w:p>
    <w:p w14:paraId="1C6886F4" w14:textId="77777777" w:rsidR="00C70B8E" w:rsidRDefault="00C70B8E">
      <w:pPr>
        <w:spacing w:after="60"/>
      </w:pPr>
    </w:p>
    <w:p w14:paraId="710DF569" w14:textId="77777777" w:rsidR="00C70B8E" w:rsidRDefault="00000000">
      <w:pPr>
        <w:spacing w:before="200" w:after="60"/>
      </w:pPr>
      <w:r>
        <w:rPr>
          <w:b/>
          <w:bCs/>
          <w:color w:val="6A1B9A"/>
          <w:spacing w:val="40"/>
          <w:sz w:val="18"/>
          <w:szCs w:val="18"/>
        </w:rPr>
        <w:t>TOPIC</w:t>
      </w:r>
    </w:p>
    <w:tbl>
      <w:tblPr>
        <w:tblW w:w="9360" w:type="dxa"/>
        <w:tblBorders>
          <w:top w:val="single" w:sz="4" w:space="0" w:color="6A1B9A"/>
          <w:left w:val="single" w:sz="12" w:space="0" w:color="6A1B9A"/>
          <w:bottom w:val="single" w:sz="4" w:space="0" w:color="6A1B9A"/>
          <w:right w:val="single" w:sz="4" w:space="0" w:color="6A1B9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0B8E" w14:paraId="1403FFC5" w14:textId="77777777">
        <w:tblPrEx>
          <w:tblCellMar>
            <w:top w:w="0" w:type="dxa"/>
            <w:bottom w:w="0" w:type="dxa"/>
          </w:tblCellMar>
        </w:tblPrEx>
        <w:tc>
          <w:tcPr>
            <w:tcW w:w="9360" w:type="dxa"/>
            <w:shd w:val="clear" w:color="auto" w:fill="F4F6FA"/>
            <w:tcMar>
              <w:top w:w="160" w:type="dxa"/>
              <w:left w:w="200" w:type="dxa"/>
              <w:bottom w:w="160" w:type="dxa"/>
              <w:right w:w="200" w:type="dxa"/>
            </w:tcMar>
          </w:tcPr>
          <w:p w14:paraId="3F8CB4E1" w14:textId="77777777" w:rsidR="00C70B8E" w:rsidRDefault="00000000">
            <w:r>
              <w:rPr>
                <w:b/>
                <w:bCs/>
                <w:color w:val="0D1B3E"/>
                <w:sz w:val="24"/>
                <w:szCs w:val="24"/>
              </w:rPr>
              <w:t>Barriers to Cloud Computing Adoption among Small and Medium Enterprises in South Africa: A Comparative Review of Challenges and Enabling Strategies in Global Emerging Market Contexts</w:t>
            </w:r>
          </w:p>
        </w:tc>
      </w:tr>
    </w:tbl>
    <w:p w14:paraId="7877EED9" w14:textId="77777777" w:rsidR="00C70B8E" w:rsidRDefault="00C70B8E">
      <w:pPr>
        <w:spacing w:after="100"/>
      </w:pPr>
    </w:p>
    <w:p w14:paraId="2C12E335" w14:textId="77777777" w:rsidR="00C70B8E" w:rsidRDefault="00000000">
      <w:pPr>
        <w:spacing w:before="200" w:after="60"/>
      </w:pPr>
      <w:r>
        <w:rPr>
          <w:b/>
          <w:bCs/>
          <w:color w:val="334477"/>
          <w:spacing w:val="40"/>
          <w:sz w:val="18"/>
          <w:szCs w:val="18"/>
        </w:rPr>
        <w:t>AIM</w:t>
      </w:r>
    </w:p>
    <w:tbl>
      <w:tblPr>
        <w:tblW w:w="9360" w:type="dxa"/>
        <w:tblBorders>
          <w:top w:val="single" w:sz="4" w:space="0" w:color="334477"/>
          <w:left w:val="single" w:sz="12" w:space="0" w:color="334477"/>
          <w:bottom w:val="single" w:sz="4" w:space="0" w:color="334477"/>
          <w:right w:val="single" w:sz="4" w:space="0" w:color="334477"/>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0B8E" w14:paraId="7153A294" w14:textId="77777777">
        <w:tblPrEx>
          <w:tblCellMar>
            <w:top w:w="0" w:type="dxa"/>
            <w:bottom w:w="0" w:type="dxa"/>
          </w:tblCellMar>
        </w:tblPrEx>
        <w:tc>
          <w:tcPr>
            <w:tcW w:w="9360" w:type="dxa"/>
            <w:shd w:val="clear" w:color="auto" w:fill="F0F2F8"/>
            <w:tcMar>
              <w:top w:w="160" w:type="dxa"/>
              <w:left w:w="200" w:type="dxa"/>
              <w:bottom w:w="160" w:type="dxa"/>
              <w:right w:w="200" w:type="dxa"/>
            </w:tcMar>
          </w:tcPr>
          <w:p w14:paraId="6BA34324" w14:textId="77777777" w:rsidR="00C70B8E" w:rsidRDefault="00000000">
            <w:r>
              <w:rPr>
                <w:i/>
                <w:iCs/>
                <w:color w:val="4A5568"/>
              </w:rPr>
              <w:t>To identify and analyse the barriers that hinder cloud computing adoption among South African SMEs, and to compare these challenges and documented enabling strategies with findings from peer-reviewed literature in comparable emerging markets such as Nigeria, India, Malaysia and Brazil.</w:t>
            </w:r>
          </w:p>
        </w:tc>
      </w:tr>
    </w:tbl>
    <w:p w14:paraId="3090F430" w14:textId="77777777" w:rsidR="00C70B8E" w:rsidRDefault="00C70B8E">
      <w:pPr>
        <w:spacing w:after="120"/>
      </w:pPr>
    </w:p>
    <w:p w14:paraId="43F4A8FC" w14:textId="77777777" w:rsidR="00C70B8E" w:rsidRDefault="00000000">
      <w:pPr>
        <w:spacing w:before="200" w:after="60"/>
      </w:pPr>
      <w:r>
        <w:rPr>
          <w:b/>
          <w:bCs/>
          <w:color w:val="0D1B3E"/>
          <w:spacing w:val="40"/>
          <w:sz w:val="18"/>
          <w:szCs w:val="18"/>
        </w:rPr>
        <w:t xml:space="preserve">SOUTH AFRICAN </w:t>
      </w:r>
      <w:proofErr w:type="gramStart"/>
      <w:r>
        <w:rPr>
          <w:b/>
          <w:bCs/>
          <w:color w:val="0D1B3E"/>
          <w:spacing w:val="40"/>
          <w:sz w:val="18"/>
          <w:szCs w:val="18"/>
        </w:rPr>
        <w:t>CONTEXT  ·</w:t>
      </w:r>
      <w:proofErr w:type="gramEnd"/>
      <w:r>
        <w:rPr>
          <w:b/>
          <w:bCs/>
          <w:color w:val="0D1B3E"/>
          <w:spacing w:val="40"/>
          <w:sz w:val="18"/>
          <w:szCs w:val="18"/>
        </w:rPr>
        <w:t xml:space="preserve">  GLOBAL </w:t>
      </w:r>
      <w:proofErr w:type="gramStart"/>
      <w:r>
        <w:rPr>
          <w:b/>
          <w:bCs/>
          <w:color w:val="0D1B3E"/>
          <w:spacing w:val="40"/>
          <w:sz w:val="18"/>
          <w:szCs w:val="18"/>
        </w:rPr>
        <w:t>REACH  ·</w:t>
      </w:r>
      <w:proofErr w:type="gramEnd"/>
      <w:r>
        <w:rPr>
          <w:b/>
          <w:bCs/>
          <w:color w:val="0D1B3E"/>
          <w:spacing w:val="40"/>
          <w:sz w:val="18"/>
          <w:szCs w:val="18"/>
        </w:rPr>
        <w:t xml:space="preserve">  RESEARCH METHOD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0"/>
        <w:gridCol w:w="3060"/>
        <w:gridCol w:w="3240"/>
      </w:tblGrid>
      <w:tr w:rsidR="00C70B8E" w14:paraId="15364DAC" w14:textId="77777777">
        <w:tblPrEx>
          <w:tblCellMar>
            <w:top w:w="0" w:type="dxa"/>
            <w:bottom w:w="0" w:type="dxa"/>
          </w:tblCellMar>
        </w:tblPrEx>
        <w:tc>
          <w:tcPr>
            <w:tcW w:w="3060" w:type="dxa"/>
            <w:shd w:val="clear" w:color="auto" w:fill="6A1B9A"/>
            <w:tcMar>
              <w:top w:w="80" w:type="dxa"/>
              <w:left w:w="120" w:type="dxa"/>
              <w:bottom w:w="80" w:type="dxa"/>
              <w:right w:w="120" w:type="dxa"/>
            </w:tcMar>
          </w:tcPr>
          <w:p w14:paraId="1C039355" w14:textId="77777777" w:rsidR="00C70B8E" w:rsidRDefault="00000000">
            <w:r>
              <w:rPr>
                <w:b/>
                <w:bCs/>
                <w:color w:val="FFFFFF"/>
                <w:sz w:val="18"/>
                <w:szCs w:val="18"/>
              </w:rPr>
              <w:lastRenderedPageBreak/>
              <w:t>🇿</w:t>
            </w:r>
            <w:proofErr w:type="gramStart"/>
            <w:r>
              <w:rPr>
                <w:b/>
                <w:bCs/>
                <w:color w:val="FFFFFF"/>
                <w:sz w:val="18"/>
                <w:szCs w:val="18"/>
              </w:rPr>
              <w:t>🇦  South</w:t>
            </w:r>
            <w:proofErr w:type="gramEnd"/>
            <w:r>
              <w:rPr>
                <w:b/>
                <w:bCs/>
                <w:color w:val="FFFFFF"/>
                <w:sz w:val="18"/>
                <w:szCs w:val="18"/>
              </w:rPr>
              <w:t xml:space="preserve"> African Context</w:t>
            </w:r>
          </w:p>
        </w:tc>
        <w:tc>
          <w:tcPr>
            <w:tcW w:w="3060" w:type="dxa"/>
            <w:shd w:val="clear" w:color="auto" w:fill="1565C0"/>
            <w:tcMar>
              <w:top w:w="80" w:type="dxa"/>
              <w:left w:w="120" w:type="dxa"/>
              <w:bottom w:w="80" w:type="dxa"/>
              <w:right w:w="120" w:type="dxa"/>
            </w:tcMar>
          </w:tcPr>
          <w:p w14:paraId="5037D7CE" w14:textId="77777777" w:rsidR="00C70B8E" w:rsidRDefault="00000000">
            <w:proofErr w:type="gramStart"/>
            <w:r>
              <w:rPr>
                <w:b/>
                <w:bCs/>
                <w:color w:val="FFFFFF"/>
                <w:sz w:val="18"/>
                <w:szCs w:val="18"/>
              </w:rPr>
              <w:t>🌍  Global</w:t>
            </w:r>
            <w:proofErr w:type="gramEnd"/>
            <w:r>
              <w:rPr>
                <w:b/>
                <w:bCs/>
                <w:color w:val="FFFFFF"/>
                <w:sz w:val="18"/>
                <w:szCs w:val="18"/>
              </w:rPr>
              <w:t xml:space="preserve"> Reach</w:t>
            </w:r>
          </w:p>
        </w:tc>
        <w:tc>
          <w:tcPr>
            <w:tcW w:w="3240" w:type="dxa"/>
            <w:shd w:val="clear" w:color="auto" w:fill="334477"/>
            <w:tcMar>
              <w:top w:w="80" w:type="dxa"/>
              <w:left w:w="120" w:type="dxa"/>
              <w:bottom w:w="80" w:type="dxa"/>
              <w:right w:w="120" w:type="dxa"/>
            </w:tcMar>
          </w:tcPr>
          <w:p w14:paraId="095ECEF5" w14:textId="77777777" w:rsidR="00C70B8E" w:rsidRDefault="00000000">
            <w:r>
              <w:rPr>
                <w:b/>
                <w:bCs/>
                <w:color w:val="FFFFFF"/>
                <w:sz w:val="18"/>
                <w:szCs w:val="18"/>
              </w:rPr>
              <w:t>⚙</w:t>
            </w:r>
            <w:proofErr w:type="gramStart"/>
            <w:r>
              <w:rPr>
                <w:b/>
                <w:bCs/>
                <w:color w:val="FFFFFF"/>
                <w:sz w:val="18"/>
                <w:szCs w:val="18"/>
              </w:rPr>
              <w:t>️  Research</w:t>
            </w:r>
            <w:proofErr w:type="gramEnd"/>
            <w:r>
              <w:rPr>
                <w:b/>
                <w:bCs/>
                <w:color w:val="FFFFFF"/>
                <w:sz w:val="18"/>
                <w:szCs w:val="18"/>
              </w:rPr>
              <w:t xml:space="preserve"> Method</w:t>
            </w:r>
          </w:p>
        </w:tc>
      </w:tr>
      <w:tr w:rsidR="00C70B8E" w14:paraId="1B321633" w14:textId="77777777">
        <w:tblPrEx>
          <w:tblCellMar>
            <w:top w:w="0" w:type="dxa"/>
            <w:bottom w:w="0" w:type="dxa"/>
          </w:tblCellMar>
        </w:tblPrEx>
        <w:tc>
          <w:tcPr>
            <w:tcW w:w="3060" w:type="dxa"/>
            <w:shd w:val="clear" w:color="auto" w:fill="FAFBFD"/>
            <w:tcMar>
              <w:top w:w="100" w:type="dxa"/>
              <w:left w:w="120" w:type="dxa"/>
              <w:bottom w:w="100" w:type="dxa"/>
              <w:right w:w="120" w:type="dxa"/>
            </w:tcMar>
          </w:tcPr>
          <w:p w14:paraId="5F4E6998" w14:textId="77777777" w:rsidR="00C70B8E" w:rsidRDefault="00000000">
            <w:pPr>
              <w:pStyle w:val="ListParagraph"/>
              <w:numPr>
                <w:ilvl w:val="0"/>
                <w:numId w:val="2"/>
              </w:numPr>
              <w:spacing w:before="40" w:after="40"/>
            </w:pPr>
            <w:r>
              <w:rPr>
                <w:color w:val="1A2340"/>
                <w:sz w:val="20"/>
                <w:szCs w:val="20"/>
              </w:rPr>
              <w:t>Load shedding impact on cloud service reliability</w:t>
            </w:r>
          </w:p>
          <w:p w14:paraId="5E35C934" w14:textId="77777777" w:rsidR="00C70B8E" w:rsidRDefault="00000000">
            <w:pPr>
              <w:pStyle w:val="ListParagraph"/>
              <w:numPr>
                <w:ilvl w:val="0"/>
                <w:numId w:val="2"/>
              </w:numPr>
              <w:spacing w:before="40" w:after="40"/>
            </w:pPr>
            <w:r>
              <w:rPr>
                <w:color w:val="1A2340"/>
                <w:sz w:val="20"/>
                <w:szCs w:val="20"/>
              </w:rPr>
              <w:t>POPIA data sovereignty obligations for SA businesses</w:t>
            </w:r>
          </w:p>
          <w:p w14:paraId="5074B9B0" w14:textId="77777777" w:rsidR="00C70B8E" w:rsidRDefault="00000000">
            <w:pPr>
              <w:pStyle w:val="ListParagraph"/>
              <w:numPr>
                <w:ilvl w:val="0"/>
                <w:numId w:val="2"/>
              </w:numPr>
              <w:spacing w:before="40" w:after="40"/>
            </w:pPr>
            <w:r>
              <w:rPr>
                <w:color w:val="1A2340"/>
                <w:sz w:val="20"/>
                <w:szCs w:val="20"/>
              </w:rPr>
              <w:t>SITA, ISPA &amp; CSIR published SME technology reports</w:t>
            </w:r>
          </w:p>
        </w:tc>
        <w:tc>
          <w:tcPr>
            <w:tcW w:w="3060" w:type="dxa"/>
            <w:shd w:val="clear" w:color="auto" w:fill="FAFBFD"/>
            <w:tcMar>
              <w:top w:w="100" w:type="dxa"/>
              <w:left w:w="120" w:type="dxa"/>
              <w:bottom w:w="100" w:type="dxa"/>
              <w:right w:w="120" w:type="dxa"/>
            </w:tcMar>
          </w:tcPr>
          <w:p w14:paraId="29048110" w14:textId="77777777" w:rsidR="00C70B8E" w:rsidRDefault="00000000">
            <w:pPr>
              <w:pStyle w:val="ListParagraph"/>
              <w:numPr>
                <w:ilvl w:val="0"/>
                <w:numId w:val="2"/>
              </w:numPr>
              <w:spacing w:before="40" w:after="40"/>
            </w:pPr>
            <w:r>
              <w:rPr>
                <w:color w:val="1A2340"/>
                <w:sz w:val="20"/>
                <w:szCs w:val="20"/>
              </w:rPr>
              <w:t>Gartner &amp; IDC global cloud adoption frameworks</w:t>
            </w:r>
          </w:p>
          <w:p w14:paraId="2CD7FA69" w14:textId="77777777" w:rsidR="00C70B8E" w:rsidRDefault="00000000">
            <w:pPr>
              <w:pStyle w:val="ListParagraph"/>
              <w:numPr>
                <w:ilvl w:val="0"/>
                <w:numId w:val="2"/>
              </w:numPr>
              <w:spacing w:before="40" w:after="40"/>
            </w:pPr>
            <w:r>
              <w:rPr>
                <w:color w:val="1A2340"/>
                <w:sz w:val="20"/>
                <w:szCs w:val="20"/>
              </w:rPr>
              <w:t>Comparative studies from Nigeria, India, Malaysia &amp; Brazil</w:t>
            </w:r>
          </w:p>
          <w:p w14:paraId="74AE5F70" w14:textId="77777777" w:rsidR="00C70B8E" w:rsidRDefault="00000000">
            <w:pPr>
              <w:pStyle w:val="ListParagraph"/>
              <w:numPr>
                <w:ilvl w:val="0"/>
                <w:numId w:val="2"/>
              </w:numPr>
              <w:spacing w:before="40" w:after="40"/>
            </w:pPr>
            <w:r>
              <w:rPr>
                <w:color w:val="1A2340"/>
                <w:sz w:val="20"/>
                <w:szCs w:val="20"/>
              </w:rPr>
              <w:t>International Journal of Cloud Computing &amp; IEEE papers</w:t>
            </w:r>
          </w:p>
        </w:tc>
        <w:tc>
          <w:tcPr>
            <w:tcW w:w="3240" w:type="dxa"/>
            <w:shd w:val="clear" w:color="auto" w:fill="FAFBFD"/>
            <w:tcMar>
              <w:top w:w="100" w:type="dxa"/>
              <w:left w:w="120" w:type="dxa"/>
              <w:bottom w:w="100" w:type="dxa"/>
              <w:right w:w="120" w:type="dxa"/>
            </w:tcMar>
          </w:tcPr>
          <w:p w14:paraId="60904EF6" w14:textId="77777777" w:rsidR="00C70B8E" w:rsidRDefault="00000000">
            <w:r>
              <w:rPr>
                <w:i/>
                <w:iCs/>
                <w:color w:val="4A5568"/>
                <w:sz w:val="20"/>
                <w:szCs w:val="20"/>
              </w:rPr>
              <w:t>Qualitative systematic literature review — peer-reviewed journals, industry and government reports. No interviews or questionnaires.</w:t>
            </w:r>
          </w:p>
        </w:tc>
      </w:tr>
    </w:tbl>
    <w:p w14:paraId="6B8A6C68" w14:textId="77777777" w:rsidR="00C70B8E" w:rsidRDefault="00C70B8E">
      <w:pPr>
        <w:spacing w:after="200"/>
      </w:pPr>
    </w:p>
    <w:p w14:paraId="386DAF5E" w14:textId="77777777" w:rsidR="00C70B8E" w:rsidRDefault="00000000">
      <w:pPr>
        <w:spacing w:before="200" w:after="60"/>
      </w:pPr>
      <w:r>
        <w:rPr>
          <w:b/>
          <w:bCs/>
          <w:color w:val="6A1B9A"/>
          <w:spacing w:val="40"/>
          <w:sz w:val="18"/>
          <w:szCs w:val="18"/>
        </w:rPr>
        <w:t>KEY READING ARTICLES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
        <w:gridCol w:w="8920"/>
      </w:tblGrid>
      <w:tr w:rsidR="00C70B8E" w14:paraId="19A0E1BD" w14:textId="77777777">
        <w:tblPrEx>
          <w:tblCellMar>
            <w:top w:w="0" w:type="dxa"/>
            <w:bottom w:w="0" w:type="dxa"/>
          </w:tblCellMar>
        </w:tblPrEx>
        <w:tc>
          <w:tcPr>
            <w:tcW w:w="440" w:type="dxa"/>
            <w:tcBorders>
              <w:bottom w:val="single" w:sz="2" w:space="0" w:color="DDDDDD"/>
            </w:tcBorders>
            <w:shd w:val="clear" w:color="auto" w:fill="6A1B9A"/>
            <w:tcMar>
              <w:top w:w="80" w:type="dxa"/>
              <w:left w:w="100" w:type="dxa"/>
              <w:bottom w:w="80" w:type="dxa"/>
              <w:right w:w="100" w:type="dxa"/>
            </w:tcMar>
            <w:vAlign w:val="center"/>
          </w:tcPr>
          <w:p w14:paraId="62ED7E0A" w14:textId="77777777" w:rsidR="00C70B8E" w:rsidRDefault="00000000">
            <w:pPr>
              <w:jc w:val="center"/>
            </w:pPr>
            <w:r>
              <w:rPr>
                <w:b/>
                <w:bCs/>
                <w:color w:val="FFFFFF"/>
                <w:sz w:val="20"/>
                <w:szCs w:val="20"/>
              </w:rPr>
              <w:t>1</w:t>
            </w:r>
          </w:p>
        </w:tc>
        <w:tc>
          <w:tcPr>
            <w:tcW w:w="8920" w:type="dxa"/>
            <w:tcBorders>
              <w:bottom w:val="single" w:sz="2" w:space="0" w:color="DDDDDD"/>
            </w:tcBorders>
            <w:tcMar>
              <w:top w:w="80" w:type="dxa"/>
              <w:left w:w="160" w:type="dxa"/>
              <w:bottom w:w="80" w:type="dxa"/>
              <w:right w:w="120" w:type="dxa"/>
            </w:tcMar>
          </w:tcPr>
          <w:p w14:paraId="4C093E1E" w14:textId="77777777" w:rsidR="00C70B8E" w:rsidRDefault="00000000">
            <w:r>
              <w:rPr>
                <w:color w:val="1A2340"/>
                <w:sz w:val="20"/>
                <w:szCs w:val="20"/>
              </w:rPr>
              <w:t>Propulsion Tech Journal (2024) — Barriers of Cloud Computing Adoption by SMEs in Polokwane, SA. Cost and limited ICT expertise are the two most critical barriers (Mokwena &amp; Sithole, 2024).</w:t>
            </w:r>
          </w:p>
        </w:tc>
      </w:tr>
      <w:tr w:rsidR="00C70B8E" w14:paraId="7A08C566" w14:textId="77777777">
        <w:tblPrEx>
          <w:tblCellMar>
            <w:top w:w="0" w:type="dxa"/>
            <w:bottom w:w="0" w:type="dxa"/>
          </w:tblCellMar>
        </w:tblPrEx>
        <w:tc>
          <w:tcPr>
            <w:tcW w:w="440" w:type="dxa"/>
            <w:tcBorders>
              <w:bottom w:val="single" w:sz="2" w:space="0" w:color="DDDDDD"/>
            </w:tcBorders>
            <w:shd w:val="clear" w:color="auto" w:fill="6A1B9A"/>
            <w:tcMar>
              <w:top w:w="80" w:type="dxa"/>
              <w:left w:w="100" w:type="dxa"/>
              <w:bottom w:w="80" w:type="dxa"/>
              <w:right w:w="100" w:type="dxa"/>
            </w:tcMar>
            <w:vAlign w:val="center"/>
          </w:tcPr>
          <w:p w14:paraId="4C00C529" w14:textId="77777777" w:rsidR="00C70B8E" w:rsidRDefault="00000000">
            <w:pPr>
              <w:jc w:val="center"/>
            </w:pPr>
            <w:r>
              <w:rPr>
                <w:b/>
                <w:bCs/>
                <w:color w:val="FFFFFF"/>
                <w:sz w:val="20"/>
                <w:szCs w:val="20"/>
              </w:rPr>
              <w:t>2</w:t>
            </w:r>
          </w:p>
        </w:tc>
        <w:tc>
          <w:tcPr>
            <w:tcW w:w="8920" w:type="dxa"/>
            <w:tcBorders>
              <w:bottom w:val="single" w:sz="2" w:space="0" w:color="DDDDDD"/>
            </w:tcBorders>
            <w:tcMar>
              <w:top w:w="80" w:type="dxa"/>
              <w:left w:w="160" w:type="dxa"/>
              <w:bottom w:w="80" w:type="dxa"/>
              <w:right w:w="120" w:type="dxa"/>
            </w:tcMar>
          </w:tcPr>
          <w:p w14:paraId="549883E5" w14:textId="77777777" w:rsidR="00C70B8E" w:rsidRDefault="00000000">
            <w:r>
              <w:rPr>
                <w:color w:val="1A2340"/>
                <w:sz w:val="20"/>
                <w:szCs w:val="20"/>
              </w:rPr>
              <w:t>McKinsey (2024) — Africa's Leap Ahead into Cloud. Over 50% of leading African firms cite legal and regulatory constraints as the primary barrier to cloud adoption (McKinsey, 2024).</w:t>
            </w:r>
          </w:p>
        </w:tc>
      </w:tr>
      <w:tr w:rsidR="00C70B8E" w14:paraId="70F43EC0" w14:textId="77777777">
        <w:tblPrEx>
          <w:tblCellMar>
            <w:top w:w="0" w:type="dxa"/>
            <w:bottom w:w="0" w:type="dxa"/>
          </w:tblCellMar>
        </w:tblPrEx>
        <w:tc>
          <w:tcPr>
            <w:tcW w:w="440" w:type="dxa"/>
            <w:tcBorders>
              <w:bottom w:val="single" w:sz="2" w:space="0" w:color="DDDDDD"/>
            </w:tcBorders>
            <w:shd w:val="clear" w:color="auto" w:fill="6A1B9A"/>
            <w:tcMar>
              <w:top w:w="80" w:type="dxa"/>
              <w:left w:w="100" w:type="dxa"/>
              <w:bottom w:w="80" w:type="dxa"/>
              <w:right w:w="100" w:type="dxa"/>
            </w:tcMar>
            <w:vAlign w:val="center"/>
          </w:tcPr>
          <w:p w14:paraId="3D89D8C2" w14:textId="77777777" w:rsidR="00C70B8E" w:rsidRDefault="00000000">
            <w:pPr>
              <w:jc w:val="center"/>
            </w:pPr>
            <w:r>
              <w:rPr>
                <w:b/>
                <w:bCs/>
                <w:color w:val="FFFFFF"/>
                <w:sz w:val="20"/>
                <w:szCs w:val="20"/>
              </w:rPr>
              <w:t>3</w:t>
            </w:r>
          </w:p>
        </w:tc>
        <w:tc>
          <w:tcPr>
            <w:tcW w:w="8920" w:type="dxa"/>
            <w:tcBorders>
              <w:bottom w:val="single" w:sz="2" w:space="0" w:color="DDDDDD"/>
            </w:tcBorders>
            <w:tcMar>
              <w:top w:w="80" w:type="dxa"/>
              <w:left w:w="160" w:type="dxa"/>
              <w:bottom w:w="80" w:type="dxa"/>
              <w:right w:w="120" w:type="dxa"/>
            </w:tcMar>
          </w:tcPr>
          <w:p w14:paraId="6C4D6A4F" w14:textId="77777777" w:rsidR="00C70B8E" w:rsidRDefault="00000000">
            <w:r>
              <w:rPr>
                <w:color w:val="1A2340"/>
                <w:sz w:val="20"/>
                <w:szCs w:val="20"/>
              </w:rPr>
              <w:t>IJSRA (2024) — Reviewing the Impact of Cloud Computing on SMEs in Africa. Resource constraints, limited awareness and data privacy regulations hinder effective adoption (IJSRA, 2024).</w:t>
            </w:r>
          </w:p>
        </w:tc>
      </w:tr>
    </w:tbl>
    <w:p w14:paraId="651834DF" w14:textId="77777777" w:rsidR="00C70B8E" w:rsidRDefault="00C70B8E">
      <w:pPr>
        <w:spacing w:after="200"/>
      </w:pPr>
    </w:p>
    <w:p w14:paraId="6CB14938" w14:textId="77777777" w:rsidR="00C70B8E" w:rsidRDefault="00000000">
      <w:r>
        <w:br/>
      </w:r>
    </w:p>
    <w:p w14:paraId="6852CCFF" w14:textId="77777777" w:rsidR="00C70B8E" w:rsidRDefault="00000000">
      <w:pPr>
        <w:pBdr>
          <w:bottom w:val="single" w:sz="6" w:space="0" w:color="E8A020"/>
        </w:pBdr>
        <w:shd w:val="clear" w:color="auto" w:fill="B71C1C"/>
        <w:spacing w:before="320" w:after="120"/>
      </w:pPr>
      <w:proofErr w:type="gramStart"/>
      <w:r>
        <w:rPr>
          <w:b/>
          <w:bCs/>
          <w:color w:val="FFFFFF"/>
        </w:rPr>
        <w:t>🏭  TOPIC</w:t>
      </w:r>
      <w:proofErr w:type="gramEnd"/>
      <w:r>
        <w:rPr>
          <w:b/>
          <w:bCs/>
          <w:color w:val="FFFFFF"/>
        </w:rPr>
        <w:t xml:space="preserve"> </w:t>
      </w:r>
      <w:proofErr w:type="gramStart"/>
      <w:r>
        <w:rPr>
          <w:b/>
          <w:bCs/>
          <w:color w:val="FFFFFF"/>
        </w:rPr>
        <w:t>4  ·</w:t>
      </w:r>
      <w:proofErr w:type="gramEnd"/>
      <w:r>
        <w:rPr>
          <w:b/>
          <w:bCs/>
          <w:color w:val="FFFFFF"/>
        </w:rPr>
        <w:t xml:space="preserve">  DATA CENTRE SUSTAINABILITY</w:t>
      </w:r>
    </w:p>
    <w:p w14:paraId="4B8F42F4" w14:textId="77777777" w:rsidR="00C70B8E" w:rsidRDefault="00C70B8E">
      <w:pPr>
        <w:spacing w:after="60"/>
      </w:pPr>
    </w:p>
    <w:p w14:paraId="52086F32" w14:textId="77777777" w:rsidR="00C70B8E" w:rsidRDefault="00000000">
      <w:pPr>
        <w:spacing w:before="200" w:after="60"/>
      </w:pPr>
      <w:r>
        <w:rPr>
          <w:b/>
          <w:bCs/>
          <w:color w:val="B71C1C"/>
          <w:spacing w:val="40"/>
          <w:sz w:val="18"/>
          <w:szCs w:val="18"/>
        </w:rPr>
        <w:t>TOPIC</w:t>
      </w:r>
    </w:p>
    <w:tbl>
      <w:tblPr>
        <w:tblW w:w="9360" w:type="dxa"/>
        <w:tblBorders>
          <w:top w:val="single" w:sz="4" w:space="0" w:color="B71C1C"/>
          <w:left w:val="single" w:sz="12" w:space="0" w:color="B71C1C"/>
          <w:bottom w:val="single" w:sz="4" w:space="0" w:color="B71C1C"/>
          <w:right w:val="single" w:sz="4" w:space="0" w:color="B71C1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0B8E" w14:paraId="68B466D0" w14:textId="77777777">
        <w:tblPrEx>
          <w:tblCellMar>
            <w:top w:w="0" w:type="dxa"/>
            <w:bottom w:w="0" w:type="dxa"/>
          </w:tblCellMar>
        </w:tblPrEx>
        <w:tc>
          <w:tcPr>
            <w:tcW w:w="9360" w:type="dxa"/>
            <w:shd w:val="clear" w:color="auto" w:fill="F4F6FA"/>
            <w:tcMar>
              <w:top w:w="160" w:type="dxa"/>
              <w:left w:w="200" w:type="dxa"/>
              <w:bottom w:w="160" w:type="dxa"/>
              <w:right w:w="200" w:type="dxa"/>
            </w:tcMar>
          </w:tcPr>
          <w:p w14:paraId="289EA1DD" w14:textId="77777777" w:rsidR="00C70B8E" w:rsidRDefault="00000000">
            <w:r>
              <w:rPr>
                <w:b/>
                <w:bCs/>
                <w:color w:val="0D1B3E"/>
                <w:sz w:val="24"/>
                <w:szCs w:val="24"/>
              </w:rPr>
              <w:t>The Environmental and Resource Impact of Data Centre Expansion in South Africa: Balancing Digital Growth with Water and Energy Sustainability</w:t>
            </w:r>
          </w:p>
        </w:tc>
      </w:tr>
    </w:tbl>
    <w:p w14:paraId="6BD916FF" w14:textId="77777777" w:rsidR="00C70B8E" w:rsidRDefault="00C70B8E">
      <w:pPr>
        <w:spacing w:after="100"/>
      </w:pPr>
    </w:p>
    <w:p w14:paraId="025421E3" w14:textId="77777777" w:rsidR="00C70B8E" w:rsidRDefault="00000000">
      <w:pPr>
        <w:spacing w:before="200" w:after="60"/>
      </w:pPr>
      <w:r>
        <w:rPr>
          <w:b/>
          <w:bCs/>
          <w:color w:val="334477"/>
          <w:spacing w:val="40"/>
          <w:sz w:val="18"/>
          <w:szCs w:val="18"/>
        </w:rPr>
        <w:t>AIM</w:t>
      </w:r>
    </w:p>
    <w:tbl>
      <w:tblPr>
        <w:tblW w:w="9360" w:type="dxa"/>
        <w:tblBorders>
          <w:top w:val="single" w:sz="4" w:space="0" w:color="334477"/>
          <w:left w:val="single" w:sz="12" w:space="0" w:color="334477"/>
          <w:bottom w:val="single" w:sz="4" w:space="0" w:color="334477"/>
          <w:right w:val="single" w:sz="4" w:space="0" w:color="334477"/>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70B8E" w14:paraId="78CCDE16" w14:textId="77777777">
        <w:tblPrEx>
          <w:tblCellMar>
            <w:top w:w="0" w:type="dxa"/>
            <w:bottom w:w="0" w:type="dxa"/>
          </w:tblCellMar>
        </w:tblPrEx>
        <w:tc>
          <w:tcPr>
            <w:tcW w:w="9360" w:type="dxa"/>
            <w:shd w:val="clear" w:color="auto" w:fill="F0F2F8"/>
            <w:tcMar>
              <w:top w:w="160" w:type="dxa"/>
              <w:left w:w="200" w:type="dxa"/>
              <w:bottom w:w="160" w:type="dxa"/>
              <w:right w:w="200" w:type="dxa"/>
            </w:tcMar>
          </w:tcPr>
          <w:p w14:paraId="70A4AEA5" w14:textId="77777777" w:rsidR="00C70B8E" w:rsidRDefault="00000000">
            <w:r>
              <w:rPr>
                <w:i/>
                <w:iCs/>
                <w:color w:val="4A5568"/>
              </w:rPr>
              <w:t>To investigate the environmental and resource consequences of the rapid growth of data centres in South Africa, with particular focus on water consumption and electricity demand, and to evaluate whether current regulatory frameworks are sufficient to ensure sustainable and transparent data centre development.</w:t>
            </w:r>
          </w:p>
        </w:tc>
      </w:tr>
    </w:tbl>
    <w:p w14:paraId="6670E35B" w14:textId="77777777" w:rsidR="00C70B8E" w:rsidRDefault="00C70B8E">
      <w:pPr>
        <w:spacing w:after="120"/>
      </w:pPr>
    </w:p>
    <w:p w14:paraId="13CF1385" w14:textId="77777777" w:rsidR="00C70B8E" w:rsidRDefault="00000000">
      <w:pPr>
        <w:spacing w:before="200" w:after="60"/>
      </w:pPr>
      <w:r>
        <w:rPr>
          <w:b/>
          <w:bCs/>
          <w:color w:val="0D1B3E"/>
          <w:spacing w:val="40"/>
          <w:sz w:val="18"/>
          <w:szCs w:val="18"/>
        </w:rPr>
        <w:t xml:space="preserve">SOUTH AFRICAN </w:t>
      </w:r>
      <w:proofErr w:type="gramStart"/>
      <w:r>
        <w:rPr>
          <w:b/>
          <w:bCs/>
          <w:color w:val="0D1B3E"/>
          <w:spacing w:val="40"/>
          <w:sz w:val="18"/>
          <w:szCs w:val="18"/>
        </w:rPr>
        <w:t>CONTEXT  ·</w:t>
      </w:r>
      <w:proofErr w:type="gramEnd"/>
      <w:r>
        <w:rPr>
          <w:b/>
          <w:bCs/>
          <w:color w:val="0D1B3E"/>
          <w:spacing w:val="40"/>
          <w:sz w:val="18"/>
          <w:szCs w:val="18"/>
        </w:rPr>
        <w:t xml:space="preserve">  GLOBAL </w:t>
      </w:r>
      <w:proofErr w:type="gramStart"/>
      <w:r>
        <w:rPr>
          <w:b/>
          <w:bCs/>
          <w:color w:val="0D1B3E"/>
          <w:spacing w:val="40"/>
          <w:sz w:val="18"/>
          <w:szCs w:val="18"/>
        </w:rPr>
        <w:t>REACH  ·</w:t>
      </w:r>
      <w:proofErr w:type="gramEnd"/>
      <w:r>
        <w:rPr>
          <w:b/>
          <w:bCs/>
          <w:color w:val="0D1B3E"/>
          <w:spacing w:val="40"/>
          <w:sz w:val="18"/>
          <w:szCs w:val="18"/>
        </w:rPr>
        <w:t xml:space="preserve">  RESEARCH METHOD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0"/>
        <w:gridCol w:w="3060"/>
        <w:gridCol w:w="3240"/>
      </w:tblGrid>
      <w:tr w:rsidR="00C70B8E" w14:paraId="7D4DFD55" w14:textId="77777777">
        <w:tblPrEx>
          <w:tblCellMar>
            <w:top w:w="0" w:type="dxa"/>
            <w:bottom w:w="0" w:type="dxa"/>
          </w:tblCellMar>
        </w:tblPrEx>
        <w:tc>
          <w:tcPr>
            <w:tcW w:w="3060" w:type="dxa"/>
            <w:shd w:val="clear" w:color="auto" w:fill="B71C1C"/>
            <w:tcMar>
              <w:top w:w="80" w:type="dxa"/>
              <w:left w:w="120" w:type="dxa"/>
              <w:bottom w:w="80" w:type="dxa"/>
              <w:right w:w="120" w:type="dxa"/>
            </w:tcMar>
          </w:tcPr>
          <w:p w14:paraId="0A2C99A8" w14:textId="77777777" w:rsidR="00C70B8E" w:rsidRDefault="00000000">
            <w:r>
              <w:rPr>
                <w:b/>
                <w:bCs/>
                <w:color w:val="FFFFFF"/>
                <w:sz w:val="18"/>
                <w:szCs w:val="18"/>
              </w:rPr>
              <w:t>🇿</w:t>
            </w:r>
            <w:proofErr w:type="gramStart"/>
            <w:r>
              <w:rPr>
                <w:b/>
                <w:bCs/>
                <w:color w:val="FFFFFF"/>
                <w:sz w:val="18"/>
                <w:szCs w:val="18"/>
              </w:rPr>
              <w:t>🇦  South</w:t>
            </w:r>
            <w:proofErr w:type="gramEnd"/>
            <w:r>
              <w:rPr>
                <w:b/>
                <w:bCs/>
                <w:color w:val="FFFFFF"/>
                <w:sz w:val="18"/>
                <w:szCs w:val="18"/>
              </w:rPr>
              <w:t xml:space="preserve"> African Context</w:t>
            </w:r>
          </w:p>
        </w:tc>
        <w:tc>
          <w:tcPr>
            <w:tcW w:w="3060" w:type="dxa"/>
            <w:shd w:val="clear" w:color="auto" w:fill="1565C0"/>
            <w:tcMar>
              <w:top w:w="80" w:type="dxa"/>
              <w:left w:w="120" w:type="dxa"/>
              <w:bottom w:w="80" w:type="dxa"/>
              <w:right w:w="120" w:type="dxa"/>
            </w:tcMar>
          </w:tcPr>
          <w:p w14:paraId="6C0F6851" w14:textId="77777777" w:rsidR="00C70B8E" w:rsidRDefault="00000000">
            <w:proofErr w:type="gramStart"/>
            <w:r>
              <w:rPr>
                <w:b/>
                <w:bCs/>
                <w:color w:val="FFFFFF"/>
                <w:sz w:val="18"/>
                <w:szCs w:val="18"/>
              </w:rPr>
              <w:t>🌍  Global</w:t>
            </w:r>
            <w:proofErr w:type="gramEnd"/>
            <w:r>
              <w:rPr>
                <w:b/>
                <w:bCs/>
                <w:color w:val="FFFFFF"/>
                <w:sz w:val="18"/>
                <w:szCs w:val="18"/>
              </w:rPr>
              <w:t xml:space="preserve"> Reach</w:t>
            </w:r>
          </w:p>
        </w:tc>
        <w:tc>
          <w:tcPr>
            <w:tcW w:w="3240" w:type="dxa"/>
            <w:shd w:val="clear" w:color="auto" w:fill="334477"/>
            <w:tcMar>
              <w:top w:w="80" w:type="dxa"/>
              <w:left w:w="120" w:type="dxa"/>
              <w:bottom w:w="80" w:type="dxa"/>
              <w:right w:w="120" w:type="dxa"/>
            </w:tcMar>
          </w:tcPr>
          <w:p w14:paraId="2621E4A9" w14:textId="77777777" w:rsidR="00C70B8E" w:rsidRDefault="00000000">
            <w:r>
              <w:rPr>
                <w:b/>
                <w:bCs/>
                <w:color w:val="FFFFFF"/>
                <w:sz w:val="18"/>
                <w:szCs w:val="18"/>
              </w:rPr>
              <w:t>⚙</w:t>
            </w:r>
            <w:proofErr w:type="gramStart"/>
            <w:r>
              <w:rPr>
                <w:b/>
                <w:bCs/>
                <w:color w:val="FFFFFF"/>
                <w:sz w:val="18"/>
                <w:szCs w:val="18"/>
              </w:rPr>
              <w:t>️  Research</w:t>
            </w:r>
            <w:proofErr w:type="gramEnd"/>
            <w:r>
              <w:rPr>
                <w:b/>
                <w:bCs/>
                <w:color w:val="FFFFFF"/>
                <w:sz w:val="18"/>
                <w:szCs w:val="18"/>
              </w:rPr>
              <w:t xml:space="preserve"> Method</w:t>
            </w:r>
          </w:p>
        </w:tc>
      </w:tr>
      <w:tr w:rsidR="00C70B8E" w14:paraId="3AE6ED01" w14:textId="77777777">
        <w:tblPrEx>
          <w:tblCellMar>
            <w:top w:w="0" w:type="dxa"/>
            <w:bottom w:w="0" w:type="dxa"/>
          </w:tblCellMar>
        </w:tblPrEx>
        <w:tc>
          <w:tcPr>
            <w:tcW w:w="3060" w:type="dxa"/>
            <w:shd w:val="clear" w:color="auto" w:fill="FAFBFD"/>
            <w:tcMar>
              <w:top w:w="100" w:type="dxa"/>
              <w:left w:w="120" w:type="dxa"/>
              <w:bottom w:w="100" w:type="dxa"/>
              <w:right w:w="120" w:type="dxa"/>
            </w:tcMar>
          </w:tcPr>
          <w:p w14:paraId="33FCB332" w14:textId="77777777" w:rsidR="00C70B8E" w:rsidRDefault="00000000">
            <w:pPr>
              <w:pStyle w:val="ListParagraph"/>
              <w:numPr>
                <w:ilvl w:val="0"/>
                <w:numId w:val="2"/>
              </w:numPr>
              <w:spacing w:before="40" w:after="40"/>
            </w:pPr>
            <w:proofErr w:type="spellStart"/>
            <w:r>
              <w:rPr>
                <w:color w:val="1A2340"/>
                <w:sz w:val="20"/>
                <w:szCs w:val="20"/>
              </w:rPr>
              <w:t>Teraco</w:t>
            </w:r>
            <w:proofErr w:type="spellEnd"/>
            <w:r>
              <w:rPr>
                <w:color w:val="1A2340"/>
                <w:sz w:val="20"/>
                <w:szCs w:val="20"/>
              </w:rPr>
              <w:t xml:space="preserve"> used 34,000 </w:t>
            </w:r>
            <w:proofErr w:type="spellStart"/>
            <w:r>
              <w:rPr>
                <w:color w:val="1A2340"/>
                <w:sz w:val="20"/>
                <w:szCs w:val="20"/>
              </w:rPr>
              <w:t>kL</w:t>
            </w:r>
            <w:proofErr w:type="spellEnd"/>
            <w:r>
              <w:rPr>
                <w:color w:val="1A2340"/>
                <w:sz w:val="20"/>
                <w:szCs w:val="20"/>
              </w:rPr>
              <w:t xml:space="preserve"> of water in 2025 — 88% from municipal supply</w:t>
            </w:r>
          </w:p>
          <w:p w14:paraId="00734ED3" w14:textId="77777777" w:rsidR="00C70B8E" w:rsidRDefault="00000000">
            <w:pPr>
              <w:pStyle w:val="ListParagraph"/>
              <w:numPr>
                <w:ilvl w:val="0"/>
                <w:numId w:val="2"/>
              </w:numPr>
              <w:spacing w:before="40" w:after="40"/>
            </w:pPr>
            <w:r>
              <w:rPr>
                <w:color w:val="1A2340"/>
                <w:sz w:val="20"/>
                <w:szCs w:val="20"/>
              </w:rPr>
              <w:t>1,000+ MW additional demand planned by new SA data centres</w:t>
            </w:r>
          </w:p>
          <w:p w14:paraId="62A396F8" w14:textId="77777777" w:rsidR="00C70B8E" w:rsidRDefault="00000000">
            <w:pPr>
              <w:pStyle w:val="ListParagraph"/>
              <w:numPr>
                <w:ilvl w:val="0"/>
                <w:numId w:val="2"/>
              </w:numPr>
              <w:spacing w:before="40" w:after="40"/>
            </w:pPr>
            <w:r>
              <w:rPr>
                <w:color w:val="1A2340"/>
                <w:sz w:val="20"/>
                <w:szCs w:val="20"/>
              </w:rPr>
              <w:lastRenderedPageBreak/>
              <w:t>No mandatory public reporting framework exists under SA law</w:t>
            </w:r>
          </w:p>
        </w:tc>
        <w:tc>
          <w:tcPr>
            <w:tcW w:w="3060" w:type="dxa"/>
            <w:shd w:val="clear" w:color="auto" w:fill="FAFBFD"/>
            <w:tcMar>
              <w:top w:w="100" w:type="dxa"/>
              <w:left w:w="120" w:type="dxa"/>
              <w:bottom w:w="100" w:type="dxa"/>
              <w:right w:w="120" w:type="dxa"/>
            </w:tcMar>
          </w:tcPr>
          <w:p w14:paraId="38E38947" w14:textId="77777777" w:rsidR="00C70B8E" w:rsidRDefault="00000000">
            <w:pPr>
              <w:pStyle w:val="ListParagraph"/>
              <w:numPr>
                <w:ilvl w:val="0"/>
                <w:numId w:val="2"/>
              </w:numPr>
              <w:spacing w:before="40" w:after="40"/>
            </w:pPr>
            <w:r>
              <w:rPr>
                <w:color w:val="1A2340"/>
                <w:sz w:val="20"/>
                <w:szCs w:val="20"/>
              </w:rPr>
              <w:lastRenderedPageBreak/>
              <w:t>UNEP Guidelines on data centre environmental impact (2025)</w:t>
            </w:r>
          </w:p>
          <w:p w14:paraId="0C163E4A" w14:textId="77777777" w:rsidR="00C70B8E" w:rsidRDefault="00000000">
            <w:pPr>
              <w:pStyle w:val="ListParagraph"/>
              <w:numPr>
                <w:ilvl w:val="0"/>
                <w:numId w:val="2"/>
              </w:numPr>
              <w:spacing w:before="40" w:after="40"/>
            </w:pPr>
            <w:r>
              <w:rPr>
                <w:color w:val="1A2340"/>
                <w:sz w:val="20"/>
                <w:szCs w:val="20"/>
              </w:rPr>
              <w:t>Nature Sustainability &amp; Cell Press — peer-reviewed water/carbon modelling</w:t>
            </w:r>
          </w:p>
          <w:p w14:paraId="4C605A06" w14:textId="77777777" w:rsidR="00C70B8E" w:rsidRDefault="00000000">
            <w:pPr>
              <w:pStyle w:val="ListParagraph"/>
              <w:numPr>
                <w:ilvl w:val="0"/>
                <w:numId w:val="2"/>
              </w:numPr>
              <w:spacing w:before="40" w:after="40"/>
            </w:pPr>
            <w:r>
              <w:rPr>
                <w:color w:val="1A2340"/>
                <w:sz w:val="20"/>
                <w:szCs w:val="20"/>
              </w:rPr>
              <w:lastRenderedPageBreak/>
              <w:t>IEA: data centres driving &gt;20% of global electricity demand growth</w:t>
            </w:r>
          </w:p>
        </w:tc>
        <w:tc>
          <w:tcPr>
            <w:tcW w:w="3240" w:type="dxa"/>
            <w:shd w:val="clear" w:color="auto" w:fill="FAFBFD"/>
            <w:tcMar>
              <w:top w:w="100" w:type="dxa"/>
              <w:left w:w="120" w:type="dxa"/>
              <w:bottom w:w="100" w:type="dxa"/>
              <w:right w:w="120" w:type="dxa"/>
            </w:tcMar>
          </w:tcPr>
          <w:p w14:paraId="276A7A6A" w14:textId="77777777" w:rsidR="00C70B8E" w:rsidRDefault="00000000">
            <w:r>
              <w:rPr>
                <w:i/>
                <w:iCs/>
                <w:color w:val="4A5568"/>
                <w:sz w:val="20"/>
                <w:szCs w:val="20"/>
              </w:rPr>
              <w:lastRenderedPageBreak/>
              <w:t>Qualitative systematic literature review — policy documents, peer-reviewed journals and investigative reports. No interviews or questionnaires.</w:t>
            </w:r>
          </w:p>
        </w:tc>
      </w:tr>
    </w:tbl>
    <w:p w14:paraId="481F178E" w14:textId="77777777" w:rsidR="00C70B8E" w:rsidRDefault="00C70B8E">
      <w:pPr>
        <w:spacing w:after="200"/>
      </w:pPr>
    </w:p>
    <w:p w14:paraId="6BD77468" w14:textId="77777777" w:rsidR="00C70B8E" w:rsidRDefault="00000000">
      <w:pPr>
        <w:spacing w:before="200" w:after="60"/>
      </w:pPr>
      <w:r>
        <w:rPr>
          <w:b/>
          <w:bCs/>
          <w:color w:val="B71C1C"/>
          <w:spacing w:val="40"/>
          <w:sz w:val="18"/>
          <w:szCs w:val="18"/>
        </w:rPr>
        <w:t>KEY READING ARTICLES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
        <w:gridCol w:w="8920"/>
      </w:tblGrid>
      <w:tr w:rsidR="00C70B8E" w14:paraId="138C2BE8" w14:textId="77777777">
        <w:tblPrEx>
          <w:tblCellMar>
            <w:top w:w="0" w:type="dxa"/>
            <w:bottom w:w="0" w:type="dxa"/>
          </w:tblCellMar>
        </w:tblPrEx>
        <w:tc>
          <w:tcPr>
            <w:tcW w:w="440" w:type="dxa"/>
            <w:tcBorders>
              <w:bottom w:val="single" w:sz="2" w:space="0" w:color="DDDDDD"/>
            </w:tcBorders>
            <w:shd w:val="clear" w:color="auto" w:fill="B71C1C"/>
            <w:tcMar>
              <w:top w:w="80" w:type="dxa"/>
              <w:left w:w="100" w:type="dxa"/>
              <w:bottom w:w="80" w:type="dxa"/>
              <w:right w:w="100" w:type="dxa"/>
            </w:tcMar>
            <w:vAlign w:val="center"/>
          </w:tcPr>
          <w:p w14:paraId="4399A11C" w14:textId="77777777" w:rsidR="00C70B8E" w:rsidRDefault="00000000">
            <w:pPr>
              <w:jc w:val="center"/>
            </w:pPr>
            <w:r>
              <w:rPr>
                <w:b/>
                <w:bCs/>
                <w:color w:val="FFFFFF"/>
                <w:sz w:val="20"/>
                <w:szCs w:val="20"/>
              </w:rPr>
              <w:t>1</w:t>
            </w:r>
          </w:p>
        </w:tc>
        <w:tc>
          <w:tcPr>
            <w:tcW w:w="8920" w:type="dxa"/>
            <w:tcBorders>
              <w:bottom w:val="single" w:sz="2" w:space="0" w:color="DDDDDD"/>
            </w:tcBorders>
            <w:tcMar>
              <w:top w:w="80" w:type="dxa"/>
              <w:left w:w="160" w:type="dxa"/>
              <w:bottom w:w="80" w:type="dxa"/>
              <w:right w:w="120" w:type="dxa"/>
            </w:tcMar>
          </w:tcPr>
          <w:p w14:paraId="77C6753A" w14:textId="77777777" w:rsidR="00C70B8E" w:rsidRDefault="00000000">
            <w:r>
              <w:rPr>
                <w:color w:val="1A2340"/>
                <w:sz w:val="20"/>
                <w:szCs w:val="20"/>
              </w:rPr>
              <w:t>Daily Maverick (Feb 2026) — Why the Clouds of Secrecy Over SA Data Centre Impacts? Eskom and municipalities refused to disclose consumption data. No national reporting framework exists (Daily Maverick, 2026).</w:t>
            </w:r>
          </w:p>
        </w:tc>
      </w:tr>
      <w:tr w:rsidR="00C70B8E" w14:paraId="3B191984" w14:textId="77777777">
        <w:tblPrEx>
          <w:tblCellMar>
            <w:top w:w="0" w:type="dxa"/>
            <w:bottom w:w="0" w:type="dxa"/>
          </w:tblCellMar>
        </w:tblPrEx>
        <w:tc>
          <w:tcPr>
            <w:tcW w:w="440" w:type="dxa"/>
            <w:tcBorders>
              <w:bottom w:val="single" w:sz="2" w:space="0" w:color="DDDDDD"/>
            </w:tcBorders>
            <w:shd w:val="clear" w:color="auto" w:fill="B71C1C"/>
            <w:tcMar>
              <w:top w:w="80" w:type="dxa"/>
              <w:left w:w="100" w:type="dxa"/>
              <w:bottom w:w="80" w:type="dxa"/>
              <w:right w:w="100" w:type="dxa"/>
            </w:tcMar>
            <w:vAlign w:val="center"/>
          </w:tcPr>
          <w:p w14:paraId="037D2440" w14:textId="77777777" w:rsidR="00C70B8E" w:rsidRDefault="00000000">
            <w:pPr>
              <w:jc w:val="center"/>
            </w:pPr>
            <w:r>
              <w:rPr>
                <w:b/>
                <w:bCs/>
                <w:color w:val="FFFFFF"/>
                <w:sz w:val="20"/>
                <w:szCs w:val="20"/>
              </w:rPr>
              <w:t>2</w:t>
            </w:r>
          </w:p>
        </w:tc>
        <w:tc>
          <w:tcPr>
            <w:tcW w:w="8920" w:type="dxa"/>
            <w:tcBorders>
              <w:bottom w:val="single" w:sz="2" w:space="0" w:color="DDDDDD"/>
            </w:tcBorders>
            <w:tcMar>
              <w:top w:w="80" w:type="dxa"/>
              <w:left w:w="160" w:type="dxa"/>
              <w:bottom w:w="80" w:type="dxa"/>
              <w:right w:w="120" w:type="dxa"/>
            </w:tcMar>
          </w:tcPr>
          <w:p w14:paraId="72E44ADE" w14:textId="77777777" w:rsidR="00C70B8E" w:rsidRDefault="00000000">
            <w:r>
              <w:rPr>
                <w:color w:val="1A2340"/>
                <w:sz w:val="20"/>
                <w:szCs w:val="20"/>
              </w:rPr>
              <w:t>UNEP (June 2025) — Guidelines to Curb Environmental Impact of Data Centres. Very few countries have comprehensive frameworks; sector expansion largely unregulated (UNEP, 2025).</w:t>
            </w:r>
          </w:p>
        </w:tc>
      </w:tr>
      <w:tr w:rsidR="00C70B8E" w14:paraId="04E9F3A9" w14:textId="77777777">
        <w:tblPrEx>
          <w:tblCellMar>
            <w:top w:w="0" w:type="dxa"/>
            <w:bottom w:w="0" w:type="dxa"/>
          </w:tblCellMar>
        </w:tblPrEx>
        <w:tc>
          <w:tcPr>
            <w:tcW w:w="440" w:type="dxa"/>
            <w:tcBorders>
              <w:bottom w:val="single" w:sz="2" w:space="0" w:color="DDDDDD"/>
            </w:tcBorders>
            <w:shd w:val="clear" w:color="auto" w:fill="B71C1C"/>
            <w:tcMar>
              <w:top w:w="80" w:type="dxa"/>
              <w:left w:w="100" w:type="dxa"/>
              <w:bottom w:w="80" w:type="dxa"/>
              <w:right w:w="100" w:type="dxa"/>
            </w:tcMar>
            <w:vAlign w:val="center"/>
          </w:tcPr>
          <w:p w14:paraId="4CF4A1F6" w14:textId="77777777" w:rsidR="00C70B8E" w:rsidRDefault="00000000">
            <w:pPr>
              <w:jc w:val="center"/>
            </w:pPr>
            <w:r>
              <w:rPr>
                <w:b/>
                <w:bCs/>
                <w:color w:val="FFFFFF"/>
                <w:sz w:val="20"/>
                <w:szCs w:val="20"/>
              </w:rPr>
              <w:t>3</w:t>
            </w:r>
          </w:p>
        </w:tc>
        <w:tc>
          <w:tcPr>
            <w:tcW w:w="8920" w:type="dxa"/>
            <w:tcBorders>
              <w:bottom w:val="single" w:sz="2" w:space="0" w:color="DDDDDD"/>
            </w:tcBorders>
            <w:tcMar>
              <w:top w:w="80" w:type="dxa"/>
              <w:left w:w="160" w:type="dxa"/>
              <w:bottom w:w="80" w:type="dxa"/>
              <w:right w:w="120" w:type="dxa"/>
            </w:tcMar>
          </w:tcPr>
          <w:p w14:paraId="5FF63F5E" w14:textId="77777777" w:rsidR="00C70B8E" w:rsidRDefault="00000000">
            <w:r>
              <w:rPr>
                <w:color w:val="1A2340"/>
                <w:sz w:val="20"/>
                <w:szCs w:val="20"/>
              </w:rPr>
              <w:t>ACM / CMU Africa (2025) — A Water Efficiency Dataset for African Data Centres. SA and Nigeria show highest water consumption per AI inference across 11 African countries (ACM/CMU, 2025).</w:t>
            </w:r>
          </w:p>
        </w:tc>
      </w:tr>
    </w:tbl>
    <w:p w14:paraId="1E354D33" w14:textId="77777777" w:rsidR="00C70B8E" w:rsidRDefault="00C70B8E">
      <w:pPr>
        <w:spacing w:after="300"/>
      </w:pPr>
    </w:p>
    <w:p w14:paraId="7DDF56D8" w14:textId="77777777" w:rsidR="00C70B8E" w:rsidRDefault="00000000">
      <w:pPr>
        <w:pBdr>
          <w:top w:val="single" w:sz="6" w:space="0" w:color="E8A020"/>
          <w:bottom w:val="single" w:sz="6" w:space="0" w:color="E8A020"/>
        </w:pBdr>
        <w:shd w:val="clear" w:color="auto" w:fill="F4F6FA"/>
        <w:spacing w:before="400" w:after="100"/>
      </w:pPr>
      <w:r>
        <w:rPr>
          <w:b/>
          <w:bCs/>
          <w:color w:val="0D1B3E"/>
          <w:sz w:val="20"/>
          <w:szCs w:val="20"/>
        </w:rPr>
        <w:t xml:space="preserve">  Document-based methodology — all four topics use published articles, reports and policy documents only.  </w:t>
      </w:r>
    </w:p>
    <w:p w14:paraId="7C139AF2" w14:textId="77777777" w:rsidR="00C70B8E" w:rsidRDefault="00C70B8E">
      <w:pPr>
        <w:spacing w:after="60"/>
      </w:pPr>
    </w:p>
    <w:p w14:paraId="172C2722" w14:textId="77777777" w:rsidR="00C70B8E" w:rsidRDefault="00000000">
      <w:pPr>
        <w:spacing w:before="60" w:after="80"/>
      </w:pPr>
      <w:r>
        <w:rPr>
          <w:i/>
          <w:iCs/>
          <w:color w:val="4A5568"/>
        </w:rPr>
        <w:t>No interviews or questionnaires are used in any of the proposed topics, fully aligned with the RME478S module requirements (Kumar, 2011).</w:t>
      </w:r>
    </w:p>
    <w:p w14:paraId="13E60883" w14:textId="77777777" w:rsidR="00C70B8E" w:rsidRDefault="00C70B8E">
      <w:pPr>
        <w:spacing w:after="300"/>
      </w:pPr>
    </w:p>
    <w:p w14:paraId="7AE1562A" w14:textId="77777777" w:rsidR="00C70B8E" w:rsidRDefault="00000000">
      <w:r>
        <w:br/>
      </w:r>
    </w:p>
    <w:p w14:paraId="31B37B86" w14:textId="77777777" w:rsidR="00C70B8E" w:rsidRDefault="00000000">
      <w:pPr>
        <w:pStyle w:val="Heading1"/>
      </w:pPr>
      <w:r>
        <w:t>References</w:t>
      </w:r>
    </w:p>
    <w:p w14:paraId="4D969DAB" w14:textId="77777777" w:rsidR="00C70B8E" w:rsidRDefault="00000000">
      <w:pPr>
        <w:spacing w:before="60" w:after="80"/>
      </w:pPr>
      <w:r>
        <w:rPr>
          <w:i/>
          <w:iCs/>
          <w:color w:val="4A5568"/>
        </w:rPr>
        <w:t>Listed alphabetically per topic in Harvard referencing style.</w:t>
      </w:r>
    </w:p>
    <w:p w14:paraId="262B88BB" w14:textId="77777777" w:rsidR="00C70B8E" w:rsidRDefault="00C70B8E">
      <w:pPr>
        <w:spacing w:after="80"/>
      </w:pPr>
    </w:p>
    <w:p w14:paraId="6F293F14" w14:textId="77777777" w:rsidR="00C70B8E" w:rsidRDefault="00000000">
      <w:pPr>
        <w:spacing w:before="200" w:after="60"/>
      </w:pPr>
      <w:r>
        <w:rPr>
          <w:b/>
          <w:bCs/>
          <w:color w:val="1565C0"/>
          <w:spacing w:val="40"/>
          <w:sz w:val="18"/>
          <w:szCs w:val="18"/>
        </w:rPr>
        <w:t>TOPIC 1 — CYBERSECURITY</w:t>
      </w:r>
    </w:p>
    <w:p w14:paraId="1C65D79B" w14:textId="77777777" w:rsidR="00C70B8E" w:rsidRDefault="00000000">
      <w:pPr>
        <w:spacing w:before="60" w:after="80"/>
        <w:ind w:left="720" w:hanging="720"/>
      </w:pPr>
      <w:r>
        <w:rPr>
          <w:color w:val="1A2340"/>
          <w:sz w:val="20"/>
          <w:szCs w:val="20"/>
        </w:rPr>
        <w:t>IBM Security. (2024). Cost of a data breach report 2024. IBM Corporation. Available at: https://www.ibm.com/reports/data-breach</w:t>
      </w:r>
    </w:p>
    <w:p w14:paraId="0A0D1A2C" w14:textId="77777777" w:rsidR="00C70B8E" w:rsidRDefault="00000000">
      <w:pPr>
        <w:spacing w:before="60" w:after="80"/>
        <w:ind w:left="720" w:hanging="720"/>
      </w:pPr>
      <w:r>
        <w:rPr>
          <w:color w:val="1A2340"/>
          <w:sz w:val="20"/>
          <w:szCs w:val="20"/>
        </w:rPr>
        <w:t>Kaspersky. (2025). Human error fuels breaches as cybersecurity training lags. IT-Online, 3 December. Available at: https://it-online.co.za/2025/12/03/human-error-fuels-breaches-as-cybersecurity-training-lags/</w:t>
      </w:r>
    </w:p>
    <w:p w14:paraId="33B1BAB0" w14:textId="77777777" w:rsidR="00C70B8E" w:rsidRDefault="00000000">
      <w:pPr>
        <w:spacing w:before="60" w:after="80"/>
        <w:ind w:left="720" w:hanging="720"/>
      </w:pPr>
      <w:r>
        <w:rPr>
          <w:color w:val="1A2340"/>
          <w:sz w:val="20"/>
          <w:szCs w:val="20"/>
        </w:rPr>
        <w:t>Mimecast. (2025). State of human risk report 2025: 95% of data breaches involve human error. SC World, March. Available at: https://www.scworld.com/news/95-of-data-breaches-involve-human-error-report-reveals/</w:t>
      </w:r>
    </w:p>
    <w:p w14:paraId="4453CE53" w14:textId="77777777" w:rsidR="00C70B8E" w:rsidRDefault="00000000">
      <w:pPr>
        <w:spacing w:before="60" w:after="80"/>
        <w:ind w:left="720" w:hanging="720"/>
      </w:pPr>
      <w:proofErr w:type="spellStart"/>
      <w:r>
        <w:rPr>
          <w:color w:val="1A2340"/>
          <w:sz w:val="20"/>
          <w:szCs w:val="20"/>
        </w:rPr>
        <w:t>TechCabal</w:t>
      </w:r>
      <w:proofErr w:type="spellEnd"/>
      <w:r>
        <w:rPr>
          <w:color w:val="1A2340"/>
          <w:sz w:val="20"/>
          <w:szCs w:val="20"/>
        </w:rPr>
        <w:t xml:space="preserve">. (2025). Cyber breaches became harder to hide in Africa. </w:t>
      </w:r>
      <w:proofErr w:type="spellStart"/>
      <w:r>
        <w:rPr>
          <w:color w:val="1A2340"/>
          <w:sz w:val="20"/>
          <w:szCs w:val="20"/>
        </w:rPr>
        <w:t>TechCabal</w:t>
      </w:r>
      <w:proofErr w:type="spellEnd"/>
      <w:r>
        <w:rPr>
          <w:color w:val="1A2340"/>
          <w:sz w:val="20"/>
          <w:szCs w:val="20"/>
        </w:rPr>
        <w:t>, 30 December. Available at: https://techcabal.com/2025/12/30/cyber-breaches-became-harder-to-hide/</w:t>
      </w:r>
    </w:p>
    <w:p w14:paraId="5E1F1E91" w14:textId="77777777" w:rsidR="00C70B8E" w:rsidRDefault="00000000">
      <w:pPr>
        <w:spacing w:before="60" w:after="80"/>
        <w:ind w:left="720" w:hanging="720"/>
      </w:pPr>
      <w:r>
        <w:rPr>
          <w:color w:val="1A2340"/>
          <w:sz w:val="20"/>
          <w:szCs w:val="20"/>
        </w:rPr>
        <w:t>Verizon. (2024). Data breach investigations report 2024. Verizon Communications. Available at: https://www.verizon.com/business/resources/reports/dbir/</w:t>
      </w:r>
    </w:p>
    <w:p w14:paraId="6AE48766" w14:textId="77777777" w:rsidR="00C70B8E" w:rsidRDefault="00C70B8E">
      <w:pPr>
        <w:spacing w:after="120"/>
      </w:pPr>
    </w:p>
    <w:p w14:paraId="5C2B5561" w14:textId="77777777" w:rsidR="00C70B8E" w:rsidRDefault="00000000">
      <w:pPr>
        <w:spacing w:before="200" w:after="60"/>
      </w:pPr>
      <w:r>
        <w:rPr>
          <w:b/>
          <w:bCs/>
          <w:color w:val="00695C"/>
          <w:spacing w:val="40"/>
          <w:sz w:val="18"/>
          <w:szCs w:val="18"/>
        </w:rPr>
        <w:t>TOPIC 2 — FINTECH</w:t>
      </w:r>
    </w:p>
    <w:p w14:paraId="057757DD" w14:textId="77777777" w:rsidR="00C70B8E" w:rsidRDefault="00000000">
      <w:pPr>
        <w:spacing w:before="60" w:after="80"/>
        <w:ind w:left="720" w:hanging="720"/>
      </w:pPr>
      <w:r>
        <w:rPr>
          <w:color w:val="1A2340"/>
          <w:sz w:val="20"/>
          <w:szCs w:val="20"/>
        </w:rPr>
        <w:t>Fintech News Africa. (2025). Mobile money drives surge in financial inclusion. Fintech News Africa, August. Available at: https://fintechnews.africa/45748/fintechafrica/mobile-money-drives-surge-in-financial-inclusion/</w:t>
      </w:r>
    </w:p>
    <w:p w14:paraId="4E7262CB" w14:textId="77777777" w:rsidR="00C70B8E" w:rsidRDefault="00000000">
      <w:pPr>
        <w:spacing w:before="60" w:after="80"/>
        <w:ind w:left="720" w:hanging="720"/>
      </w:pPr>
      <w:r>
        <w:rPr>
          <w:color w:val="1A2340"/>
          <w:sz w:val="20"/>
          <w:szCs w:val="20"/>
        </w:rPr>
        <w:lastRenderedPageBreak/>
        <w:t>Mhlanga, D. &amp; Denhere, V. (2024). Mobile fintech adoption in Sub-Saharan Africa: A systematic literature review. Research in International Business and Finance, 70. Available at: https://www.sciencedirect.com/science/article/pii/S0275531924003222</w:t>
      </w:r>
    </w:p>
    <w:p w14:paraId="1544F7B7" w14:textId="77777777" w:rsidR="00C70B8E" w:rsidRDefault="00000000">
      <w:pPr>
        <w:spacing w:before="60" w:after="80"/>
        <w:ind w:left="720" w:hanging="720"/>
      </w:pPr>
      <w:r>
        <w:rPr>
          <w:color w:val="1A2340"/>
          <w:sz w:val="20"/>
          <w:szCs w:val="20"/>
        </w:rPr>
        <w:t>US Export-Import Bank. (2024). South Africa's growing fintech sector. EXIM.gov. Available at: https://www.exim.gov/events/south-africas-growing-fintech-sector</w:t>
      </w:r>
    </w:p>
    <w:p w14:paraId="11DFE586" w14:textId="77777777" w:rsidR="00C70B8E" w:rsidRDefault="00000000">
      <w:pPr>
        <w:spacing w:before="60" w:after="80"/>
        <w:ind w:left="720" w:hanging="720"/>
      </w:pPr>
      <w:r>
        <w:rPr>
          <w:color w:val="1A2340"/>
          <w:sz w:val="20"/>
          <w:szCs w:val="20"/>
        </w:rPr>
        <w:t>World Bank. (2025). Global Findex database 2025: Financial inclusion, digital payments, and resilience. World Bank Group. Available at: https://www.worldbank.org/en/publication/globalfindex</w:t>
      </w:r>
    </w:p>
    <w:p w14:paraId="55750871" w14:textId="77777777" w:rsidR="00C70B8E" w:rsidRDefault="00C70B8E">
      <w:pPr>
        <w:spacing w:after="120"/>
      </w:pPr>
    </w:p>
    <w:p w14:paraId="05D1AAD3" w14:textId="77777777" w:rsidR="00C70B8E" w:rsidRDefault="00000000">
      <w:pPr>
        <w:spacing w:before="200" w:after="60"/>
      </w:pPr>
      <w:r>
        <w:rPr>
          <w:b/>
          <w:bCs/>
          <w:color w:val="6A1B9A"/>
          <w:spacing w:val="40"/>
          <w:sz w:val="18"/>
          <w:szCs w:val="18"/>
        </w:rPr>
        <w:t>TOPIC 3 — CLOUD COMPUTING</w:t>
      </w:r>
    </w:p>
    <w:p w14:paraId="579316F9" w14:textId="77777777" w:rsidR="00C70B8E" w:rsidRDefault="00000000">
      <w:pPr>
        <w:spacing w:before="60" w:after="80"/>
        <w:ind w:left="720" w:hanging="720"/>
      </w:pPr>
      <w:r>
        <w:rPr>
          <w:color w:val="1A2340"/>
          <w:sz w:val="20"/>
          <w:szCs w:val="20"/>
        </w:rPr>
        <w:t>International Journal of Science and Research Advancements (IJSRA). (2024). Reviewing the impact of cloud computing on SMEs in Africa. IJSRA, 3(2). Available at: https://ijsra.net/sites/default/files/IJSRA-2024-0236.pdf</w:t>
      </w:r>
    </w:p>
    <w:p w14:paraId="40E542BF" w14:textId="77777777" w:rsidR="00C70B8E" w:rsidRDefault="00000000">
      <w:pPr>
        <w:spacing w:before="60" w:after="80"/>
        <w:ind w:left="720" w:hanging="720"/>
      </w:pPr>
      <w:r>
        <w:rPr>
          <w:color w:val="1A2340"/>
          <w:sz w:val="20"/>
          <w:szCs w:val="20"/>
        </w:rPr>
        <w:t>McKinsey &amp; Company. (2024). Africa's leap ahead into cloud: Opportunities and barriers. McKinsey Digital, January. Available at: https://www.mckinsey.com/capabilities/mckinsey-digital/our-insights/africas-leap-ahead-into-cloud-opportunities-and-barriers</w:t>
      </w:r>
    </w:p>
    <w:p w14:paraId="363E6FA1" w14:textId="77777777" w:rsidR="00C70B8E" w:rsidRDefault="00000000">
      <w:pPr>
        <w:spacing w:before="60" w:after="80"/>
        <w:ind w:left="720" w:hanging="720"/>
      </w:pPr>
      <w:r>
        <w:rPr>
          <w:color w:val="1A2340"/>
          <w:sz w:val="20"/>
          <w:szCs w:val="20"/>
        </w:rPr>
        <w:t>Mokwena, L. &amp; Sithole, B. (2024). Barriers of cloud computing adoption by SMEs in Polokwane Municipality. Propulsion Technology Journal, 45(3). Available at: https://www.propulsiontechjournal.com/index.php/journal/article/download/6674/4364/11469</w:t>
      </w:r>
    </w:p>
    <w:p w14:paraId="144D4FF4" w14:textId="77777777" w:rsidR="00C70B8E" w:rsidRDefault="00C70B8E">
      <w:pPr>
        <w:spacing w:after="120"/>
      </w:pPr>
    </w:p>
    <w:p w14:paraId="7500FCA8" w14:textId="77777777" w:rsidR="00C70B8E" w:rsidRDefault="00000000">
      <w:pPr>
        <w:spacing w:before="200" w:after="60"/>
      </w:pPr>
      <w:r>
        <w:rPr>
          <w:b/>
          <w:bCs/>
          <w:color w:val="B71C1C"/>
          <w:spacing w:val="40"/>
          <w:sz w:val="18"/>
          <w:szCs w:val="18"/>
        </w:rPr>
        <w:t>TOPIC 4 — DATA CENTRES</w:t>
      </w:r>
    </w:p>
    <w:p w14:paraId="41E9C200" w14:textId="77777777" w:rsidR="00C70B8E" w:rsidRDefault="00000000">
      <w:pPr>
        <w:spacing w:before="60" w:after="80"/>
        <w:ind w:left="720" w:hanging="720"/>
      </w:pPr>
      <w:r>
        <w:rPr>
          <w:color w:val="1A2340"/>
          <w:sz w:val="20"/>
          <w:szCs w:val="20"/>
        </w:rPr>
        <w:t>ACM / Carnegie Mellon University Africa. (2025). A water efficiency dataset for African data centres. ACM COMPASS. Available at: https://dl.acm.org/doi/10.1145/3715335.3735483</w:t>
      </w:r>
    </w:p>
    <w:p w14:paraId="3FC45557" w14:textId="77777777" w:rsidR="00C70B8E" w:rsidRDefault="00000000">
      <w:pPr>
        <w:spacing w:before="60" w:after="80"/>
        <w:ind w:left="720" w:hanging="720"/>
      </w:pPr>
      <w:r>
        <w:rPr>
          <w:color w:val="1A2340"/>
          <w:sz w:val="20"/>
          <w:szCs w:val="20"/>
        </w:rPr>
        <w:t>Daily Maverick. (2026). Why the clouds of secrecy over the impacts of SA data centre growth? Daily Maverick, 11 February. Available at: https://www.dailymaverick.co.za/article/2026-02-11-why-the-clouds-of-secrecy-over-the-impacts-of-sa-data-centre-growth/</w:t>
      </w:r>
    </w:p>
    <w:p w14:paraId="6A0AAE30" w14:textId="77777777" w:rsidR="00C70B8E" w:rsidRDefault="00000000">
      <w:pPr>
        <w:spacing w:before="60" w:after="80"/>
        <w:ind w:left="720" w:hanging="720"/>
      </w:pPr>
      <w:r>
        <w:rPr>
          <w:color w:val="1A2340"/>
          <w:sz w:val="20"/>
          <w:szCs w:val="20"/>
        </w:rPr>
        <w:t>International Energy Agency (IEA). (2025). Electricity 2025: Analysis and forecast to 2027. IEA Publications. Available at: https://www.iea.org/reports/electricity-2025</w:t>
      </w:r>
    </w:p>
    <w:p w14:paraId="36C9617F" w14:textId="77777777" w:rsidR="00C70B8E" w:rsidRDefault="00000000">
      <w:pPr>
        <w:spacing w:before="60" w:after="80"/>
        <w:ind w:left="720" w:hanging="720"/>
      </w:pPr>
      <w:r>
        <w:rPr>
          <w:color w:val="1A2340"/>
          <w:sz w:val="20"/>
          <w:szCs w:val="20"/>
        </w:rPr>
        <w:t>United Nations Environment Programme (UNEP). (2025). UNEP releases guidelines to curb environmental impact of data centres. UNEP, June. Available at: https://www.unep.org/technical-highlight/unep-releases-guidelines-curb-environmental-impact-data-centres</w:t>
      </w:r>
    </w:p>
    <w:p w14:paraId="66AE1ADA" w14:textId="77777777" w:rsidR="00C70B8E" w:rsidRDefault="00000000">
      <w:pPr>
        <w:spacing w:before="60" w:after="80"/>
        <w:ind w:left="720" w:hanging="720"/>
      </w:pPr>
      <w:r>
        <w:rPr>
          <w:color w:val="1A2340"/>
          <w:sz w:val="20"/>
          <w:szCs w:val="20"/>
        </w:rPr>
        <w:t xml:space="preserve">Van </w:t>
      </w:r>
      <w:proofErr w:type="spellStart"/>
      <w:r>
        <w:rPr>
          <w:color w:val="1A2340"/>
          <w:sz w:val="20"/>
          <w:szCs w:val="20"/>
        </w:rPr>
        <w:t>Campenhout</w:t>
      </w:r>
      <w:proofErr w:type="spellEnd"/>
      <w:r>
        <w:rPr>
          <w:color w:val="1A2340"/>
          <w:sz w:val="20"/>
          <w:szCs w:val="20"/>
        </w:rPr>
        <w:t>, B. et al. (2025). Carbon and water footprints of data centres and AI. Cell Press Patterns, December. Available at: https://www.sciencedirect.com/science/article/pii/S2666389925002788</w:t>
      </w:r>
    </w:p>
    <w:p w14:paraId="4049159B" w14:textId="77777777" w:rsidR="00C70B8E" w:rsidRDefault="00C70B8E">
      <w:pPr>
        <w:spacing w:after="120"/>
      </w:pPr>
    </w:p>
    <w:p w14:paraId="4ECEB12D" w14:textId="77777777" w:rsidR="00C70B8E" w:rsidRDefault="00000000">
      <w:pPr>
        <w:spacing w:before="200" w:after="60"/>
      </w:pPr>
      <w:r>
        <w:rPr>
          <w:b/>
          <w:bCs/>
          <w:color w:val="0D1B3E"/>
          <w:spacing w:val="40"/>
          <w:sz w:val="18"/>
          <w:szCs w:val="18"/>
        </w:rPr>
        <w:t>RESEARCH METHODOLOGY</w:t>
      </w:r>
    </w:p>
    <w:p w14:paraId="6A6FEB54" w14:textId="77777777" w:rsidR="00C70B8E" w:rsidRDefault="00000000">
      <w:pPr>
        <w:spacing w:before="60" w:after="80"/>
        <w:ind w:left="720" w:hanging="720"/>
      </w:pPr>
      <w:r>
        <w:rPr>
          <w:color w:val="1A2340"/>
          <w:sz w:val="20"/>
          <w:szCs w:val="20"/>
        </w:rPr>
        <w:t>Kumar, R. (2011). Research methodology: A step-by-step guide for beginners. 3rd ed. London: SAGE Publications.</w:t>
      </w:r>
    </w:p>
    <w:sectPr w:rsidR="00C70B8E">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8D6AB" w14:textId="77777777" w:rsidR="00B1031C" w:rsidRDefault="00B1031C">
      <w:r>
        <w:separator/>
      </w:r>
    </w:p>
  </w:endnote>
  <w:endnote w:type="continuationSeparator" w:id="0">
    <w:p w14:paraId="652D468C" w14:textId="77777777" w:rsidR="00B1031C" w:rsidRDefault="00B103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0EF55" w14:textId="77777777" w:rsidR="00C70B8E" w:rsidRDefault="00000000">
    <w:pPr>
      <w:pBdr>
        <w:top w:val="single" w:sz="6" w:space="0" w:color="E8A020"/>
      </w:pBdr>
      <w:spacing w:before="80"/>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D17719">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D17719">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AEF7F" w14:textId="77777777" w:rsidR="00B1031C" w:rsidRDefault="00B1031C">
      <w:r>
        <w:separator/>
      </w:r>
    </w:p>
  </w:footnote>
  <w:footnote w:type="continuationSeparator" w:id="0">
    <w:p w14:paraId="0FF29703" w14:textId="77777777" w:rsidR="00B1031C" w:rsidRDefault="00B103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86" w:type="dxa"/>
      <w:tblBorders>
        <w:bottom w:val="single" w:sz="6" w:space="0" w:color="E8A02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386"/>
    </w:tblGrid>
    <w:tr w:rsidR="00C70B8E" w14:paraId="393756D2" w14:textId="77777777">
      <w:tblPrEx>
        <w:tblCellMar>
          <w:top w:w="0" w:type="dxa"/>
          <w:bottom w:w="0" w:type="dxa"/>
        </w:tblCellMar>
      </w:tblPrEx>
      <w:tc>
        <w:tcPr>
          <w:tcW w:w="6000" w:type="dxa"/>
          <w:tcMar>
            <w:bottom w:w="80" w:type="dxa"/>
          </w:tcMar>
        </w:tcPr>
        <w:p w14:paraId="2E0A3DE6" w14:textId="77777777" w:rsidR="00C70B8E" w:rsidRDefault="00000000">
          <w:r>
            <w:rPr>
              <w:b/>
              <w:bCs/>
              <w:color w:val="0D1B3E"/>
              <w:sz w:val="18"/>
              <w:szCs w:val="18"/>
            </w:rPr>
            <w:t>Project 4 — Research Topic Proposals</w:t>
          </w:r>
        </w:p>
      </w:tc>
      <w:tc>
        <w:tcPr>
          <w:tcW w:w="3386" w:type="dxa"/>
          <w:tcMar>
            <w:bottom w:w="80" w:type="dxa"/>
          </w:tcMar>
        </w:tcPr>
        <w:p w14:paraId="59F57932" w14:textId="77777777" w:rsidR="00C70B8E" w:rsidRDefault="00000000">
          <w:pPr>
            <w:jc w:val="right"/>
          </w:pPr>
          <w:r>
            <w:rPr>
              <w:color w:val="888888"/>
              <w:sz w:val="16"/>
              <w:szCs w:val="16"/>
            </w:rPr>
            <w:t>RME478</w:t>
          </w:r>
          <w:proofErr w:type="gramStart"/>
          <w:r>
            <w:rPr>
              <w:color w:val="888888"/>
              <w:sz w:val="16"/>
              <w:szCs w:val="16"/>
            </w:rPr>
            <w:t>S  ·</w:t>
          </w:r>
          <w:proofErr w:type="gramEnd"/>
          <w:r>
            <w:rPr>
              <w:color w:val="888888"/>
              <w:sz w:val="16"/>
              <w:szCs w:val="16"/>
            </w:rPr>
            <w:t xml:space="preserve">  Advanced Diploma </w:t>
          </w:r>
          <w:proofErr w:type="gramStart"/>
          <w:r>
            <w:rPr>
              <w:color w:val="888888"/>
              <w:sz w:val="16"/>
              <w:szCs w:val="16"/>
            </w:rPr>
            <w:t>ICT  ·</w:t>
          </w:r>
          <w:proofErr w:type="gramEnd"/>
          <w:r>
            <w:rPr>
              <w:color w:val="888888"/>
              <w:sz w:val="16"/>
              <w:szCs w:val="16"/>
            </w:rPr>
            <w:t xml:space="preserve">  </w:t>
          </w:r>
          <w:proofErr w:type="gramStart"/>
          <w:r>
            <w:rPr>
              <w:color w:val="888888"/>
              <w:sz w:val="16"/>
              <w:szCs w:val="16"/>
            </w:rPr>
            <w:t>CPUT  ·</w:t>
          </w:r>
          <w:proofErr w:type="gramEnd"/>
          <w:r>
            <w:rPr>
              <w:color w:val="888888"/>
              <w:sz w:val="16"/>
              <w:szCs w:val="16"/>
            </w:rPr>
            <w:t xml:space="preserve">  2026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17F76"/>
    <w:multiLevelType w:val="hybridMultilevel"/>
    <w:tmpl w:val="EC10DF90"/>
    <w:lvl w:ilvl="0" w:tplc="400C81F4">
      <w:start w:val="1"/>
      <w:numFmt w:val="bullet"/>
      <w:lvlText w:val="●"/>
      <w:lvlJc w:val="left"/>
      <w:pPr>
        <w:ind w:left="720" w:hanging="360"/>
      </w:pPr>
    </w:lvl>
    <w:lvl w:ilvl="1" w:tplc="0F929F1A">
      <w:start w:val="1"/>
      <w:numFmt w:val="bullet"/>
      <w:lvlText w:val="○"/>
      <w:lvlJc w:val="left"/>
      <w:pPr>
        <w:ind w:left="1440" w:hanging="360"/>
      </w:pPr>
    </w:lvl>
    <w:lvl w:ilvl="2" w:tplc="1E249B04">
      <w:start w:val="1"/>
      <w:numFmt w:val="bullet"/>
      <w:lvlText w:val="■"/>
      <w:lvlJc w:val="left"/>
      <w:pPr>
        <w:ind w:left="2160" w:hanging="360"/>
      </w:pPr>
    </w:lvl>
    <w:lvl w:ilvl="3" w:tplc="6F78B88E">
      <w:start w:val="1"/>
      <w:numFmt w:val="bullet"/>
      <w:lvlText w:val="●"/>
      <w:lvlJc w:val="left"/>
      <w:pPr>
        <w:ind w:left="2880" w:hanging="360"/>
      </w:pPr>
    </w:lvl>
    <w:lvl w:ilvl="4" w:tplc="D7289FAE">
      <w:start w:val="1"/>
      <w:numFmt w:val="bullet"/>
      <w:lvlText w:val="○"/>
      <w:lvlJc w:val="left"/>
      <w:pPr>
        <w:ind w:left="3600" w:hanging="360"/>
      </w:pPr>
    </w:lvl>
    <w:lvl w:ilvl="5" w:tplc="454AAD42">
      <w:start w:val="1"/>
      <w:numFmt w:val="bullet"/>
      <w:lvlText w:val="■"/>
      <w:lvlJc w:val="left"/>
      <w:pPr>
        <w:ind w:left="4320" w:hanging="360"/>
      </w:pPr>
    </w:lvl>
    <w:lvl w:ilvl="6" w:tplc="37CAB15E">
      <w:start w:val="1"/>
      <w:numFmt w:val="bullet"/>
      <w:lvlText w:val="●"/>
      <w:lvlJc w:val="left"/>
      <w:pPr>
        <w:ind w:left="5040" w:hanging="360"/>
      </w:pPr>
    </w:lvl>
    <w:lvl w:ilvl="7" w:tplc="188C3952">
      <w:start w:val="1"/>
      <w:numFmt w:val="bullet"/>
      <w:lvlText w:val="●"/>
      <w:lvlJc w:val="left"/>
      <w:pPr>
        <w:ind w:left="5760" w:hanging="360"/>
      </w:pPr>
    </w:lvl>
    <w:lvl w:ilvl="8" w:tplc="69A08BFA">
      <w:start w:val="1"/>
      <w:numFmt w:val="bullet"/>
      <w:lvlText w:val="●"/>
      <w:lvlJc w:val="left"/>
      <w:pPr>
        <w:ind w:left="6480" w:hanging="360"/>
      </w:pPr>
    </w:lvl>
  </w:abstractNum>
  <w:abstractNum w:abstractNumId="1" w15:restartNumberingAfterBreak="0">
    <w:nsid w:val="631D201F"/>
    <w:multiLevelType w:val="hybridMultilevel"/>
    <w:tmpl w:val="0EBA3C2C"/>
    <w:lvl w:ilvl="0" w:tplc="D10C384A">
      <w:start w:val="1"/>
      <w:numFmt w:val="bullet"/>
      <w:lvlText w:val="•"/>
      <w:lvlJc w:val="left"/>
      <w:pPr>
        <w:ind w:left="360" w:hanging="260"/>
      </w:pPr>
    </w:lvl>
    <w:lvl w:ilvl="1" w:tplc="D2D01D18">
      <w:numFmt w:val="decimal"/>
      <w:lvlText w:val=""/>
      <w:lvlJc w:val="left"/>
    </w:lvl>
    <w:lvl w:ilvl="2" w:tplc="613A74BC">
      <w:numFmt w:val="decimal"/>
      <w:lvlText w:val=""/>
      <w:lvlJc w:val="left"/>
    </w:lvl>
    <w:lvl w:ilvl="3" w:tplc="E29E5986">
      <w:numFmt w:val="decimal"/>
      <w:lvlText w:val=""/>
      <w:lvlJc w:val="left"/>
    </w:lvl>
    <w:lvl w:ilvl="4" w:tplc="F78AED14">
      <w:numFmt w:val="decimal"/>
      <w:lvlText w:val=""/>
      <w:lvlJc w:val="left"/>
    </w:lvl>
    <w:lvl w:ilvl="5" w:tplc="D5189A7A">
      <w:numFmt w:val="decimal"/>
      <w:lvlText w:val=""/>
      <w:lvlJc w:val="left"/>
    </w:lvl>
    <w:lvl w:ilvl="6" w:tplc="B75A65BC">
      <w:numFmt w:val="decimal"/>
      <w:lvlText w:val=""/>
      <w:lvlJc w:val="left"/>
    </w:lvl>
    <w:lvl w:ilvl="7" w:tplc="46A48ACE">
      <w:numFmt w:val="decimal"/>
      <w:lvlText w:val=""/>
      <w:lvlJc w:val="left"/>
    </w:lvl>
    <w:lvl w:ilvl="8" w:tplc="9BC8DDF6">
      <w:numFmt w:val="decimal"/>
      <w:lvlText w:val=""/>
      <w:lvlJc w:val="left"/>
    </w:lvl>
  </w:abstractNum>
  <w:num w:numId="1" w16cid:durableId="1387293532">
    <w:abstractNumId w:val="0"/>
    <w:lvlOverride w:ilvl="0">
      <w:startOverride w:val="1"/>
    </w:lvlOverride>
  </w:num>
  <w:num w:numId="2" w16cid:durableId="17878472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0B8E"/>
    <w:rsid w:val="007C1A9B"/>
    <w:rsid w:val="00B1031C"/>
    <w:rsid w:val="00C70B8E"/>
    <w:rsid w:val="00D1771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41B77"/>
  <w15:docId w15:val="{B1523EB8-6414-4526-9C39-BDC91693E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D1B3E"/>
      <w:sz w:val="36"/>
      <w:szCs w:val="36"/>
    </w:rPr>
  </w:style>
  <w:style w:type="paragraph" w:styleId="Heading2">
    <w:name w:val="heading 2"/>
    <w:uiPriority w:val="9"/>
    <w:semiHidden/>
    <w:unhideWhenUsed/>
    <w:qFormat/>
    <w:pPr>
      <w:spacing w:before="200" w:after="100"/>
      <w:outlineLvl w:val="1"/>
    </w:pPr>
    <w:rPr>
      <w:b/>
      <w:bCs/>
      <w:color w:val="0D1B3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1771</Words>
  <Characters>10095</Characters>
  <Application>Microsoft Office Word</Application>
  <DocSecurity>0</DocSecurity>
  <Lines>84</Lines>
  <Paragraphs>23</Paragraphs>
  <ScaleCrop>false</ScaleCrop>
  <Company/>
  <LinksUpToDate>false</LinksUpToDate>
  <CharactersWithSpaces>11843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Thabiso Patrick Matsaba</cp:lastModifiedBy>
  <cp:revision>2</cp:revision>
  <dcterms:created xsi:type="dcterms:W3CDTF">2026-02-27T15:09:00Z</dcterms:created>
  <dcterms:modified xsi:type="dcterms:W3CDTF">2026-02-27T15:19:00Z</dcterms:modified>
</cp:coreProperties>
</file>