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color w:val="002060"/>
          <w:sz w:val="36"/>
        </w:rPr>
        <w:t>AI-DRIVEN MODEL ENGINEERING ACROSS THE LIFECYCLE</w:t>
      </w:r>
    </w:p>
    <w:p>
      <w:pPr>
        <w:spacing w:after="240"/>
        <w:jc w:val="center"/>
      </w:pPr>
      <w:r>
        <w:rPr>
          <w:rFonts w:ascii="Times New Roman" w:hAnsi="Times New Roman"/>
          <w:i/>
          <w:color w:val="505050"/>
          <w:sz w:val="24"/>
        </w:rPr>
        <w:t>Master Group SLR Document Structure &amp; Integrated Member 3 Research Report</w:t>
        <w:br/>
        <w:t>(RQ3, RQ5, RQ10 Synthesis, Gap Analysis, and Artifact Taxonomy)</w:t>
      </w:r>
    </w:p>
    <w:p>
      <w:pPr>
        <w:spacing w:after="360"/>
        <w:jc w:val="center"/>
      </w:pPr>
      <w:r>
        <w:rPr>
          <w:rFonts w:ascii="Times New Roman" w:hAnsi="Times New Roman"/>
          <w:b/>
          <w:sz w:val="20"/>
        </w:rPr>
        <w:t>Primary Base Document: SLR_Document_Update_5975 | Lead Author (Member 3): Thabiso</w:t>
        <w:br/>
        <w:t>Corpus: N = 77 Primary Included Studies | PRISMA 2020 Search Baseline: 1,198 Identified Records</w:t>
      </w:r>
    </w:p>
    <w:p>
      <w:pPr>
        <w:spacing w:after="120"/>
      </w:pPr>
    </w:p>
    <w:p>
      <w:pPr>
        <w:pStyle w:val="Heading1"/>
        <w:keepNext/>
        <w:spacing w:before="240" w:after="80"/>
      </w:pPr>
      <w:r>
        <w:rPr>
          <w:rFonts w:ascii="Times New Roman" w:hAnsi="Times New Roman"/>
          <w:b/>
          <w:color w:val="002060"/>
          <w:sz w:val="32"/>
        </w:rPr>
        <w:t>SECTION 1: INTRODUCTION &amp; SYSTEMATIC BACKGROUND</w:t>
      </w:r>
    </w:p>
    <w:p>
      <w:pPr>
        <w:spacing w:line="360" w:lineRule="auto" w:after="120"/>
        <w:jc w:val="both"/>
      </w:pPr>
      <w:r>
        <w:rPr>
          <w:rFonts w:ascii="Times New Roman" w:hAnsi="Times New Roman"/>
          <w:sz w:val="22"/>
        </w:rPr>
        <w:t>Model-Driven Engineering (MDE) elevates software models from secondary documentation to primary, executable artifacts throughout the software development lifecycle. By establishing Platform-Independent Models (PIMs) and applying formal Model-to-Model (M2M) and Model-to-Code (M2C) transformations, MDE aims to reduce architectural complexity, enforce domain-specific constraints, and accelerate system delivery. However, traditional MDE relies heavily on rigid, manually constructed transformation rules (e.g., ATL, QVT) and static metamodel schemas that are expensive to construct, maintain, and adapt to evolving requirements. Recent advances in Generative Artificial Intelligence (GenAI), Large Language Models (LLMs), and Neuro-Symbolic AI present a paradigm shift for software engineering, enabling automated synthesis, reverse engineering, and quality assurance across model-driven workflows.</w:t>
      </w:r>
    </w:p>
    <w:p>
      <w:pPr>
        <w:spacing w:line="360" w:lineRule="auto" w:after="120"/>
        <w:jc w:val="both"/>
      </w:pPr>
      <w:r>
        <w:rPr>
          <w:rFonts w:ascii="Times New Roman" w:hAnsi="Times New Roman"/>
          <w:sz w:val="22"/>
        </w:rPr>
        <w:t>This Systematic Literature Review (SLR) investigates the state of the art in AI-Driven Model Engineering (AI-DME). Grounded in established software engineering review guidelines and the PRISMA 2020 reporting protocol, this report synthesizes technical evidence across 15 core research questions (RQ1–RQ15). Tool proposals represent approximately 45% of the literature, introducing automated prototypes, plug-ins, and prompt pipelines (e.g., VeriGen, GenClass, SCEditor-Web, Impromptu, RQ2DSL). Empirical evaluations and benchmarks account for ~35% of studies, comparing AI capabilities against human designers and traditional baselines. Finally, methodological visions and conceptual frameworks constitute ~20% of the corpus, outlining architectural roadmaps for trustworthy AI integration.</w:t>
      </w:r>
    </w:p>
    <w:p>
      <w:pPr>
        <w:pStyle w:val="Heading1"/>
        <w:keepNext/>
        <w:spacing w:before="240" w:after="80"/>
      </w:pPr>
      <w:r>
        <w:rPr>
          <w:rFonts w:ascii="Times New Roman" w:hAnsi="Times New Roman"/>
          <w:b/>
          <w:color w:val="002060"/>
          <w:sz w:val="32"/>
        </w:rPr>
        <w:t>SECTION 2: SYSTEMATIC REVIEW METHODOLOGY &amp; PRISMA FLOW</w:t>
      </w:r>
    </w:p>
    <w:p>
      <w:pPr>
        <w:spacing w:line="360" w:lineRule="auto" w:after="120"/>
        <w:jc w:val="both"/>
      </w:pPr>
      <w:r>
        <w:rPr>
          <w:rFonts w:ascii="Times New Roman" w:hAnsi="Times New Roman"/>
          <w:sz w:val="22"/>
        </w:rPr>
        <w:t>Our systematic search protocol targeted six indexed computer science and software engineering repositories: IEEE Xplore, SpringerLink, ScienceDirect, ACM Digital Library, Scopus, and Web of Science. Initial broad-string queries returned a raw identification volume of 1,198 potential records. Following deduplication and title/abstract screening, 940 out-of-scope papers, short conference abstracts, and non-peer-reviewed items were excluded, advancing 258 records to full-text eligibility assessment.</w:t>
      </w:r>
    </w:p>
    <w:p>
      <w:pPr>
        <w:spacing w:line="360" w:lineRule="auto" w:after="120"/>
        <w:jc w:val="both"/>
      </w:pPr>
      <w:r>
        <w:rPr>
          <w:rFonts w:ascii="Times New Roman" w:hAnsi="Times New Roman"/>
          <w:sz w:val="22"/>
        </w:rPr>
        <w:t>During full-text eligibility screening, 181 papers were excluded due to a lack of an identifiable AI implementation, a primary focus on code-level optimization without software model representations, or a secondary review structure. This rigorous filtering resulted in a final synthesis corpus of N = 77 primary included studies (including 26 core toolchain implementations deeply extracted in the master workbook), demonstrating a narrow net inclusion ratio of 6.43% that reflects the highly specialized scope of current empirical AI-DME research.</w:t>
      </w:r>
    </w:p>
    <w:p>
      <w:pPr>
        <w:pStyle w:val="Heading1"/>
        <w:keepNext/>
        <w:spacing w:before="240" w:after="80"/>
      </w:pPr>
      <w:r>
        <w:rPr>
          <w:rFonts w:ascii="Times New Roman" w:hAnsi="Times New Roman"/>
          <w:b/>
          <w:color w:val="002060"/>
          <w:sz w:val="32"/>
        </w:rPr>
        <w:t>SECTION 4.3: AI APPLICATIONS ACROSS THE LIFECYCLE (RQ3)</w:t>
      </w:r>
    </w:p>
    <w:p>
      <w:pPr>
        <w:spacing w:line="360" w:lineRule="auto" w:after="120"/>
        <w:jc w:val="both"/>
      </w:pPr>
      <w:r>
        <w:rPr>
          <w:rFonts w:ascii="Times New Roman" w:hAnsi="Times New Roman"/>
          <w:sz w:val="22"/>
        </w:rPr>
        <w:t>Artificial intelligence techniques target the 12 model-engineering lifecycle stages defined in our Systematic Literature Review protocol unevenly. Across the final core corpus of N = 77 primary included studies (selected from 1,198 initial records identified and 258 screened full-text articles, with 26 deeply analyzed primary toolchain papers in the master workbook), empirical evidence shows heavy concentration in early forward synthesis and static extraction. These focused phases include Requirements Understanding (Stage 1), Requirements-to-Model Generation (Stage 2), Model-to-Code Synthesis (Stage 7), and Code-to-Model Extraction (Stage 8) (Ahmed et al., 2026; Alaswad et al., 2026; Siala &amp; Lano, 2026). Large Language Models such as GPT-4, DeepSeek-V3, and Qwen3-Coder drive these tasks alongside specialized neural architectures. For instance, fine-tuned T5 models utilize Sequence-to-AST translation, while Mistral-7B employs QLoRA adaptation. These architectures translate natural language requirements into declarative domain abstractions, metamodels, or compilable Java and Python code skeletons (Antal et al., 2024; Chen et al., 2023; Siala &amp; Lano, 2026). Other lifecycle stages show emerging adoption. Model Completion (Stage 3), Quality Assurance (Stage 4), Model Repair (Stage 5), and Model Transformation (Stage 6) deploy AI in recommender, grader, or reviewer roles. These tools rely on context-aware collaborative filtering, graph neural networks, or neuro-symbolic SMT solvers (Ben Chaaben et al., 2026; Di Rocco et al., 2023; Miranda et al., 2024; Tahat et al., 2026; Wang et al., 2024).</w:t>
      </w:r>
    </w:p>
    <w:p>
      <w:pPr>
        <w:spacing w:line="360" w:lineRule="auto" w:after="120"/>
        <w:jc w:val="both"/>
      </w:pPr>
      <w:r>
        <w:rPr>
          <w:rFonts w:ascii="Times New Roman" w:hAnsi="Times New Roman"/>
          <w:sz w:val="22"/>
        </w:rPr>
        <w:t>In contrast, late-stage lifecycle engineering lacks empirical support across the N = 77 reviewed papers. The review corpus contains zero empirical studies evaluating continuous Model-Code Synchronisation (Stage 9), Model Evolution (Stage 10), or Runtime Modelling (Stage 11) (Awan et al., 2026; Siala &amp; Lano, 2026). Collaborative Modelling (Stage 12) represents the sole exception. A single state-of-the-art framework embeds on-device language models into real-time blended automotive environments (EAST-ADL) to generate explainable change logs (Awan et al., 2026). As a result, AI currently functions as a design-time utility rather than a continuous engineering environment across the full software lifecycle.</w:t>
      </w:r>
    </w:p>
    <w:p>
      <w:pPr>
        <w:pStyle w:val="Heading2"/>
        <w:keepNext/>
        <w:spacing w:before="240" w:after="80"/>
      </w:pPr>
      <w:r>
        <w:rPr>
          <w:rFonts w:ascii="Times New Roman" w:hAnsi="Times New Roman"/>
          <w:b/>
          <w:color w:val="002060"/>
          <w:sz w:val="26"/>
        </w:rPr>
        <w:t>Table 4.3: Empirical Synthesis of AI Applications Across MDE Lifecycle Stages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728"/>
            <w:shd w:fill="002060"/>
            <w:tcMar>
              <w:top w:w="120" w:type="dxa"/>
              <w:bottom w:w="120" w:type="dxa"/>
              <w:left w:w="150" w:type="dxa"/>
              <w:right w:w="150" w:type="dxa"/>
            </w:tcMar>
          </w:tcPr>
          <w:p>
            <w:pPr>
              <w:spacing w:after="40" w:before="40"/>
              <w:jc w:val="center"/>
            </w:pPr>
            <w:r>
              <w:rPr>
                <w:rFonts w:ascii="Times New Roman" w:hAnsi="Times New Roman"/>
                <w:b/>
                <w:color w:val="FFFFFF"/>
                <w:sz w:val="20"/>
              </w:rPr>
              <w:t>Lifecycle Stage</w:t>
            </w:r>
          </w:p>
        </w:tc>
        <w:tc>
          <w:tcPr>
            <w:tcW w:type="dxa" w:w="2592"/>
            <w:shd w:fill="002060"/>
            <w:tcMar>
              <w:top w:w="120" w:type="dxa"/>
              <w:bottom w:w="120" w:type="dxa"/>
              <w:left w:w="150" w:type="dxa"/>
              <w:right w:w="150" w:type="dxa"/>
            </w:tcMar>
          </w:tcPr>
          <w:p>
            <w:pPr>
              <w:spacing w:after="40" w:before="40"/>
              <w:jc w:val="center"/>
            </w:pPr>
            <w:r>
              <w:rPr>
                <w:rFonts w:ascii="Times New Roman" w:hAnsi="Times New Roman"/>
                <w:b/>
                <w:color w:val="FFFFFF"/>
                <w:sz w:val="20"/>
              </w:rPr>
              <w:t>AI Application</w:t>
            </w:r>
          </w:p>
        </w:tc>
        <w:tc>
          <w:tcPr>
            <w:tcW w:type="dxa" w:w="1872"/>
            <w:shd w:fill="002060"/>
            <w:tcMar>
              <w:top w:w="120" w:type="dxa"/>
              <w:bottom w:w="120" w:type="dxa"/>
              <w:left w:w="150" w:type="dxa"/>
              <w:right w:w="150" w:type="dxa"/>
            </w:tcMar>
          </w:tcPr>
          <w:p>
            <w:pPr>
              <w:spacing w:after="40" w:before="40"/>
              <w:jc w:val="center"/>
            </w:pPr>
            <w:r>
              <w:rPr>
                <w:rFonts w:ascii="Times New Roman" w:hAnsi="Times New Roman"/>
                <w:b/>
                <w:color w:val="FFFFFF"/>
                <w:sz w:val="20"/>
              </w:rPr>
              <w:t>Technology Stack</w:t>
            </w:r>
          </w:p>
        </w:tc>
        <w:tc>
          <w:tcPr>
            <w:tcW w:type="dxa" w:w="1440"/>
            <w:shd w:fill="002060"/>
            <w:tcMar>
              <w:top w:w="120" w:type="dxa"/>
              <w:bottom w:w="120" w:type="dxa"/>
              <w:left w:w="150" w:type="dxa"/>
              <w:right w:w="150" w:type="dxa"/>
            </w:tcMar>
          </w:tcPr>
          <w:p>
            <w:pPr>
              <w:spacing w:after="40" w:before="40"/>
              <w:jc w:val="center"/>
            </w:pPr>
            <w:r>
              <w:rPr>
                <w:rFonts w:ascii="Times New Roman" w:hAnsi="Times New Roman"/>
                <w:b/>
                <w:color w:val="FFFFFF"/>
                <w:sz w:val="20"/>
              </w:rPr>
              <w:t>Autonomy Level</w:t>
            </w:r>
          </w:p>
        </w:tc>
        <w:tc>
          <w:tcPr>
            <w:tcW w:type="dxa" w:w="1728"/>
            <w:shd w:fill="002060"/>
            <w:tcMar>
              <w:top w:w="120" w:type="dxa"/>
              <w:bottom w:w="120" w:type="dxa"/>
              <w:left w:w="150" w:type="dxa"/>
              <w:right w:w="150" w:type="dxa"/>
            </w:tcMar>
          </w:tcPr>
          <w:p>
            <w:pPr>
              <w:spacing w:after="40" w:before="40"/>
              <w:jc w:val="center"/>
            </w:pPr>
            <w:r>
              <w:rPr>
                <w:rFonts w:ascii="Times New Roman" w:hAnsi="Times New Roman"/>
                <w:b/>
                <w:color w:val="FFFFFF"/>
                <w:sz w:val="20"/>
              </w:rPr>
              <w:t>Evidence Level &amp; Anchor</w:t>
            </w:r>
          </w:p>
        </w:tc>
      </w:tr>
      <w:tr>
        <w:tc>
          <w:tcPr>
            <w:tcW w:type="dxa" w:w="1728"/>
            <w:shd w:fill="FFFFFF"/>
            <w:tcMar>
              <w:top w:w="100" w:type="dxa"/>
              <w:bottom w:w="100" w:type="dxa"/>
              <w:left w:w="150" w:type="dxa"/>
              <w:right w:w="150" w:type="dxa"/>
            </w:tcMar>
          </w:tcPr>
          <w:p>
            <w:pPr>
              <w:spacing w:after="40" w:before="40" w:line="276" w:lineRule="auto"/>
              <w:jc w:val="left"/>
            </w:pPr>
            <w:r>
              <w:rPr>
                <w:rFonts w:ascii="Times New Roman" w:hAnsi="Times New Roman"/>
                <w:sz w:val="19"/>
              </w:rPr>
              <w:t>1. Requirements Understanding</w:t>
            </w:r>
          </w:p>
        </w:tc>
        <w:tc>
          <w:tcPr>
            <w:tcW w:type="dxa" w:w="2592"/>
            <w:shd w:fill="FFFFFF"/>
            <w:tcMar>
              <w:top w:w="100" w:type="dxa"/>
              <w:bottom w:w="100" w:type="dxa"/>
              <w:left w:w="150" w:type="dxa"/>
              <w:right w:w="150" w:type="dxa"/>
            </w:tcMar>
          </w:tcPr>
          <w:p>
            <w:pPr>
              <w:spacing w:after="40" w:before="40" w:line="276" w:lineRule="auto"/>
              <w:jc w:val="left"/>
            </w:pPr>
            <w:r>
              <w:rPr>
                <w:rFonts w:ascii="Times New Roman" w:hAnsi="Times New Roman"/>
                <w:sz w:val="19"/>
              </w:rPr>
              <w:t>Entity extraction, RUPPs template structuring, obligations formalization.</w:t>
            </w:r>
          </w:p>
        </w:tc>
        <w:tc>
          <w:tcPr>
            <w:tcW w:type="dxa" w:w="1872"/>
            <w:shd w:fill="FFFFFF"/>
            <w:tcMar>
              <w:top w:w="100" w:type="dxa"/>
              <w:bottom w:w="100" w:type="dxa"/>
              <w:left w:w="150" w:type="dxa"/>
              <w:right w:w="150" w:type="dxa"/>
            </w:tcMar>
          </w:tcPr>
          <w:p>
            <w:pPr>
              <w:spacing w:after="40" w:before="40" w:line="276" w:lineRule="auto"/>
              <w:jc w:val="left"/>
            </w:pPr>
            <w:r>
              <w:rPr>
                <w:rFonts w:ascii="Times New Roman" w:hAnsi="Times New Roman"/>
                <w:sz w:val="19"/>
              </w:rPr>
              <w:t>Generative LLMs (GPT-4), spaCy NLP, KeyBERT.</w:t>
            </w:r>
          </w:p>
        </w:tc>
        <w:tc>
          <w:tcPr>
            <w:tcW w:type="dxa" w:w="1440"/>
            <w:shd w:fill="FFFFFF"/>
            <w:tcMar>
              <w:top w:w="100" w:type="dxa"/>
              <w:bottom w:w="100" w:type="dxa"/>
              <w:left w:w="150" w:type="dxa"/>
              <w:right w:w="150" w:type="dxa"/>
            </w:tcMar>
          </w:tcPr>
          <w:p>
            <w:pPr>
              <w:spacing w:after="40" w:before="40" w:line="276" w:lineRule="auto"/>
              <w:jc w:val="left"/>
            </w:pPr>
            <w:r>
              <w:rPr>
                <w:rFonts w:ascii="Times New Roman" w:hAnsi="Times New Roman"/>
                <w:sz w:val="19"/>
              </w:rPr>
              <w:t>Assistive (Human approves formalization).</w:t>
            </w:r>
          </w:p>
        </w:tc>
        <w:tc>
          <w:tcPr>
            <w:tcW w:type="dxa" w:w="1728"/>
            <w:shd w:fill="FFFFFF"/>
            <w:tcMar>
              <w:top w:w="100" w:type="dxa"/>
              <w:bottom w:w="100" w:type="dxa"/>
              <w:left w:w="150" w:type="dxa"/>
              <w:right w:w="150" w:type="dxa"/>
            </w:tcMar>
          </w:tcPr>
          <w:p>
            <w:pPr>
              <w:spacing w:after="40" w:before="40" w:line="276" w:lineRule="auto"/>
              <w:jc w:val="left"/>
            </w:pPr>
            <w:r>
              <w:rPr>
                <w:rFonts w:ascii="Times New Roman" w:hAnsi="Times New Roman"/>
                <w:sz w:val="19"/>
              </w:rPr>
              <w:t>Moderate (Focused empirical pipelines; Ahmed et al., 2026).</w:t>
            </w:r>
          </w:p>
        </w:tc>
      </w:tr>
      <w:tr>
        <w:tc>
          <w:tcPr>
            <w:tcW w:type="dxa" w:w="1728"/>
            <w:shd w:fill="F2F5F9"/>
            <w:tcMar>
              <w:top w:w="100" w:type="dxa"/>
              <w:bottom w:w="100" w:type="dxa"/>
              <w:left w:w="150" w:type="dxa"/>
              <w:right w:w="150" w:type="dxa"/>
            </w:tcMar>
          </w:tcPr>
          <w:p>
            <w:pPr>
              <w:spacing w:after="40" w:before="40" w:line="276" w:lineRule="auto"/>
              <w:jc w:val="left"/>
            </w:pPr>
            <w:r>
              <w:rPr>
                <w:rFonts w:ascii="Times New Roman" w:hAnsi="Times New Roman"/>
                <w:sz w:val="19"/>
              </w:rPr>
              <w:t>2. Requirements-to-Model Gen.</w:t>
            </w:r>
          </w:p>
        </w:tc>
        <w:tc>
          <w:tcPr>
            <w:tcW w:type="dxa" w:w="2592"/>
            <w:shd w:fill="F2F5F9"/>
            <w:tcMar>
              <w:top w:w="100" w:type="dxa"/>
              <w:bottom w:w="100" w:type="dxa"/>
              <w:left w:w="150" w:type="dxa"/>
              <w:right w:w="150" w:type="dxa"/>
            </w:tcMar>
          </w:tcPr>
          <w:p>
            <w:pPr>
              <w:spacing w:after="40" w:before="40" w:line="276" w:lineRule="auto"/>
              <w:jc w:val="left"/>
            </w:pPr>
            <w:r>
              <w:rPr>
                <w:rFonts w:ascii="Times New Roman" w:hAnsi="Times New Roman"/>
                <w:sz w:val="19"/>
              </w:rPr>
              <w:t>Synthesizing UML Class and Sequence diagrams, BPMN 2.0, PlantUML ASTs.</w:t>
            </w:r>
          </w:p>
        </w:tc>
        <w:tc>
          <w:tcPr>
            <w:tcW w:type="dxa" w:w="1872"/>
            <w:shd w:fill="F2F5F9"/>
            <w:tcMar>
              <w:top w:w="100" w:type="dxa"/>
              <w:bottom w:w="100" w:type="dxa"/>
              <w:left w:w="150" w:type="dxa"/>
              <w:right w:w="150" w:type="dxa"/>
            </w:tcMar>
          </w:tcPr>
          <w:p>
            <w:pPr>
              <w:spacing w:after="40" w:before="40" w:line="276" w:lineRule="auto"/>
              <w:jc w:val="left"/>
            </w:pPr>
            <w:r>
              <w:rPr>
                <w:rFonts w:ascii="Times New Roman" w:hAnsi="Times New Roman"/>
                <w:sz w:val="19"/>
              </w:rPr>
              <w:t>Seq2AST T5, GPT-4, DeepSeek-V3, WorldModel NLP.</w:t>
            </w:r>
          </w:p>
        </w:tc>
        <w:tc>
          <w:tcPr>
            <w:tcW w:type="dxa" w:w="1440"/>
            <w:shd w:fill="F2F5F9"/>
            <w:tcMar>
              <w:top w:w="100" w:type="dxa"/>
              <w:bottom w:w="100" w:type="dxa"/>
              <w:left w:w="150" w:type="dxa"/>
              <w:right w:w="150" w:type="dxa"/>
            </w:tcMar>
          </w:tcPr>
          <w:p>
            <w:pPr>
              <w:spacing w:after="40" w:before="40" w:line="276" w:lineRule="auto"/>
              <w:jc w:val="left"/>
            </w:pPr>
            <w:r>
              <w:rPr>
                <w:rFonts w:ascii="Times New Roman" w:hAnsi="Times New Roman"/>
                <w:sz w:val="19"/>
              </w:rPr>
              <w:t>Semi-Autonomous (Closed-loop verifiers).</w:t>
            </w:r>
          </w:p>
        </w:tc>
        <w:tc>
          <w:tcPr>
            <w:tcW w:type="dxa" w:w="1728"/>
            <w:shd w:fill="F2F5F9"/>
            <w:tcMar>
              <w:top w:w="100" w:type="dxa"/>
              <w:bottom w:w="100" w:type="dxa"/>
              <w:left w:w="150" w:type="dxa"/>
              <w:right w:w="150" w:type="dxa"/>
            </w:tcMar>
          </w:tcPr>
          <w:p>
            <w:pPr>
              <w:spacing w:after="40" w:before="40" w:line="276" w:lineRule="auto"/>
              <w:jc w:val="left"/>
            </w:pPr>
            <w:r>
              <w:rPr>
                <w:rFonts w:ascii="Times New Roman" w:hAnsi="Times New Roman"/>
                <w:sz w:val="19"/>
              </w:rPr>
              <w:t>Heavy (High volume of primary studies; Chen et al., 2023).</w:t>
            </w:r>
          </w:p>
        </w:tc>
      </w:tr>
      <w:tr>
        <w:tc>
          <w:tcPr>
            <w:tcW w:type="dxa" w:w="1728"/>
            <w:shd w:fill="FFFFFF"/>
            <w:tcMar>
              <w:top w:w="100" w:type="dxa"/>
              <w:bottom w:w="100" w:type="dxa"/>
              <w:left w:w="150" w:type="dxa"/>
              <w:right w:w="150" w:type="dxa"/>
            </w:tcMar>
          </w:tcPr>
          <w:p>
            <w:pPr>
              <w:spacing w:after="40" w:before="40" w:line="276" w:lineRule="auto"/>
              <w:jc w:val="left"/>
            </w:pPr>
            <w:r>
              <w:rPr>
                <w:rFonts w:ascii="Times New Roman" w:hAnsi="Times New Roman"/>
                <w:sz w:val="19"/>
              </w:rPr>
              <w:t>3. Model Completion</w:t>
            </w:r>
          </w:p>
        </w:tc>
        <w:tc>
          <w:tcPr>
            <w:tcW w:type="dxa" w:w="2592"/>
            <w:shd w:fill="FFFFFF"/>
            <w:tcMar>
              <w:top w:w="100" w:type="dxa"/>
              <w:bottom w:w="100" w:type="dxa"/>
              <w:left w:w="150" w:type="dxa"/>
              <w:right w:w="150" w:type="dxa"/>
            </w:tcMar>
          </w:tcPr>
          <w:p>
            <w:pPr>
              <w:spacing w:after="40" w:before="40" w:line="276" w:lineRule="auto"/>
              <w:jc w:val="left"/>
            </w:pPr>
            <w:r>
              <w:rPr>
                <w:rFonts w:ascii="Times New Roman" w:hAnsi="Times New Roman"/>
                <w:sz w:val="19"/>
              </w:rPr>
              <w:t>Recommending missing classes, attributes, metaclasses, structural features.</w:t>
            </w:r>
          </w:p>
        </w:tc>
        <w:tc>
          <w:tcPr>
            <w:tcW w:type="dxa" w:w="1872"/>
            <w:shd w:fill="FFFFFF"/>
            <w:tcMar>
              <w:top w:w="100" w:type="dxa"/>
              <w:bottom w:w="100" w:type="dxa"/>
              <w:left w:w="150" w:type="dxa"/>
              <w:right w:w="150" w:type="dxa"/>
            </w:tcMar>
          </w:tcPr>
          <w:p>
            <w:pPr>
              <w:spacing w:after="40" w:before="40" w:line="276" w:lineRule="auto"/>
              <w:jc w:val="left"/>
            </w:pPr>
            <w:r>
              <w:rPr>
                <w:rFonts w:ascii="Times New Roman" w:hAnsi="Times New Roman"/>
                <w:sz w:val="19"/>
              </w:rPr>
              <w:t>Collaborative Filtering (MemoRec), GPT-4 API (MAGDA).</w:t>
            </w:r>
          </w:p>
        </w:tc>
        <w:tc>
          <w:tcPr>
            <w:tcW w:type="dxa" w:w="1440"/>
            <w:shd w:fill="FFFFFF"/>
            <w:tcMar>
              <w:top w:w="100" w:type="dxa"/>
              <w:bottom w:w="100" w:type="dxa"/>
              <w:left w:w="150" w:type="dxa"/>
              <w:right w:w="150" w:type="dxa"/>
            </w:tcMar>
          </w:tcPr>
          <w:p>
            <w:pPr>
              <w:spacing w:after="40" w:before="40" w:line="276" w:lineRule="auto"/>
              <w:jc w:val="left"/>
            </w:pPr>
            <w:r>
              <w:rPr>
                <w:rFonts w:ascii="Times New Roman" w:hAnsi="Times New Roman"/>
                <w:sz w:val="19"/>
              </w:rPr>
              <w:t>Assistive (Modeler accepts or rejects items).</w:t>
            </w:r>
          </w:p>
        </w:tc>
        <w:tc>
          <w:tcPr>
            <w:tcW w:type="dxa" w:w="1728"/>
            <w:shd w:fill="FFFFFF"/>
            <w:tcMar>
              <w:top w:w="100" w:type="dxa"/>
              <w:bottom w:w="100" w:type="dxa"/>
              <w:left w:w="150" w:type="dxa"/>
              <w:right w:w="150" w:type="dxa"/>
            </w:tcMar>
          </w:tcPr>
          <w:p>
            <w:pPr>
              <w:spacing w:after="40" w:before="40" w:line="276" w:lineRule="auto"/>
              <w:jc w:val="left"/>
            </w:pPr>
            <w:r>
              <w:rPr>
                <w:rFonts w:ascii="Times New Roman" w:hAnsi="Times New Roman"/>
                <w:sz w:val="19"/>
              </w:rPr>
              <w:t>Moderate (Established recommender literature; Di Rocco et al., 2023).</w:t>
            </w:r>
          </w:p>
        </w:tc>
      </w:tr>
      <w:tr>
        <w:tc>
          <w:tcPr>
            <w:tcW w:type="dxa" w:w="1728"/>
            <w:shd w:fill="F2F5F9"/>
            <w:tcMar>
              <w:top w:w="100" w:type="dxa"/>
              <w:bottom w:w="100" w:type="dxa"/>
              <w:left w:w="150" w:type="dxa"/>
              <w:right w:w="150" w:type="dxa"/>
            </w:tcMar>
          </w:tcPr>
          <w:p>
            <w:pPr>
              <w:spacing w:after="40" w:before="40" w:line="276" w:lineRule="auto"/>
              <w:jc w:val="left"/>
            </w:pPr>
            <w:r>
              <w:rPr>
                <w:rFonts w:ascii="Times New Roman" w:hAnsi="Times New Roman"/>
                <w:sz w:val="19"/>
              </w:rPr>
              <w:t>4. Model Quality Assurance</w:t>
            </w:r>
          </w:p>
        </w:tc>
        <w:tc>
          <w:tcPr>
            <w:tcW w:type="dxa" w:w="2592"/>
            <w:shd w:fill="F2F5F9"/>
            <w:tcMar>
              <w:top w:w="100" w:type="dxa"/>
              <w:bottom w:w="100" w:type="dxa"/>
              <w:left w:w="150" w:type="dxa"/>
              <w:right w:w="150" w:type="dxa"/>
            </w:tcMar>
          </w:tcPr>
          <w:p>
            <w:pPr>
              <w:spacing w:after="40" w:before="40" w:line="276" w:lineRule="auto"/>
              <w:jc w:val="left"/>
            </w:pPr>
            <w:r>
              <w:rPr>
                <w:rFonts w:ascii="Times New Roman" w:hAnsi="Times New Roman"/>
                <w:sz w:val="19"/>
              </w:rPr>
              <w:t>Automated grading, defect detection, quality dimension scoring.</w:t>
            </w:r>
          </w:p>
        </w:tc>
        <w:tc>
          <w:tcPr>
            <w:tcW w:type="dxa" w:w="1872"/>
            <w:shd w:fill="F2F5F9"/>
            <w:tcMar>
              <w:top w:w="100" w:type="dxa"/>
              <w:bottom w:w="100" w:type="dxa"/>
              <w:left w:w="150" w:type="dxa"/>
              <w:right w:w="150" w:type="dxa"/>
            </w:tcMar>
          </w:tcPr>
          <w:p>
            <w:pPr>
              <w:spacing w:after="40" w:before="40" w:line="276" w:lineRule="auto"/>
              <w:jc w:val="left"/>
            </w:pPr>
            <w:r>
              <w:rPr>
                <w:rFonts w:ascii="Times New Roman" w:hAnsi="Times New Roman"/>
                <w:sz w:val="19"/>
              </w:rPr>
              <w:t>GPT-3.5 and GPT-4o Multimodal with Chain-of-Thought prompts.</w:t>
            </w:r>
          </w:p>
        </w:tc>
        <w:tc>
          <w:tcPr>
            <w:tcW w:type="dxa" w:w="1440"/>
            <w:shd w:fill="F2F5F9"/>
            <w:tcMar>
              <w:top w:w="100" w:type="dxa"/>
              <w:bottom w:w="100" w:type="dxa"/>
              <w:left w:w="150" w:type="dxa"/>
              <w:right w:w="150" w:type="dxa"/>
            </w:tcMar>
          </w:tcPr>
          <w:p>
            <w:pPr>
              <w:spacing w:after="40" w:before="40" w:line="276" w:lineRule="auto"/>
              <w:jc w:val="left"/>
            </w:pPr>
            <w:r>
              <w:rPr>
                <w:rFonts w:ascii="Times New Roman" w:hAnsi="Times New Roman"/>
                <w:sz w:val="19"/>
              </w:rPr>
              <w:t>Assistive (Instructor reviews feedback).</w:t>
            </w:r>
          </w:p>
        </w:tc>
        <w:tc>
          <w:tcPr>
            <w:tcW w:type="dxa" w:w="1728"/>
            <w:shd w:fill="F2F5F9"/>
            <w:tcMar>
              <w:top w:w="100" w:type="dxa"/>
              <w:bottom w:w="100" w:type="dxa"/>
              <w:left w:w="150" w:type="dxa"/>
              <w:right w:w="150" w:type="dxa"/>
            </w:tcMar>
          </w:tcPr>
          <w:p>
            <w:pPr>
              <w:spacing w:after="40" w:before="40" w:line="276" w:lineRule="auto"/>
              <w:jc w:val="left"/>
            </w:pPr>
            <w:r>
              <w:rPr>
                <w:rFonts w:ascii="Times New Roman" w:hAnsi="Times New Roman"/>
                <w:sz w:val="19"/>
              </w:rPr>
              <w:t>Moderate (Educational and grading studies; Wang et al., 2024).</w:t>
            </w:r>
          </w:p>
        </w:tc>
      </w:tr>
      <w:tr>
        <w:tc>
          <w:tcPr>
            <w:tcW w:type="dxa" w:w="1728"/>
            <w:shd w:fill="FFFFFF"/>
            <w:tcMar>
              <w:top w:w="100" w:type="dxa"/>
              <w:bottom w:w="100" w:type="dxa"/>
              <w:left w:w="150" w:type="dxa"/>
              <w:right w:w="150" w:type="dxa"/>
            </w:tcMar>
          </w:tcPr>
          <w:p>
            <w:pPr>
              <w:spacing w:after="40" w:before="40" w:line="276" w:lineRule="auto"/>
              <w:jc w:val="left"/>
            </w:pPr>
            <w:r>
              <w:rPr>
                <w:rFonts w:ascii="Times New Roman" w:hAnsi="Times New Roman"/>
                <w:sz w:val="19"/>
              </w:rPr>
              <w:t>5. Model Repair</w:t>
            </w:r>
          </w:p>
        </w:tc>
        <w:tc>
          <w:tcPr>
            <w:tcW w:type="dxa" w:w="2592"/>
            <w:shd w:fill="FFFFFF"/>
            <w:tcMar>
              <w:top w:w="100" w:type="dxa"/>
              <w:bottom w:w="100" w:type="dxa"/>
              <w:left w:w="150" w:type="dxa"/>
              <w:right w:w="150" w:type="dxa"/>
            </w:tcMar>
          </w:tcPr>
          <w:p>
            <w:pPr>
              <w:spacing w:after="40" w:before="40" w:line="276" w:lineRule="auto"/>
              <w:jc w:val="left"/>
            </w:pPr>
            <w:r>
              <w:rPr>
                <w:rFonts w:ascii="Times New Roman" w:hAnsi="Times New Roman"/>
                <w:sz w:val="19"/>
              </w:rPr>
              <w:t>Correcting hallucinations, anti-patterns, counterexample contract failures.</w:t>
            </w:r>
          </w:p>
        </w:tc>
        <w:tc>
          <w:tcPr>
            <w:tcW w:type="dxa" w:w="1872"/>
            <w:shd w:fill="FFFFFF"/>
            <w:tcMar>
              <w:top w:w="100" w:type="dxa"/>
              <w:bottom w:w="100" w:type="dxa"/>
              <w:left w:w="150" w:type="dxa"/>
              <w:right w:w="150" w:type="dxa"/>
            </w:tcMar>
          </w:tcPr>
          <w:p>
            <w:pPr>
              <w:spacing w:after="40" w:before="40" w:line="276" w:lineRule="auto"/>
              <w:jc w:val="left"/>
            </w:pPr>
            <w:r>
              <w:rPr>
                <w:rFonts w:ascii="Times New Roman" w:hAnsi="Times New Roman"/>
                <w:sz w:val="19"/>
              </w:rPr>
              <w:t>Neuro-Symbolic AI (AGREE-Dog and SMT JKind), Ecore Scanners.</w:t>
            </w:r>
          </w:p>
        </w:tc>
        <w:tc>
          <w:tcPr>
            <w:tcW w:type="dxa" w:w="1440"/>
            <w:shd w:fill="FFFFFF"/>
            <w:tcMar>
              <w:top w:w="100" w:type="dxa"/>
              <w:bottom w:w="100" w:type="dxa"/>
              <w:left w:w="150" w:type="dxa"/>
              <w:right w:w="150" w:type="dxa"/>
            </w:tcMar>
          </w:tcPr>
          <w:p>
            <w:pPr>
              <w:spacing w:after="40" w:before="40" w:line="276" w:lineRule="auto"/>
              <w:jc w:val="left"/>
            </w:pPr>
            <w:r>
              <w:rPr>
                <w:rFonts w:ascii="Times New Roman" w:hAnsi="Times New Roman"/>
                <w:sz w:val="19"/>
              </w:rPr>
              <w:t>Semi-Autonomous (Verifier-guided repair).</w:t>
            </w:r>
          </w:p>
        </w:tc>
        <w:tc>
          <w:tcPr>
            <w:tcW w:type="dxa" w:w="1728"/>
            <w:shd w:fill="FFFFFF"/>
            <w:tcMar>
              <w:top w:w="100" w:type="dxa"/>
              <w:bottom w:w="100" w:type="dxa"/>
              <w:left w:w="150" w:type="dxa"/>
              <w:right w:w="150" w:type="dxa"/>
            </w:tcMar>
          </w:tcPr>
          <w:p>
            <w:pPr>
              <w:spacing w:after="40" w:before="40" w:line="276" w:lineRule="auto"/>
              <w:jc w:val="left"/>
            </w:pPr>
            <w:r>
              <w:rPr>
                <w:rFonts w:ascii="Times New Roman" w:hAnsi="Times New Roman"/>
                <w:sz w:val="19"/>
              </w:rPr>
              <w:t>Moderate (Emerging neuro-symbolic tools; Tahat et al., 2026).</w:t>
            </w:r>
          </w:p>
        </w:tc>
      </w:tr>
      <w:tr>
        <w:tc>
          <w:tcPr>
            <w:tcW w:type="dxa" w:w="1728"/>
            <w:shd w:fill="F2F5F9"/>
            <w:tcMar>
              <w:top w:w="100" w:type="dxa"/>
              <w:bottom w:w="100" w:type="dxa"/>
              <w:left w:w="150" w:type="dxa"/>
              <w:right w:w="150" w:type="dxa"/>
            </w:tcMar>
          </w:tcPr>
          <w:p>
            <w:pPr>
              <w:spacing w:after="40" w:before="40" w:line="276" w:lineRule="auto"/>
              <w:jc w:val="left"/>
            </w:pPr>
            <w:r>
              <w:rPr>
                <w:rFonts w:ascii="Times New Roman" w:hAnsi="Times New Roman"/>
                <w:sz w:val="19"/>
              </w:rPr>
              <w:t>6. Model Transformation</w:t>
            </w:r>
          </w:p>
        </w:tc>
        <w:tc>
          <w:tcPr>
            <w:tcW w:type="dxa" w:w="2592"/>
            <w:shd w:fill="F2F5F9"/>
            <w:tcMar>
              <w:top w:w="100" w:type="dxa"/>
              <w:bottom w:w="100" w:type="dxa"/>
              <w:left w:w="150" w:type="dxa"/>
              <w:right w:w="150" w:type="dxa"/>
            </w:tcMar>
          </w:tcPr>
          <w:p>
            <w:pPr>
              <w:spacing w:after="40" w:before="40" w:line="276" w:lineRule="auto"/>
              <w:jc w:val="left"/>
            </w:pPr>
            <w:r>
              <w:rPr>
                <w:rFonts w:ascii="Times New Roman" w:hAnsi="Times New Roman"/>
                <w:sz w:val="19"/>
              </w:rPr>
              <w:t>Predicting inter-model links and consistency mappings across views.</w:t>
            </w:r>
          </w:p>
        </w:tc>
        <w:tc>
          <w:tcPr>
            <w:tcW w:type="dxa" w:w="1872"/>
            <w:shd w:fill="F2F5F9"/>
            <w:tcMar>
              <w:top w:w="100" w:type="dxa"/>
              <w:bottom w:w="100" w:type="dxa"/>
              <w:left w:w="150" w:type="dxa"/>
              <w:right w:w="150" w:type="dxa"/>
            </w:tcMar>
          </w:tcPr>
          <w:p>
            <w:pPr>
              <w:spacing w:after="40" w:before="40" w:line="276" w:lineRule="auto"/>
              <w:jc w:val="left"/>
            </w:pPr>
            <w:r>
              <w:rPr>
                <w:rFonts w:ascii="Times New Roman" w:hAnsi="Times New Roman"/>
                <w:sz w:val="19"/>
              </w:rPr>
              <w:t>Heterogeneous Graph Neural Networks (HGNNs), PyTorch Geom.</w:t>
            </w:r>
          </w:p>
        </w:tc>
        <w:tc>
          <w:tcPr>
            <w:tcW w:type="dxa" w:w="1440"/>
            <w:shd w:fill="F2F5F9"/>
            <w:tcMar>
              <w:top w:w="100" w:type="dxa"/>
              <w:bottom w:w="100" w:type="dxa"/>
              <w:left w:w="150" w:type="dxa"/>
              <w:right w:w="150" w:type="dxa"/>
            </w:tcMar>
          </w:tcPr>
          <w:p>
            <w:pPr>
              <w:spacing w:after="40" w:before="40" w:line="276" w:lineRule="auto"/>
              <w:jc w:val="left"/>
            </w:pPr>
            <w:r>
              <w:rPr>
                <w:rFonts w:ascii="Times New Roman" w:hAnsi="Times New Roman"/>
                <w:sz w:val="19"/>
              </w:rPr>
              <w:t>Assistive (Engineer verifies inferred links).</w:t>
            </w:r>
          </w:p>
        </w:tc>
        <w:tc>
          <w:tcPr>
            <w:tcW w:type="dxa" w:w="1728"/>
            <w:shd w:fill="F2F5F9"/>
            <w:tcMar>
              <w:top w:w="100" w:type="dxa"/>
              <w:bottom w:w="100" w:type="dxa"/>
              <w:left w:w="150" w:type="dxa"/>
              <w:right w:w="150" w:type="dxa"/>
            </w:tcMar>
          </w:tcPr>
          <w:p>
            <w:pPr>
              <w:spacing w:after="40" w:before="40" w:line="276" w:lineRule="auto"/>
              <w:jc w:val="left"/>
            </w:pPr>
            <w:r>
              <w:rPr>
                <w:rFonts w:ascii="Times New Roman" w:hAnsi="Times New Roman"/>
                <w:sz w:val="19"/>
              </w:rPr>
              <w:t>Light (Isolated specialized studies; Miranda et al., 2024).</w:t>
            </w:r>
          </w:p>
        </w:tc>
      </w:tr>
      <w:tr>
        <w:tc>
          <w:tcPr>
            <w:tcW w:type="dxa" w:w="1728"/>
            <w:shd w:fill="FFFFFF"/>
            <w:tcMar>
              <w:top w:w="100" w:type="dxa"/>
              <w:bottom w:w="100" w:type="dxa"/>
              <w:left w:w="150" w:type="dxa"/>
              <w:right w:w="150" w:type="dxa"/>
            </w:tcMar>
          </w:tcPr>
          <w:p>
            <w:pPr>
              <w:spacing w:after="40" w:before="40" w:line="276" w:lineRule="auto"/>
              <w:jc w:val="left"/>
            </w:pPr>
            <w:r>
              <w:rPr>
                <w:rFonts w:ascii="Times New Roman" w:hAnsi="Times New Roman"/>
                <w:sz w:val="19"/>
              </w:rPr>
              <w:t>7. Model-to-Code Synthesis</w:t>
            </w:r>
          </w:p>
        </w:tc>
        <w:tc>
          <w:tcPr>
            <w:tcW w:type="dxa" w:w="2592"/>
            <w:shd w:fill="FFFFFF"/>
            <w:tcMar>
              <w:top w:w="100" w:type="dxa"/>
              <w:bottom w:w="100" w:type="dxa"/>
              <w:left w:w="150" w:type="dxa"/>
              <w:right w:w="150" w:type="dxa"/>
            </w:tcMar>
          </w:tcPr>
          <w:p>
            <w:pPr>
              <w:spacing w:after="40" w:before="40" w:line="276" w:lineRule="auto"/>
              <w:jc w:val="left"/>
            </w:pPr>
            <w:r>
              <w:rPr>
                <w:rFonts w:ascii="Times New Roman" w:hAnsi="Times New Roman"/>
                <w:sz w:val="19"/>
              </w:rPr>
              <w:t>Generating compilable Java class skeletons, Solidity, MQL4 trading code.</w:t>
            </w:r>
          </w:p>
        </w:tc>
        <w:tc>
          <w:tcPr>
            <w:tcW w:type="dxa" w:w="1872"/>
            <w:shd w:fill="FFFFFF"/>
            <w:tcMar>
              <w:top w:w="100" w:type="dxa"/>
              <w:bottom w:w="100" w:type="dxa"/>
              <w:left w:w="150" w:type="dxa"/>
              <w:right w:w="150" w:type="dxa"/>
            </w:tcMar>
          </w:tcPr>
          <w:p>
            <w:pPr>
              <w:spacing w:after="40" w:before="40" w:line="276" w:lineRule="auto"/>
              <w:jc w:val="left"/>
            </w:pPr>
            <w:r>
              <w:rPr>
                <w:rFonts w:ascii="Times New Roman" w:hAnsi="Times New Roman"/>
                <w:sz w:val="19"/>
              </w:rPr>
              <w:t>Multimodal GPT-4V, Java template mapping, Slither static analysis.</w:t>
            </w:r>
          </w:p>
        </w:tc>
        <w:tc>
          <w:tcPr>
            <w:tcW w:type="dxa" w:w="1440"/>
            <w:shd w:fill="FFFFFF"/>
            <w:tcMar>
              <w:top w:w="100" w:type="dxa"/>
              <w:bottom w:w="100" w:type="dxa"/>
              <w:left w:w="150" w:type="dxa"/>
              <w:right w:w="150" w:type="dxa"/>
            </w:tcMar>
          </w:tcPr>
          <w:p>
            <w:pPr>
              <w:spacing w:after="40" w:before="40" w:line="276" w:lineRule="auto"/>
              <w:jc w:val="left"/>
            </w:pPr>
            <w:r>
              <w:rPr>
                <w:rFonts w:ascii="Times New Roman" w:hAnsi="Times New Roman"/>
                <w:sz w:val="19"/>
              </w:rPr>
              <w:t>Semi-Autonomous (Compiler and analyzer verified).</w:t>
            </w:r>
          </w:p>
        </w:tc>
        <w:tc>
          <w:tcPr>
            <w:tcW w:type="dxa" w:w="1728"/>
            <w:shd w:fill="FFFFFF"/>
            <w:tcMar>
              <w:top w:w="100" w:type="dxa"/>
              <w:bottom w:w="100" w:type="dxa"/>
              <w:left w:w="150" w:type="dxa"/>
              <w:right w:w="150" w:type="dxa"/>
            </w:tcMar>
          </w:tcPr>
          <w:p>
            <w:pPr>
              <w:spacing w:after="40" w:before="40" w:line="276" w:lineRule="auto"/>
              <w:jc w:val="left"/>
            </w:pPr>
            <w:r>
              <w:rPr>
                <w:rFonts w:ascii="Times New Roman" w:hAnsi="Times New Roman"/>
                <w:sz w:val="19"/>
              </w:rPr>
              <w:t>Heavy (Rich empirical evaluation; Antal et al., 2024).</w:t>
            </w:r>
          </w:p>
        </w:tc>
      </w:tr>
      <w:tr>
        <w:tc>
          <w:tcPr>
            <w:tcW w:type="dxa" w:w="1728"/>
            <w:shd w:fill="F2F5F9"/>
            <w:tcMar>
              <w:top w:w="100" w:type="dxa"/>
              <w:bottom w:w="100" w:type="dxa"/>
              <w:left w:w="150" w:type="dxa"/>
              <w:right w:w="150" w:type="dxa"/>
            </w:tcMar>
          </w:tcPr>
          <w:p>
            <w:pPr>
              <w:spacing w:after="40" w:before="40" w:line="276" w:lineRule="auto"/>
              <w:jc w:val="left"/>
            </w:pPr>
            <w:r>
              <w:rPr>
                <w:rFonts w:ascii="Times New Roman" w:hAnsi="Times New Roman"/>
                <w:sz w:val="19"/>
              </w:rPr>
              <w:t>8. Code-to-Model Extraction</w:t>
            </w:r>
          </w:p>
        </w:tc>
        <w:tc>
          <w:tcPr>
            <w:tcW w:type="dxa" w:w="2592"/>
            <w:shd w:fill="F2F5F9"/>
            <w:tcMar>
              <w:top w:w="100" w:type="dxa"/>
              <w:bottom w:w="100" w:type="dxa"/>
              <w:left w:w="150" w:type="dxa"/>
              <w:right w:w="150" w:type="dxa"/>
            </w:tcMar>
          </w:tcPr>
          <w:p>
            <w:pPr>
              <w:spacing w:after="40" w:before="40" w:line="276" w:lineRule="auto"/>
              <w:jc w:val="left"/>
            </w:pPr>
            <w:r>
              <w:rPr>
                <w:rFonts w:ascii="Times New Roman" w:hAnsi="Times New Roman"/>
                <w:sz w:val="19"/>
              </w:rPr>
              <w:t>Abstracting UML Class Diagrams and OCL constraints from Java and Python.</w:t>
            </w:r>
          </w:p>
        </w:tc>
        <w:tc>
          <w:tcPr>
            <w:tcW w:type="dxa" w:w="1872"/>
            <w:shd w:fill="F2F5F9"/>
            <w:tcMar>
              <w:top w:w="100" w:type="dxa"/>
              <w:bottom w:w="100" w:type="dxa"/>
              <w:left w:w="150" w:type="dxa"/>
              <w:right w:w="150" w:type="dxa"/>
            </w:tcMar>
          </w:tcPr>
          <w:p>
            <w:pPr>
              <w:spacing w:after="40" w:before="40" w:line="276" w:lineRule="auto"/>
              <w:jc w:val="left"/>
            </w:pPr>
            <w:r>
              <w:rPr>
                <w:rFonts w:ascii="Times New Roman" w:hAnsi="Times New Roman"/>
                <w:sz w:val="19"/>
              </w:rPr>
              <w:t>Fine-tuned Mistral-7B (LLM4Models QLoRA), Java2JSON.</w:t>
            </w:r>
          </w:p>
        </w:tc>
        <w:tc>
          <w:tcPr>
            <w:tcW w:type="dxa" w:w="1440"/>
            <w:shd w:fill="F2F5F9"/>
            <w:tcMar>
              <w:top w:w="100" w:type="dxa"/>
              <w:bottom w:w="100" w:type="dxa"/>
              <w:left w:w="150" w:type="dxa"/>
              <w:right w:w="150" w:type="dxa"/>
            </w:tcMar>
          </w:tcPr>
          <w:p>
            <w:pPr>
              <w:spacing w:after="40" w:before="40" w:line="276" w:lineRule="auto"/>
              <w:jc w:val="left"/>
            </w:pPr>
            <w:r>
              <w:rPr>
                <w:rFonts w:ascii="Times New Roman" w:hAnsi="Times New Roman"/>
                <w:sz w:val="19"/>
              </w:rPr>
              <w:t>Assistive (Maintainer inspects abstractions).</w:t>
            </w:r>
          </w:p>
        </w:tc>
        <w:tc>
          <w:tcPr>
            <w:tcW w:type="dxa" w:w="1728"/>
            <w:shd w:fill="F2F5F9"/>
            <w:tcMar>
              <w:top w:w="100" w:type="dxa"/>
              <w:bottom w:w="100" w:type="dxa"/>
              <w:left w:w="150" w:type="dxa"/>
              <w:right w:w="150" w:type="dxa"/>
            </w:tcMar>
          </w:tcPr>
          <w:p>
            <w:pPr>
              <w:spacing w:after="40" w:before="40" w:line="276" w:lineRule="auto"/>
              <w:jc w:val="left"/>
            </w:pPr>
            <w:r>
              <w:rPr>
                <w:rFonts w:ascii="Times New Roman" w:hAnsi="Times New Roman"/>
                <w:sz w:val="19"/>
              </w:rPr>
              <w:t>Heavy (High accuracy fine-tuned LLMs; Siala &amp; Lano, 2026).</w:t>
            </w:r>
          </w:p>
        </w:tc>
      </w:tr>
      <w:tr>
        <w:tc>
          <w:tcPr>
            <w:tcW w:type="dxa" w:w="1728"/>
            <w:shd w:fill="FFFFFF"/>
            <w:tcMar>
              <w:top w:w="100" w:type="dxa"/>
              <w:bottom w:w="100" w:type="dxa"/>
              <w:left w:w="150" w:type="dxa"/>
              <w:right w:w="150" w:type="dxa"/>
            </w:tcMar>
          </w:tcPr>
          <w:p>
            <w:pPr>
              <w:spacing w:after="40" w:before="40" w:line="276" w:lineRule="auto"/>
              <w:jc w:val="left"/>
            </w:pPr>
            <w:r>
              <w:rPr>
                <w:rFonts w:ascii="Times New Roman" w:hAnsi="Times New Roman"/>
                <w:sz w:val="19"/>
              </w:rPr>
              <w:t>9. Model-Code Synchronisation</w:t>
            </w:r>
          </w:p>
        </w:tc>
        <w:tc>
          <w:tcPr>
            <w:tcW w:type="dxa" w:w="2592"/>
            <w:shd w:fill="FFFFFF"/>
            <w:tcMar>
              <w:top w:w="100" w:type="dxa"/>
              <w:bottom w:w="100" w:type="dxa"/>
              <w:left w:w="150" w:type="dxa"/>
              <w:right w:w="150" w:type="dxa"/>
            </w:tcMar>
          </w:tcPr>
          <w:p>
            <w:pPr>
              <w:spacing w:after="40" w:before="40" w:line="276" w:lineRule="auto"/>
              <w:jc w:val="left"/>
            </w:pPr>
            <w:r>
              <w:rPr>
                <w:rFonts w:ascii="Times New Roman" w:hAnsi="Times New Roman"/>
                <w:sz w:val="19"/>
              </w:rPr>
              <w:t>Bi-directional continuous delta propagation between models and source code.</w:t>
            </w:r>
          </w:p>
        </w:tc>
        <w:tc>
          <w:tcPr>
            <w:tcW w:type="dxa" w:w="1872"/>
            <w:shd w:fill="FFFFFF"/>
            <w:tcMar>
              <w:top w:w="100" w:type="dxa"/>
              <w:bottom w:w="100" w:type="dxa"/>
              <w:left w:w="150" w:type="dxa"/>
              <w:right w:w="150" w:type="dxa"/>
            </w:tcMar>
          </w:tcPr>
          <w:p>
            <w:pPr>
              <w:spacing w:after="40" w:before="40" w:line="276" w:lineRule="auto"/>
              <w:jc w:val="left"/>
            </w:pPr>
            <w:r>
              <w:rPr>
                <w:rFonts w:ascii="Times New Roman" w:hAnsi="Times New Roman"/>
                <w:sz w:val="19"/>
              </w:rPr>
              <w:t>None identified in primary empirical studies.</w:t>
            </w:r>
          </w:p>
        </w:tc>
        <w:tc>
          <w:tcPr>
            <w:tcW w:type="dxa" w:w="1440"/>
            <w:shd w:fill="FFFFFF"/>
            <w:tcMar>
              <w:top w:w="100" w:type="dxa"/>
              <w:bottom w:w="100" w:type="dxa"/>
              <w:left w:w="150" w:type="dxa"/>
              <w:right w:w="150" w:type="dxa"/>
            </w:tcMar>
          </w:tcPr>
          <w:p>
            <w:pPr>
              <w:spacing w:after="40" w:before="40" w:line="276" w:lineRule="auto"/>
              <w:jc w:val="left"/>
            </w:pPr>
            <w:r>
              <w:rPr>
                <w:rFonts w:ascii="Times New Roman" w:hAnsi="Times New Roman"/>
                <w:sz w:val="19"/>
              </w:rPr>
              <w:t>N/A</w:t>
            </w:r>
          </w:p>
        </w:tc>
        <w:tc>
          <w:tcPr>
            <w:tcW w:type="dxa" w:w="1728"/>
            <w:shd w:fill="FFFFFF"/>
            <w:tcMar>
              <w:top w:w="100" w:type="dxa"/>
              <w:bottom w:w="100" w:type="dxa"/>
              <w:left w:w="150" w:type="dxa"/>
              <w:right w:w="150" w:type="dxa"/>
            </w:tcMar>
          </w:tcPr>
          <w:p>
            <w:pPr>
              <w:spacing w:after="40" w:before="40" w:line="276" w:lineRule="auto"/>
              <w:jc w:val="left"/>
            </w:pPr>
            <w:r>
              <w:rPr>
                <w:rFonts w:ascii="Times New Roman" w:hAnsi="Times New Roman"/>
                <w:sz w:val="19"/>
              </w:rPr>
              <w:t>Zero Evidence (Unrepresented in primary literature).</w:t>
            </w:r>
          </w:p>
        </w:tc>
      </w:tr>
      <w:tr>
        <w:tc>
          <w:tcPr>
            <w:tcW w:type="dxa" w:w="1728"/>
            <w:shd w:fill="F2F5F9"/>
            <w:tcMar>
              <w:top w:w="100" w:type="dxa"/>
              <w:bottom w:w="100" w:type="dxa"/>
              <w:left w:w="150" w:type="dxa"/>
              <w:right w:w="150" w:type="dxa"/>
            </w:tcMar>
          </w:tcPr>
          <w:p>
            <w:pPr>
              <w:spacing w:after="40" w:before="40" w:line="276" w:lineRule="auto"/>
              <w:jc w:val="left"/>
            </w:pPr>
            <w:r>
              <w:rPr>
                <w:rFonts w:ascii="Times New Roman" w:hAnsi="Times New Roman"/>
                <w:sz w:val="19"/>
              </w:rPr>
              <w:t>10. Model Evolution</w:t>
            </w:r>
          </w:p>
        </w:tc>
        <w:tc>
          <w:tcPr>
            <w:tcW w:type="dxa" w:w="2592"/>
            <w:shd w:fill="F2F5F9"/>
            <w:tcMar>
              <w:top w:w="100" w:type="dxa"/>
              <w:bottom w:w="100" w:type="dxa"/>
              <w:left w:w="150" w:type="dxa"/>
              <w:right w:w="150" w:type="dxa"/>
            </w:tcMar>
          </w:tcPr>
          <w:p>
            <w:pPr>
              <w:spacing w:after="40" w:before="40" w:line="276" w:lineRule="auto"/>
              <w:jc w:val="left"/>
            </w:pPr>
            <w:r>
              <w:rPr>
                <w:rFonts w:ascii="Times New Roman" w:hAnsi="Times New Roman"/>
                <w:sz w:val="19"/>
              </w:rPr>
              <w:t>Managing version refactoring and metamodel-model co-evolution tracking.</w:t>
            </w:r>
          </w:p>
        </w:tc>
        <w:tc>
          <w:tcPr>
            <w:tcW w:type="dxa" w:w="1872"/>
            <w:shd w:fill="F2F5F9"/>
            <w:tcMar>
              <w:top w:w="100" w:type="dxa"/>
              <w:bottom w:w="100" w:type="dxa"/>
              <w:left w:w="150" w:type="dxa"/>
              <w:right w:w="150" w:type="dxa"/>
            </w:tcMar>
          </w:tcPr>
          <w:p>
            <w:pPr>
              <w:spacing w:after="40" w:before="40" w:line="276" w:lineRule="auto"/>
              <w:jc w:val="left"/>
            </w:pPr>
            <w:r>
              <w:rPr>
                <w:rFonts w:ascii="Times New Roman" w:hAnsi="Times New Roman"/>
                <w:sz w:val="19"/>
              </w:rPr>
              <w:t>None identified in primary empirical studies.</w:t>
            </w:r>
          </w:p>
        </w:tc>
        <w:tc>
          <w:tcPr>
            <w:tcW w:type="dxa" w:w="1440"/>
            <w:shd w:fill="F2F5F9"/>
            <w:tcMar>
              <w:top w:w="100" w:type="dxa"/>
              <w:bottom w:w="100" w:type="dxa"/>
              <w:left w:w="150" w:type="dxa"/>
              <w:right w:w="150" w:type="dxa"/>
            </w:tcMar>
          </w:tcPr>
          <w:p>
            <w:pPr>
              <w:spacing w:after="40" w:before="40" w:line="276" w:lineRule="auto"/>
              <w:jc w:val="left"/>
            </w:pPr>
            <w:r>
              <w:rPr>
                <w:rFonts w:ascii="Times New Roman" w:hAnsi="Times New Roman"/>
                <w:sz w:val="19"/>
              </w:rPr>
              <w:t>N/A</w:t>
            </w:r>
          </w:p>
        </w:tc>
        <w:tc>
          <w:tcPr>
            <w:tcW w:type="dxa" w:w="1728"/>
            <w:shd w:fill="F2F5F9"/>
            <w:tcMar>
              <w:top w:w="100" w:type="dxa"/>
              <w:bottom w:w="100" w:type="dxa"/>
              <w:left w:w="150" w:type="dxa"/>
              <w:right w:w="150" w:type="dxa"/>
            </w:tcMar>
          </w:tcPr>
          <w:p>
            <w:pPr>
              <w:spacing w:after="40" w:before="40" w:line="276" w:lineRule="auto"/>
              <w:jc w:val="left"/>
            </w:pPr>
            <w:r>
              <w:rPr>
                <w:rFonts w:ascii="Times New Roman" w:hAnsi="Times New Roman"/>
                <w:sz w:val="19"/>
              </w:rPr>
              <w:t>Zero Evidence (Unrepresented in primary literature).</w:t>
            </w:r>
          </w:p>
        </w:tc>
      </w:tr>
      <w:tr>
        <w:tc>
          <w:tcPr>
            <w:tcW w:type="dxa" w:w="1728"/>
            <w:shd w:fill="FFFFFF"/>
            <w:tcMar>
              <w:top w:w="100" w:type="dxa"/>
              <w:bottom w:w="100" w:type="dxa"/>
              <w:left w:w="150" w:type="dxa"/>
              <w:right w:w="150" w:type="dxa"/>
            </w:tcMar>
          </w:tcPr>
          <w:p>
            <w:pPr>
              <w:spacing w:after="40" w:before="40" w:line="276" w:lineRule="auto"/>
              <w:jc w:val="left"/>
            </w:pPr>
            <w:r>
              <w:rPr>
                <w:rFonts w:ascii="Times New Roman" w:hAnsi="Times New Roman"/>
                <w:sz w:val="19"/>
              </w:rPr>
              <w:t>11. Runtime Modelling</w:t>
            </w:r>
          </w:p>
        </w:tc>
        <w:tc>
          <w:tcPr>
            <w:tcW w:type="dxa" w:w="2592"/>
            <w:shd w:fill="FFFFFF"/>
            <w:tcMar>
              <w:top w:w="100" w:type="dxa"/>
              <w:bottom w:w="100" w:type="dxa"/>
              <w:left w:w="150" w:type="dxa"/>
              <w:right w:w="150" w:type="dxa"/>
            </w:tcMar>
          </w:tcPr>
          <w:p>
            <w:pPr>
              <w:spacing w:after="40" w:before="40" w:line="276" w:lineRule="auto"/>
              <w:jc w:val="left"/>
            </w:pPr>
            <w:r>
              <w:rPr>
                <w:rFonts w:ascii="Times New Roman" w:hAnsi="Times New Roman"/>
                <w:sz w:val="19"/>
              </w:rPr>
              <w:t>Updating models on-the-fly using execution telemetry and digital twin streams.</w:t>
            </w:r>
          </w:p>
        </w:tc>
        <w:tc>
          <w:tcPr>
            <w:tcW w:type="dxa" w:w="1872"/>
            <w:shd w:fill="FFFFFF"/>
            <w:tcMar>
              <w:top w:w="100" w:type="dxa"/>
              <w:bottom w:w="100" w:type="dxa"/>
              <w:left w:w="150" w:type="dxa"/>
              <w:right w:w="150" w:type="dxa"/>
            </w:tcMar>
          </w:tcPr>
          <w:p>
            <w:pPr>
              <w:spacing w:after="40" w:before="40" w:line="276" w:lineRule="auto"/>
              <w:jc w:val="left"/>
            </w:pPr>
            <w:r>
              <w:rPr>
                <w:rFonts w:ascii="Times New Roman" w:hAnsi="Times New Roman"/>
                <w:sz w:val="19"/>
              </w:rPr>
              <w:t>None identified in primary empirical studies.</w:t>
            </w:r>
          </w:p>
        </w:tc>
        <w:tc>
          <w:tcPr>
            <w:tcW w:type="dxa" w:w="1440"/>
            <w:shd w:fill="FFFFFF"/>
            <w:tcMar>
              <w:top w:w="100" w:type="dxa"/>
              <w:bottom w:w="100" w:type="dxa"/>
              <w:left w:w="150" w:type="dxa"/>
              <w:right w:w="150" w:type="dxa"/>
            </w:tcMar>
          </w:tcPr>
          <w:p>
            <w:pPr>
              <w:spacing w:after="40" w:before="40" w:line="276" w:lineRule="auto"/>
              <w:jc w:val="left"/>
            </w:pPr>
            <w:r>
              <w:rPr>
                <w:rFonts w:ascii="Times New Roman" w:hAnsi="Times New Roman"/>
                <w:sz w:val="19"/>
              </w:rPr>
              <w:t>N/A</w:t>
            </w:r>
          </w:p>
        </w:tc>
        <w:tc>
          <w:tcPr>
            <w:tcW w:type="dxa" w:w="1728"/>
            <w:shd w:fill="FFFFFF"/>
            <w:tcMar>
              <w:top w:w="100" w:type="dxa"/>
              <w:bottom w:w="100" w:type="dxa"/>
              <w:left w:w="150" w:type="dxa"/>
              <w:right w:w="150" w:type="dxa"/>
            </w:tcMar>
          </w:tcPr>
          <w:p>
            <w:pPr>
              <w:spacing w:after="40" w:before="40" w:line="276" w:lineRule="auto"/>
              <w:jc w:val="left"/>
            </w:pPr>
            <w:r>
              <w:rPr>
                <w:rFonts w:ascii="Times New Roman" w:hAnsi="Times New Roman"/>
                <w:sz w:val="19"/>
              </w:rPr>
              <w:t>Zero Evidence (Unrepresented in primary literature).</w:t>
            </w:r>
          </w:p>
        </w:tc>
      </w:tr>
      <w:tr>
        <w:tc>
          <w:tcPr>
            <w:tcW w:type="dxa" w:w="1728"/>
            <w:shd w:fill="F2F5F9"/>
            <w:tcMar>
              <w:top w:w="100" w:type="dxa"/>
              <w:bottom w:w="100" w:type="dxa"/>
              <w:left w:w="150" w:type="dxa"/>
              <w:right w:w="150" w:type="dxa"/>
            </w:tcMar>
          </w:tcPr>
          <w:p>
            <w:pPr>
              <w:spacing w:after="40" w:before="40" w:line="276" w:lineRule="auto"/>
              <w:jc w:val="left"/>
            </w:pPr>
            <w:r>
              <w:rPr>
                <w:rFonts w:ascii="Times New Roman" w:hAnsi="Times New Roman"/>
                <w:sz w:val="19"/>
              </w:rPr>
              <w:t>12. Collaborative Modelling</w:t>
            </w:r>
          </w:p>
        </w:tc>
        <w:tc>
          <w:tcPr>
            <w:tcW w:type="dxa" w:w="2592"/>
            <w:shd w:fill="F2F5F9"/>
            <w:tcMar>
              <w:top w:w="100" w:type="dxa"/>
              <w:bottom w:w="100" w:type="dxa"/>
              <w:left w:w="150" w:type="dxa"/>
              <w:right w:w="150" w:type="dxa"/>
            </w:tcMar>
          </w:tcPr>
          <w:p>
            <w:pPr>
              <w:spacing w:after="40" w:before="40" w:line="276" w:lineRule="auto"/>
              <w:jc w:val="left"/>
            </w:pPr>
            <w:r>
              <w:rPr>
                <w:rFonts w:ascii="Times New Roman" w:hAnsi="Times New Roman"/>
                <w:sz w:val="19"/>
              </w:rPr>
              <w:t>Real-time multi-user blended modeling, role conflict resolution, XAI logging.</w:t>
            </w:r>
          </w:p>
        </w:tc>
        <w:tc>
          <w:tcPr>
            <w:tcW w:type="dxa" w:w="1872"/>
            <w:shd w:fill="F2F5F9"/>
            <w:tcMar>
              <w:top w:w="100" w:type="dxa"/>
              <w:bottom w:w="100" w:type="dxa"/>
              <w:left w:w="150" w:type="dxa"/>
              <w:right w:w="150" w:type="dxa"/>
            </w:tcMar>
          </w:tcPr>
          <w:p>
            <w:pPr>
              <w:spacing w:after="40" w:before="40" w:line="276" w:lineRule="auto"/>
              <w:jc w:val="left"/>
            </w:pPr>
            <w:r>
              <w:rPr>
                <w:rFonts w:ascii="Times New Roman" w:hAnsi="Times New Roman"/>
                <w:sz w:val="19"/>
              </w:rPr>
              <w:t>On-device LLM (XAI log summarizer), Xtext DSML, EATOP.</w:t>
            </w:r>
          </w:p>
        </w:tc>
        <w:tc>
          <w:tcPr>
            <w:tcW w:type="dxa" w:w="1440"/>
            <w:shd w:fill="F2F5F9"/>
            <w:tcMar>
              <w:top w:w="100" w:type="dxa"/>
              <w:bottom w:w="100" w:type="dxa"/>
              <w:left w:w="150" w:type="dxa"/>
              <w:right w:w="150" w:type="dxa"/>
            </w:tcMar>
          </w:tcPr>
          <w:p>
            <w:pPr>
              <w:spacing w:after="40" w:before="40" w:line="276" w:lineRule="auto"/>
              <w:jc w:val="left"/>
            </w:pPr>
            <w:r>
              <w:rPr>
                <w:rFonts w:ascii="Times New Roman" w:hAnsi="Times New Roman"/>
                <w:sz w:val="19"/>
              </w:rPr>
              <w:t>Assistive / Interactive (Multi-user RBAC).</w:t>
            </w:r>
          </w:p>
        </w:tc>
        <w:tc>
          <w:tcPr>
            <w:tcW w:type="dxa" w:w="1728"/>
            <w:shd w:fill="F2F5F9"/>
            <w:tcMar>
              <w:top w:w="100" w:type="dxa"/>
              <w:bottom w:w="100" w:type="dxa"/>
              <w:left w:w="150" w:type="dxa"/>
              <w:right w:w="150" w:type="dxa"/>
            </w:tcMar>
          </w:tcPr>
          <w:p>
            <w:pPr>
              <w:spacing w:after="40" w:before="40" w:line="276" w:lineRule="auto"/>
              <w:jc w:val="left"/>
            </w:pPr>
            <w:r>
              <w:rPr>
                <w:rFonts w:ascii="Times New Roman" w:hAnsi="Times New Roman"/>
                <w:sz w:val="19"/>
              </w:rPr>
              <w:t>Light (Isolated state-of-the-art framework; Awan et al., 2026).</w:t>
            </w:r>
          </w:p>
        </w:tc>
      </w:tr>
    </w:tbl>
    <w:p>
      <w:pPr>
        <w:spacing w:line="360" w:lineRule="auto" w:after="120"/>
        <w:jc w:val="both"/>
      </w:pPr>
      <w:r>
        <w:rPr>
          <w:rFonts w:ascii="Times New Roman" w:hAnsi="Times New Roman"/>
          <w:sz w:val="22"/>
        </w:rPr>
        <w:t>This distribution reveals a strong bias toward static representations instead of dynamic lifecycle management. Structural formats like UML Class Diagrams and Ecore Domain Models dominate published literature. Their popularity stems from context-free Abstract Syntax Tree mapping. By comparison, dynamic behavioral synchronization receives minimal attention (Ahmed et al., 2026; Chen et al., 2023; Siala &amp; Lano, 2026). Existing toolchains rely on single-pass generation scripts that discard alignment metadata once execution finishes. When source code or requirements change, high-level Platform-Independent Models drift out of alignment. Engineers must then re-extract or rebuild these models manually.</w:t>
      </w:r>
    </w:p>
    <w:p>
      <w:pPr>
        <w:pStyle w:val="Heading1"/>
        <w:keepNext/>
        <w:spacing w:before="240" w:after="80"/>
      </w:pPr>
      <w:r>
        <w:rPr>
          <w:rFonts w:ascii="Times New Roman" w:hAnsi="Times New Roman"/>
          <w:b/>
          <w:color w:val="002060"/>
          <w:sz w:val="32"/>
        </w:rPr>
        <w:t>SECTION 4.4: TRANSFORMATION OF REQUIREMENTS INTO MULTI-VIEW MODELS (RQ5)</w:t>
      </w:r>
    </w:p>
    <w:p>
      <w:pPr>
        <w:spacing w:line="360" w:lineRule="auto" w:after="120"/>
        <w:jc w:val="both"/>
      </w:pPr>
      <w:r>
        <w:rPr>
          <w:rFonts w:ascii="Times New Roman" w:hAnsi="Times New Roman"/>
          <w:sz w:val="22"/>
        </w:rPr>
        <w:t>Transforming requirement documents into multi-view software models involves varied techniques. Researchers deploy unconstrained generative prompts, structure-constrained neural translation (Seq2AST), hybrid NLP-LLM pipelines, and neuro-symbolic verification engines (Ahmed et al., 2026; Alaswad et al., 2026; Boujmil &amp; Chebil, 2025; Tahat et al., 2026). Across the N = 77 primary studies, AI techniques convert text or visual sketches into four core model views:</w:t>
      </w:r>
    </w:p>
    <w:p>
      <w:pPr>
        <w:spacing w:line="360" w:lineRule="auto" w:after="120"/>
        <w:jc w:val="both"/>
      </w:pPr>
      <w:r>
        <w:rPr>
          <w:rFonts w:ascii="Times New Roman" w:hAnsi="Times New Roman"/>
          <w:b/>
          <w:sz w:val="22"/>
        </w:rPr>
        <w:t xml:space="preserve">1. Structural Models: </w:t>
      </w:r>
      <w:r>
        <w:rPr>
          <w:rFonts w:ascii="Times New Roman" w:hAnsi="Times New Roman"/>
          <w:sz w:val="22"/>
        </w:rPr>
        <w:t>Class diagrams, object diagrams, Ecore domain models, and smart contract data structures (Ait Hsain et al., 2025; Alaswad et al., 2026; Ben Chaaben et al., 2026; Chen et al., 2023; Siala &amp; Lano, 2026).</w:t>
      </w:r>
    </w:p>
    <w:p>
      <w:pPr>
        <w:spacing w:line="360" w:lineRule="auto" w:after="120"/>
        <w:jc w:val="both"/>
      </w:pPr>
      <w:r>
        <w:rPr>
          <w:rFonts w:ascii="Times New Roman" w:hAnsi="Times New Roman"/>
          <w:b/>
          <w:sz w:val="22"/>
        </w:rPr>
        <w:t xml:space="preserve">2. Behavioural Models: </w:t>
      </w:r>
      <w:r>
        <w:rPr>
          <w:rFonts w:ascii="Times New Roman" w:hAnsi="Times New Roman"/>
          <w:sz w:val="22"/>
        </w:rPr>
        <w:t>BPMN 2.0 process models, activity diagrams, and statecharts capturing workflow logic (Ait Hsain et al., 2025; Boujmil &amp; Chebil, 2025).</w:t>
      </w:r>
    </w:p>
    <w:p>
      <w:pPr>
        <w:spacing w:line="360" w:lineRule="auto" w:after="120"/>
        <w:jc w:val="both"/>
      </w:pPr>
      <w:r>
        <w:rPr>
          <w:rFonts w:ascii="Times New Roman" w:hAnsi="Times New Roman"/>
          <w:b/>
          <w:sz w:val="22"/>
        </w:rPr>
        <w:t xml:space="preserve">3. Interaction Models: </w:t>
      </w:r>
      <w:r>
        <w:rPr>
          <w:rFonts w:ascii="Times New Roman" w:hAnsi="Times New Roman"/>
          <w:sz w:val="22"/>
        </w:rPr>
        <w:t>UML Sequence Diagrams detailing message exchanges, lifelines, and conditional fragments such as alt and loop blocks (Ahmed et al., 2026; Wang et al., 2024).</w:t>
      </w:r>
    </w:p>
    <w:p>
      <w:pPr>
        <w:spacing w:line="360" w:lineRule="auto" w:after="120"/>
        <w:jc w:val="both"/>
      </w:pPr>
      <w:r>
        <w:rPr>
          <w:rFonts w:ascii="Times New Roman" w:hAnsi="Times New Roman"/>
          <w:b/>
          <w:sz w:val="22"/>
        </w:rPr>
        <w:t xml:space="preserve">4. Architectural Models: </w:t>
      </w:r>
      <w:r>
        <w:rPr>
          <w:rFonts w:ascii="Times New Roman" w:hAnsi="Times New Roman"/>
          <w:sz w:val="22"/>
        </w:rPr>
        <w:t>SysML v2 and AADL component architectures, AGREE invariant contracts, and automotive EAST-ADL embedded layouts (Awan et al., 2026; Tahat et al., 2026).</w:t>
      </w:r>
    </w:p>
    <w:p>
      <w:pPr>
        <w:pStyle w:val="Heading2"/>
        <w:keepNext/>
        <w:spacing w:before="240" w:after="80"/>
      </w:pPr>
      <w:r>
        <w:rPr>
          <w:rFonts w:ascii="Times New Roman" w:hAnsi="Times New Roman"/>
          <w:b/>
          <w:color w:val="002060"/>
          <w:sz w:val="26"/>
        </w:rPr>
        <w:t>Table 4.4: Multi-View Requirement-to-Model Transformation Mapping</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728"/>
            <w:shd w:fill="002060"/>
            <w:tcMar>
              <w:top w:w="120" w:type="dxa"/>
              <w:bottom w:w="120" w:type="dxa"/>
              <w:left w:w="150" w:type="dxa"/>
              <w:right w:w="150" w:type="dxa"/>
            </w:tcMar>
          </w:tcPr>
          <w:p>
            <w:pPr>
              <w:spacing w:after="40" w:before="40"/>
              <w:jc w:val="center"/>
            </w:pPr>
            <w:r>
              <w:rPr>
                <w:rFonts w:ascii="Times New Roman" w:hAnsi="Times New Roman"/>
                <w:b/>
                <w:color w:val="FFFFFF"/>
                <w:sz w:val="20"/>
              </w:rPr>
              <w:t>Target Model View</w:t>
            </w:r>
          </w:p>
        </w:tc>
        <w:tc>
          <w:tcPr>
            <w:tcW w:type="dxa" w:w="1872"/>
            <w:shd w:fill="002060"/>
            <w:tcMar>
              <w:top w:w="120" w:type="dxa"/>
              <w:bottom w:w="120" w:type="dxa"/>
              <w:left w:w="150" w:type="dxa"/>
              <w:right w:w="150" w:type="dxa"/>
            </w:tcMar>
          </w:tcPr>
          <w:p>
            <w:pPr>
              <w:spacing w:after="40" w:before="40"/>
              <w:jc w:val="center"/>
            </w:pPr>
            <w:r>
              <w:rPr>
                <w:rFonts w:ascii="Times New Roman" w:hAnsi="Times New Roman"/>
                <w:b/>
                <w:color w:val="FFFFFF"/>
                <w:sz w:val="20"/>
              </w:rPr>
              <w:t>Primary Modeling Formalisms</w:t>
            </w:r>
          </w:p>
        </w:tc>
        <w:tc>
          <w:tcPr>
            <w:tcW w:type="dxa" w:w="2592"/>
            <w:shd w:fill="002060"/>
            <w:tcMar>
              <w:top w:w="120" w:type="dxa"/>
              <w:bottom w:w="120" w:type="dxa"/>
              <w:left w:w="150" w:type="dxa"/>
              <w:right w:w="150" w:type="dxa"/>
            </w:tcMar>
          </w:tcPr>
          <w:p>
            <w:pPr>
              <w:spacing w:after="40" w:before="40"/>
              <w:jc w:val="center"/>
            </w:pPr>
            <w:r>
              <w:rPr>
                <w:rFonts w:ascii="Times New Roman" w:hAnsi="Times New Roman"/>
                <w:b/>
                <w:color w:val="FFFFFF"/>
                <w:sz w:val="20"/>
              </w:rPr>
              <w:t>Key AI Technologies &amp; Frameworks</w:t>
            </w:r>
          </w:p>
        </w:tc>
        <w:tc>
          <w:tcPr>
            <w:tcW w:type="dxa" w:w="1584"/>
            <w:shd w:fill="002060"/>
            <w:tcMar>
              <w:top w:w="120" w:type="dxa"/>
              <w:bottom w:w="120" w:type="dxa"/>
              <w:left w:w="150" w:type="dxa"/>
              <w:right w:w="150" w:type="dxa"/>
            </w:tcMar>
          </w:tcPr>
          <w:p>
            <w:pPr>
              <w:spacing w:after="40" w:before="40"/>
              <w:jc w:val="center"/>
            </w:pPr>
            <w:r>
              <w:rPr>
                <w:rFonts w:ascii="Times New Roman" w:hAnsi="Times New Roman"/>
                <w:b/>
                <w:color w:val="FFFFFF"/>
                <w:sz w:val="20"/>
              </w:rPr>
              <w:t>Validation Engine</w:t>
            </w:r>
          </w:p>
        </w:tc>
        <w:tc>
          <w:tcPr>
            <w:tcW w:type="dxa" w:w="1584"/>
            <w:shd w:fill="002060"/>
            <w:tcMar>
              <w:top w:w="120" w:type="dxa"/>
              <w:bottom w:w="120" w:type="dxa"/>
              <w:left w:w="150" w:type="dxa"/>
              <w:right w:w="150" w:type="dxa"/>
            </w:tcMar>
          </w:tcPr>
          <w:p>
            <w:pPr>
              <w:spacing w:after="40" w:before="40"/>
              <w:jc w:val="center"/>
            </w:pPr>
            <w:r>
              <w:rPr>
                <w:rFonts w:ascii="Times New Roman" w:hAnsi="Times New Roman"/>
                <w:b/>
                <w:color w:val="FFFFFF"/>
                <w:sz w:val="20"/>
              </w:rPr>
              <w:t>Supporting Primary Studies</w:t>
            </w:r>
          </w:p>
        </w:tc>
      </w:tr>
      <w:tr>
        <w:tc>
          <w:tcPr>
            <w:tcW w:type="dxa" w:w="1728"/>
            <w:shd w:fill="FFFFFF"/>
            <w:tcMar>
              <w:top w:w="100" w:type="dxa"/>
              <w:bottom w:w="100" w:type="dxa"/>
              <w:left w:w="150" w:type="dxa"/>
              <w:right w:w="150" w:type="dxa"/>
            </w:tcMar>
          </w:tcPr>
          <w:p>
            <w:pPr>
              <w:spacing w:after="40" w:before="40" w:line="276" w:lineRule="auto"/>
              <w:jc w:val="left"/>
            </w:pPr>
            <w:r>
              <w:rPr>
                <w:rFonts w:ascii="Times New Roman" w:hAnsi="Times New Roman"/>
                <w:sz w:val="19"/>
              </w:rPr>
              <w:t>1. Structural Models</w:t>
            </w:r>
          </w:p>
        </w:tc>
        <w:tc>
          <w:tcPr>
            <w:tcW w:type="dxa" w:w="1872"/>
            <w:shd w:fill="FFFFFF"/>
            <w:tcMar>
              <w:top w:w="100" w:type="dxa"/>
              <w:bottom w:w="100" w:type="dxa"/>
              <w:left w:w="150" w:type="dxa"/>
              <w:right w:w="150" w:type="dxa"/>
            </w:tcMar>
          </w:tcPr>
          <w:p>
            <w:pPr>
              <w:spacing w:after="40" w:before="40" w:line="276" w:lineRule="auto"/>
              <w:jc w:val="left"/>
            </w:pPr>
            <w:r>
              <w:rPr>
                <w:rFonts w:ascii="Times New Roman" w:hAnsi="Times New Roman"/>
                <w:sz w:val="19"/>
              </w:rPr>
              <w:t>UML Class Diagrams, Ecore Domain Models, Metamodels.</w:t>
            </w:r>
          </w:p>
        </w:tc>
        <w:tc>
          <w:tcPr>
            <w:tcW w:type="dxa" w:w="2592"/>
            <w:shd w:fill="FFFFFF"/>
            <w:tcMar>
              <w:top w:w="100" w:type="dxa"/>
              <w:bottom w:w="100" w:type="dxa"/>
              <w:left w:w="150" w:type="dxa"/>
              <w:right w:w="150" w:type="dxa"/>
            </w:tcMar>
          </w:tcPr>
          <w:p>
            <w:pPr>
              <w:spacing w:after="40" w:before="40" w:line="276" w:lineRule="auto"/>
              <w:jc w:val="left"/>
            </w:pPr>
            <w:r>
              <w:rPr>
                <w:rFonts w:ascii="Times New Roman" w:hAnsi="Times New Roman"/>
                <w:sz w:val="19"/>
              </w:rPr>
              <w:t>Seq2AST T5 (GenClass), GPT-4 (VeriGen, MoRe, MAGDA), Mistral-7B QLoRA.</w:t>
            </w:r>
          </w:p>
        </w:tc>
        <w:tc>
          <w:tcPr>
            <w:tcW w:type="dxa" w:w="1584"/>
            <w:shd w:fill="FFFFFF"/>
            <w:tcMar>
              <w:top w:w="100" w:type="dxa"/>
              <w:bottom w:w="100" w:type="dxa"/>
              <w:left w:w="150" w:type="dxa"/>
              <w:right w:w="150" w:type="dxa"/>
            </w:tcMar>
          </w:tcPr>
          <w:p>
            <w:pPr>
              <w:spacing w:after="40" w:before="40" w:line="276" w:lineRule="auto"/>
              <w:jc w:val="left"/>
            </w:pPr>
            <w:r>
              <w:rPr>
                <w:rFonts w:ascii="Times New Roman" w:hAnsi="Times New Roman"/>
                <w:sz w:val="19"/>
              </w:rPr>
              <w:t>AST Parsers, Ecore Rule Scanners, SemMatch.</w:t>
            </w:r>
          </w:p>
        </w:tc>
        <w:tc>
          <w:tcPr>
            <w:tcW w:type="dxa" w:w="1584"/>
            <w:shd w:fill="FFFFFF"/>
            <w:tcMar>
              <w:top w:w="100" w:type="dxa"/>
              <w:bottom w:w="100" w:type="dxa"/>
              <w:left w:w="150" w:type="dxa"/>
              <w:right w:w="150" w:type="dxa"/>
            </w:tcMar>
          </w:tcPr>
          <w:p>
            <w:pPr>
              <w:spacing w:after="40" w:before="40" w:line="276" w:lineRule="auto"/>
              <w:jc w:val="left"/>
            </w:pPr>
            <w:r>
              <w:rPr>
                <w:rFonts w:ascii="Times New Roman" w:hAnsi="Times New Roman"/>
                <w:sz w:val="19"/>
              </w:rPr>
              <w:t>Alaswad et al. (2026), Ahmed et al. (2026), Chen et al. (2026), Siala &amp; Lano (2026).</w:t>
            </w:r>
          </w:p>
        </w:tc>
      </w:tr>
      <w:tr>
        <w:tc>
          <w:tcPr>
            <w:tcW w:type="dxa" w:w="1728"/>
            <w:shd w:fill="F2F5F9"/>
            <w:tcMar>
              <w:top w:w="100" w:type="dxa"/>
              <w:bottom w:w="100" w:type="dxa"/>
              <w:left w:w="150" w:type="dxa"/>
              <w:right w:w="150" w:type="dxa"/>
            </w:tcMar>
          </w:tcPr>
          <w:p>
            <w:pPr>
              <w:spacing w:after="40" w:before="40" w:line="276" w:lineRule="auto"/>
              <w:jc w:val="left"/>
            </w:pPr>
            <w:r>
              <w:rPr>
                <w:rFonts w:ascii="Times New Roman" w:hAnsi="Times New Roman"/>
                <w:sz w:val="19"/>
              </w:rPr>
              <w:t>2. Behavioural Models</w:t>
            </w:r>
          </w:p>
        </w:tc>
        <w:tc>
          <w:tcPr>
            <w:tcW w:type="dxa" w:w="1872"/>
            <w:shd w:fill="F2F5F9"/>
            <w:tcMar>
              <w:top w:w="100" w:type="dxa"/>
              <w:bottom w:w="100" w:type="dxa"/>
              <w:left w:w="150" w:type="dxa"/>
              <w:right w:w="150" w:type="dxa"/>
            </w:tcMar>
          </w:tcPr>
          <w:p>
            <w:pPr>
              <w:spacing w:after="40" w:before="40" w:line="276" w:lineRule="auto"/>
              <w:jc w:val="left"/>
            </w:pPr>
            <w:r>
              <w:rPr>
                <w:rFonts w:ascii="Times New Roman" w:hAnsi="Times New Roman"/>
                <w:sz w:val="19"/>
              </w:rPr>
              <w:t>BPMN 2.0 Process Models, Activity Diagrams, Execution Logic.</w:t>
            </w:r>
          </w:p>
        </w:tc>
        <w:tc>
          <w:tcPr>
            <w:tcW w:type="dxa" w:w="2592"/>
            <w:shd w:fill="F2F5F9"/>
            <w:tcMar>
              <w:top w:w="100" w:type="dxa"/>
              <w:bottom w:w="100" w:type="dxa"/>
              <w:left w:w="150" w:type="dxa"/>
              <w:right w:w="150" w:type="dxa"/>
            </w:tcMar>
          </w:tcPr>
          <w:p>
            <w:pPr>
              <w:spacing w:after="40" w:before="40" w:line="276" w:lineRule="auto"/>
              <w:jc w:val="left"/>
            </w:pPr>
            <w:r>
              <w:rPr>
                <w:rFonts w:ascii="Times New Roman" w:hAnsi="Times New Roman"/>
                <w:sz w:val="19"/>
              </w:rPr>
              <w:t>Prompt-Guided NLP+LLM Fusion (GPT-4 + spaCy WorldModel), Solidity DSML.</w:t>
            </w:r>
          </w:p>
        </w:tc>
        <w:tc>
          <w:tcPr>
            <w:tcW w:type="dxa" w:w="1584"/>
            <w:shd w:fill="F2F5F9"/>
            <w:tcMar>
              <w:top w:w="100" w:type="dxa"/>
              <w:bottom w:w="100" w:type="dxa"/>
              <w:left w:w="150" w:type="dxa"/>
              <w:right w:w="150" w:type="dxa"/>
            </w:tcMar>
          </w:tcPr>
          <w:p>
            <w:pPr>
              <w:spacing w:after="40" w:before="40" w:line="276" w:lineRule="auto"/>
              <w:jc w:val="left"/>
            </w:pPr>
            <w:r>
              <w:rPr>
                <w:rFonts w:ascii="Times New Roman" w:hAnsi="Times New Roman"/>
                <w:sz w:val="19"/>
              </w:rPr>
              <w:t>Node/Edge Count vs Gold Standard, Slither Static.</w:t>
            </w:r>
          </w:p>
        </w:tc>
        <w:tc>
          <w:tcPr>
            <w:tcW w:type="dxa" w:w="1584"/>
            <w:shd w:fill="F2F5F9"/>
            <w:tcMar>
              <w:top w:w="100" w:type="dxa"/>
              <w:bottom w:w="100" w:type="dxa"/>
              <w:left w:w="150" w:type="dxa"/>
              <w:right w:w="150" w:type="dxa"/>
            </w:tcMar>
          </w:tcPr>
          <w:p>
            <w:pPr>
              <w:spacing w:after="40" w:before="40" w:line="276" w:lineRule="auto"/>
              <w:jc w:val="left"/>
            </w:pPr>
            <w:r>
              <w:rPr>
                <w:rFonts w:ascii="Times New Roman" w:hAnsi="Times New Roman"/>
                <w:sz w:val="19"/>
              </w:rPr>
              <w:t>Boujmil &amp; Chebil (2025), Ait Hsain et al. (2025).</w:t>
            </w:r>
          </w:p>
        </w:tc>
      </w:tr>
      <w:tr>
        <w:tc>
          <w:tcPr>
            <w:tcW w:type="dxa" w:w="1728"/>
            <w:shd w:fill="FFFFFF"/>
            <w:tcMar>
              <w:top w:w="100" w:type="dxa"/>
              <w:bottom w:w="100" w:type="dxa"/>
              <w:left w:w="150" w:type="dxa"/>
              <w:right w:w="150" w:type="dxa"/>
            </w:tcMar>
          </w:tcPr>
          <w:p>
            <w:pPr>
              <w:spacing w:after="40" w:before="40" w:line="276" w:lineRule="auto"/>
              <w:jc w:val="left"/>
            </w:pPr>
            <w:r>
              <w:rPr>
                <w:rFonts w:ascii="Times New Roman" w:hAnsi="Times New Roman"/>
                <w:sz w:val="19"/>
              </w:rPr>
              <w:t>3. Interaction Models</w:t>
            </w:r>
          </w:p>
        </w:tc>
        <w:tc>
          <w:tcPr>
            <w:tcW w:type="dxa" w:w="1872"/>
            <w:shd w:fill="FFFFFF"/>
            <w:tcMar>
              <w:top w:w="100" w:type="dxa"/>
              <w:bottom w:w="100" w:type="dxa"/>
              <w:left w:w="150" w:type="dxa"/>
              <w:right w:w="150" w:type="dxa"/>
            </w:tcMar>
          </w:tcPr>
          <w:p>
            <w:pPr>
              <w:spacing w:after="40" w:before="40" w:line="276" w:lineRule="auto"/>
              <w:jc w:val="left"/>
            </w:pPr>
            <w:r>
              <w:rPr>
                <w:rFonts w:ascii="Times New Roman" w:hAnsi="Times New Roman"/>
                <w:sz w:val="19"/>
              </w:rPr>
              <w:t>UML Sequence Diagrams (Lifelines, Messages, alt/loop Fragments).</w:t>
            </w:r>
          </w:p>
        </w:tc>
        <w:tc>
          <w:tcPr>
            <w:tcW w:type="dxa" w:w="2592"/>
            <w:shd w:fill="FFFFFF"/>
            <w:tcMar>
              <w:top w:w="100" w:type="dxa"/>
              <w:bottom w:w="100" w:type="dxa"/>
              <w:left w:w="150" w:type="dxa"/>
              <w:right w:w="150" w:type="dxa"/>
            </w:tcMar>
          </w:tcPr>
          <w:p>
            <w:pPr>
              <w:spacing w:after="40" w:before="40" w:line="276" w:lineRule="auto"/>
              <w:jc w:val="left"/>
            </w:pPr>
            <w:r>
              <w:rPr>
                <w:rFonts w:ascii="Times New Roman" w:hAnsi="Times New Roman"/>
                <w:sz w:val="19"/>
              </w:rPr>
              <w:t>Generative LLMs (GPT-4), Role-Play Chain-of-Thought Multimodal GPT-4o.</w:t>
            </w:r>
          </w:p>
        </w:tc>
        <w:tc>
          <w:tcPr>
            <w:tcW w:type="dxa" w:w="1584"/>
            <w:shd w:fill="FFFFFF"/>
            <w:tcMar>
              <w:top w:w="100" w:type="dxa"/>
              <w:bottom w:w="100" w:type="dxa"/>
              <w:left w:w="150" w:type="dxa"/>
              <w:right w:w="150" w:type="dxa"/>
            </w:tcMar>
          </w:tcPr>
          <w:p>
            <w:pPr>
              <w:spacing w:after="40" w:before="40" w:line="276" w:lineRule="auto"/>
              <w:jc w:val="left"/>
            </w:pPr>
            <w:r>
              <w:rPr>
                <w:rFonts w:ascii="Times New Roman" w:hAnsi="Times New Roman"/>
                <w:sz w:val="19"/>
              </w:rPr>
              <w:t>Deterministic Sequence Verifiers, Human Scorer Discrepancy.</w:t>
            </w:r>
          </w:p>
        </w:tc>
        <w:tc>
          <w:tcPr>
            <w:tcW w:type="dxa" w:w="1584"/>
            <w:shd w:fill="FFFFFF"/>
            <w:tcMar>
              <w:top w:w="100" w:type="dxa"/>
              <w:bottom w:w="100" w:type="dxa"/>
              <w:left w:w="150" w:type="dxa"/>
              <w:right w:w="150" w:type="dxa"/>
            </w:tcMar>
          </w:tcPr>
          <w:p>
            <w:pPr>
              <w:spacing w:after="40" w:before="40" w:line="276" w:lineRule="auto"/>
              <w:jc w:val="left"/>
            </w:pPr>
            <w:r>
              <w:rPr>
                <w:rFonts w:ascii="Times New Roman" w:hAnsi="Times New Roman"/>
                <w:sz w:val="19"/>
              </w:rPr>
              <w:t>Ahmed et al. (2026), Wang et al. (2024).</w:t>
            </w:r>
          </w:p>
        </w:tc>
      </w:tr>
      <w:tr>
        <w:tc>
          <w:tcPr>
            <w:tcW w:type="dxa" w:w="1728"/>
            <w:shd w:fill="F2F5F9"/>
            <w:tcMar>
              <w:top w:w="100" w:type="dxa"/>
              <w:bottom w:w="100" w:type="dxa"/>
              <w:left w:w="150" w:type="dxa"/>
              <w:right w:w="150" w:type="dxa"/>
            </w:tcMar>
          </w:tcPr>
          <w:p>
            <w:pPr>
              <w:spacing w:after="40" w:before="40" w:line="276" w:lineRule="auto"/>
              <w:jc w:val="left"/>
            </w:pPr>
            <w:r>
              <w:rPr>
                <w:rFonts w:ascii="Times New Roman" w:hAnsi="Times New Roman"/>
                <w:sz w:val="19"/>
              </w:rPr>
              <w:t>4. Architectural Models</w:t>
            </w:r>
          </w:p>
        </w:tc>
        <w:tc>
          <w:tcPr>
            <w:tcW w:type="dxa" w:w="1872"/>
            <w:shd w:fill="F2F5F9"/>
            <w:tcMar>
              <w:top w:w="100" w:type="dxa"/>
              <w:bottom w:w="100" w:type="dxa"/>
              <w:left w:w="150" w:type="dxa"/>
              <w:right w:w="150" w:type="dxa"/>
            </w:tcMar>
          </w:tcPr>
          <w:p>
            <w:pPr>
              <w:spacing w:after="40" w:before="40" w:line="276" w:lineRule="auto"/>
              <w:jc w:val="left"/>
            </w:pPr>
            <w:r>
              <w:rPr>
                <w:rFonts w:ascii="Times New Roman" w:hAnsi="Times New Roman"/>
                <w:sz w:val="19"/>
              </w:rPr>
              <w:t>SysML v2, AADL Architecture Models, EAST-ADL Embedded Layouts.</w:t>
            </w:r>
          </w:p>
        </w:tc>
        <w:tc>
          <w:tcPr>
            <w:tcW w:type="dxa" w:w="2592"/>
            <w:shd w:fill="F2F5F9"/>
            <w:tcMar>
              <w:top w:w="100" w:type="dxa"/>
              <w:bottom w:w="100" w:type="dxa"/>
              <w:left w:w="150" w:type="dxa"/>
              <w:right w:w="150" w:type="dxa"/>
            </w:tcMar>
          </w:tcPr>
          <w:p>
            <w:pPr>
              <w:spacing w:after="40" w:before="40" w:line="276" w:lineRule="auto"/>
              <w:jc w:val="left"/>
            </w:pPr>
            <w:r>
              <w:rPr>
                <w:rFonts w:ascii="Times New Roman" w:hAnsi="Times New Roman"/>
                <w:sz w:val="19"/>
              </w:rPr>
              <w:t>Neuro-Symbolic AI (GPT-4 + SMT JKind Prover), On-Device XAI LLMs.</w:t>
            </w:r>
          </w:p>
        </w:tc>
        <w:tc>
          <w:tcPr>
            <w:tcW w:type="dxa" w:w="1584"/>
            <w:shd w:fill="F2F5F9"/>
            <w:tcMar>
              <w:top w:w="100" w:type="dxa"/>
              <w:bottom w:w="100" w:type="dxa"/>
              <w:left w:w="150" w:type="dxa"/>
              <w:right w:w="150" w:type="dxa"/>
            </w:tcMar>
          </w:tcPr>
          <w:p>
            <w:pPr>
              <w:spacing w:after="40" w:before="40" w:line="276" w:lineRule="auto"/>
              <w:jc w:val="left"/>
            </w:pPr>
            <w:r>
              <w:rPr>
                <w:rFonts w:ascii="Times New Roman" w:hAnsi="Times New Roman"/>
                <w:sz w:val="19"/>
              </w:rPr>
              <w:t>SMT S-Induction Formal Proofs, ISO 26262 Rules.</w:t>
            </w:r>
          </w:p>
        </w:tc>
        <w:tc>
          <w:tcPr>
            <w:tcW w:type="dxa" w:w="1584"/>
            <w:shd w:fill="F2F5F9"/>
            <w:tcMar>
              <w:top w:w="100" w:type="dxa"/>
              <w:bottom w:w="100" w:type="dxa"/>
              <w:left w:w="150" w:type="dxa"/>
              <w:right w:w="150" w:type="dxa"/>
            </w:tcMar>
          </w:tcPr>
          <w:p>
            <w:pPr>
              <w:spacing w:after="40" w:before="40" w:line="276" w:lineRule="auto"/>
              <w:jc w:val="left"/>
            </w:pPr>
            <w:r>
              <w:rPr>
                <w:rFonts w:ascii="Times New Roman" w:hAnsi="Times New Roman"/>
                <w:sz w:val="19"/>
              </w:rPr>
              <w:t>Awan et al. (2026), Tahat et al. (2026).</w:t>
            </w:r>
          </w:p>
        </w:tc>
      </w:tr>
    </w:tbl>
    <w:p>
      <w:pPr>
        <w:spacing w:line="360" w:lineRule="auto" w:after="120"/>
        <w:jc w:val="both"/>
      </w:pPr>
      <w:r>
        <w:rPr>
          <w:rFonts w:ascii="Times New Roman" w:hAnsi="Times New Roman"/>
          <w:sz w:val="22"/>
        </w:rPr>
        <w:t>Unstructured Software Requirements Specifications frequently contain passive phrasing, incomplete descriptions, and ambiguous terms. Unassisted models struggle with raw text inputs, resulting in low recall and omitted domain classes, associations, or multiplicity rules (Chen et al., 2023; De Bari et al., 2024). Modern toolchains resolve this ambiguity by inserting semantic formalization steps before rendering models. VeriGen introduces a pre-modeling stage that converts raw requirement text into Structured Natural Language templates based on RUPPs patterns. This structured intermediate format increases class extraction precision to 94.1% and attribute recall to 95.4% (Ahmed et al., 2026). GenClass addresses the same challenge through neural architecture design. It treats model synthesis as a Sequence-to-Abstract-Syntax-Tree translation task. By forcing a 60M parameter T5 decoder to emit valid JSON S-AST nodes, the system prevents syntax errors and reaches an 89.91% F1-score (Alaswad et al., 2026).</w:t>
      </w:r>
    </w:p>
    <w:p>
      <w:pPr>
        <w:spacing w:line="360" w:lineRule="auto" w:after="120"/>
        <w:jc w:val="both"/>
      </w:pPr>
      <w:r>
        <w:rPr>
          <w:rFonts w:ascii="Times New Roman" w:hAnsi="Times New Roman"/>
          <w:sz w:val="22"/>
        </w:rPr>
        <w:t>Comparing structured intermediate representations against shallow token matching highlights the necessity of semantic grounding. Token metrics like BLEU-4 and ROUGE evaluate surface grammar but ignore domain meaning (Alaswad et al., 2026; Chen et al., 2023). Deep semantic evaluations demonstrate this gap clearly. De Bari et al. applied the Bolloju Quality Framework, while Chen et al. evaluated outputs against expert ground truth. Their findings show that models with perfect syntax pass rates still contain significant semantic errors (p = 0.002) and poor relationship extraction performance (F1 = 0.34) (Chen et al., 2023; De Bari et al., 2024). Intermediate structures address this disconnect. Frameworks like SCEditor-Web serialize visual metamodels into JSON schemas, while MoRe constructs Ecore XMI trees. These intermediate buffers allow rule scanners and SMT provers to enforce metamodel compliance, flag bad associations, and filter out hallucinations before generating code (Ait Hsain et al., 2025; Chen et al., 2026).</w:t>
      </w:r>
    </w:p>
    <w:p>
      <w:pPr>
        <w:pStyle w:val="Heading1"/>
        <w:keepNext/>
        <w:spacing w:before="240" w:after="80"/>
      </w:pPr>
      <w:r>
        <w:rPr>
          <w:rFonts w:ascii="Times New Roman" w:hAnsi="Times New Roman"/>
          <w:b/>
          <w:color w:val="002060"/>
          <w:sz w:val="32"/>
        </w:rPr>
        <w:t>SECTION 4.7: REVERSE ENGINEERING AND TRANSFORMATION MECHANISMS (RQ10)</w:t>
      </w:r>
    </w:p>
    <w:p>
      <w:pPr>
        <w:spacing w:line="360" w:lineRule="auto" w:after="120"/>
        <w:jc w:val="both"/>
      </w:pPr>
      <w:r>
        <w:rPr>
          <w:rFonts w:ascii="Times New Roman" w:hAnsi="Times New Roman"/>
          <w:sz w:val="22"/>
        </w:rPr>
        <w:t>Software modernization relies on four primary transformation pipelines: Model-to-Model (M2M), Model-to-Text (M2T), Model-to-Code (M2C), and Code-to-Model (C2M) (Ahmed et al., 2026; Antal et al., 2024; Miranda et al., 2024; Siala &amp; Lano, 2026). Conventional MDE frameworks build these pipelines using manual rules written in languages like ATL or QVT. Rule-based generators guarantee strict metamodel compliance. However, they break easily when processing non-standard coding patterns, external libraries, or dynamic features.</w:t>
      </w:r>
    </w:p>
    <w:p>
      <w:pPr>
        <w:spacing w:line="360" w:lineRule="auto" w:after="120"/>
        <w:jc w:val="both"/>
      </w:pPr>
      <w:r>
        <w:rPr>
          <w:rFonts w:ascii="Times New Roman" w:hAnsi="Times New Roman"/>
          <w:sz w:val="22"/>
        </w:rPr>
        <w:t>Recent AI-driven systems augment or replace manual rules using code-aware language models. The LLM4Models framework illustrates this shift in Code-to-Model reverse engineering. Researchers fine-tuned Mistral-7B using QLoRA on a dataset of over 25,000 code-model pairs (Siala &amp; Lano, 2026). Utilizing Java2JSON and Python2JSON AST parsers, LLM4Models extracts structural UML Class Diagrams and behavioral Object Constraint Language rules in KM3 text format. The system achieves a 0.921 recall score, 0.976 precision, and an F1-score of 0.938 on legacy codebases across six Java open-source case studies (Siala &amp; Lano, 2026).</w:t>
      </w:r>
    </w:p>
    <w:p>
      <w:pPr>
        <w:pStyle w:val="Heading2"/>
        <w:keepNext/>
        <w:spacing w:before="240" w:after="80"/>
      </w:pPr>
      <w:r>
        <w:rPr>
          <w:rFonts w:ascii="Times New Roman" w:hAnsi="Times New Roman"/>
          <w:b/>
          <w:color w:val="002060"/>
          <w:sz w:val="26"/>
        </w:rPr>
        <w:t>Table 4.7: Comparative Analysis of Rule-Based vs. AI-Augmented Transformation Pipelines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728"/>
            <w:shd w:fill="002060"/>
            <w:tcMar>
              <w:top w:w="120" w:type="dxa"/>
              <w:bottom w:w="120" w:type="dxa"/>
              <w:left w:w="150" w:type="dxa"/>
              <w:right w:w="150" w:type="dxa"/>
            </w:tcMar>
          </w:tcPr>
          <w:p>
            <w:pPr>
              <w:spacing w:after="40" w:before="40"/>
              <w:jc w:val="center"/>
            </w:pPr>
            <w:r>
              <w:rPr>
                <w:rFonts w:ascii="Times New Roman" w:hAnsi="Times New Roman"/>
                <w:b/>
                <w:color w:val="FFFFFF"/>
                <w:sz w:val="20"/>
              </w:rPr>
              <w:t>Transformation Pipeline</w:t>
            </w:r>
          </w:p>
        </w:tc>
        <w:tc>
          <w:tcPr>
            <w:tcW w:type="dxa" w:w="1872"/>
            <w:shd w:fill="002060"/>
            <w:tcMar>
              <w:top w:w="120" w:type="dxa"/>
              <w:bottom w:w="120" w:type="dxa"/>
              <w:left w:w="150" w:type="dxa"/>
              <w:right w:w="150" w:type="dxa"/>
            </w:tcMar>
          </w:tcPr>
          <w:p>
            <w:pPr>
              <w:spacing w:after="40" w:before="40"/>
              <w:jc w:val="center"/>
            </w:pPr>
            <w:r>
              <w:rPr>
                <w:rFonts w:ascii="Times New Roman" w:hAnsi="Times New Roman"/>
                <w:b/>
                <w:color w:val="FFFFFF"/>
                <w:sz w:val="20"/>
              </w:rPr>
              <w:t>Traditional Rule-Based Mechanism</w:t>
            </w:r>
          </w:p>
        </w:tc>
        <w:tc>
          <w:tcPr>
            <w:tcW w:type="dxa" w:w="2592"/>
            <w:shd w:fill="002060"/>
            <w:tcMar>
              <w:top w:w="120" w:type="dxa"/>
              <w:bottom w:w="120" w:type="dxa"/>
              <w:left w:w="150" w:type="dxa"/>
              <w:right w:w="150" w:type="dxa"/>
            </w:tcMar>
          </w:tcPr>
          <w:p>
            <w:pPr>
              <w:spacing w:after="40" w:before="40"/>
              <w:jc w:val="center"/>
            </w:pPr>
            <w:r>
              <w:rPr>
                <w:rFonts w:ascii="Times New Roman" w:hAnsi="Times New Roman"/>
                <w:b/>
                <w:color w:val="FFFFFF"/>
                <w:sz w:val="20"/>
              </w:rPr>
              <w:t>Adaptive AI / LLM-Augmented Alternative</w:t>
            </w:r>
          </w:p>
        </w:tc>
        <w:tc>
          <w:tcPr>
            <w:tcW w:type="dxa" w:w="1584"/>
            <w:shd w:fill="002060"/>
            <w:tcMar>
              <w:top w:w="120" w:type="dxa"/>
              <w:bottom w:w="120" w:type="dxa"/>
              <w:left w:w="150" w:type="dxa"/>
              <w:right w:w="150" w:type="dxa"/>
            </w:tcMar>
          </w:tcPr>
          <w:p>
            <w:pPr>
              <w:spacing w:after="40" w:before="40"/>
              <w:jc w:val="center"/>
            </w:pPr>
            <w:r>
              <w:rPr>
                <w:rFonts w:ascii="Times New Roman" w:hAnsi="Times New Roman"/>
                <w:b/>
                <w:color w:val="FFFFFF"/>
                <w:sz w:val="20"/>
              </w:rPr>
              <w:t>Correctness &amp; Verification Engine</w:t>
            </w:r>
          </w:p>
        </w:tc>
        <w:tc>
          <w:tcPr>
            <w:tcW w:type="dxa" w:w="1584"/>
            <w:shd w:fill="002060"/>
            <w:tcMar>
              <w:top w:w="120" w:type="dxa"/>
              <w:bottom w:w="120" w:type="dxa"/>
              <w:left w:w="150" w:type="dxa"/>
              <w:right w:w="150" w:type="dxa"/>
            </w:tcMar>
          </w:tcPr>
          <w:p>
            <w:pPr>
              <w:spacing w:after="40" w:before="40"/>
              <w:jc w:val="center"/>
            </w:pPr>
            <w:r>
              <w:rPr>
                <w:rFonts w:ascii="Times New Roman" w:hAnsi="Times New Roman"/>
                <w:b/>
                <w:color w:val="FFFFFF"/>
                <w:sz w:val="20"/>
              </w:rPr>
              <w:t>Key Studies</w:t>
            </w:r>
          </w:p>
        </w:tc>
      </w:tr>
      <w:tr>
        <w:tc>
          <w:tcPr>
            <w:tcW w:type="dxa" w:w="1728"/>
            <w:shd w:fill="FFFFFF"/>
            <w:tcMar>
              <w:top w:w="100" w:type="dxa"/>
              <w:bottom w:w="100" w:type="dxa"/>
              <w:left w:w="150" w:type="dxa"/>
              <w:right w:w="150" w:type="dxa"/>
            </w:tcMar>
          </w:tcPr>
          <w:p>
            <w:pPr>
              <w:spacing w:after="40" w:before="40" w:line="276" w:lineRule="auto"/>
              <w:jc w:val="left"/>
            </w:pPr>
            <w:r>
              <w:rPr>
                <w:rFonts w:ascii="Times New Roman" w:hAnsi="Times New Roman"/>
                <w:sz w:val="19"/>
              </w:rPr>
              <w:t>Model-to-Code (M2C)</w:t>
            </w:r>
          </w:p>
        </w:tc>
        <w:tc>
          <w:tcPr>
            <w:tcW w:type="dxa" w:w="1872"/>
            <w:shd w:fill="FFFFFF"/>
            <w:tcMar>
              <w:top w:w="100" w:type="dxa"/>
              <w:bottom w:w="100" w:type="dxa"/>
              <w:left w:w="150" w:type="dxa"/>
              <w:right w:w="150" w:type="dxa"/>
            </w:tcMar>
          </w:tcPr>
          <w:p>
            <w:pPr>
              <w:spacing w:after="40" w:before="40" w:line="276" w:lineRule="auto"/>
              <w:jc w:val="left"/>
            </w:pPr>
            <w:r>
              <w:rPr>
                <w:rFonts w:ascii="Times New Roman" w:hAnsi="Times New Roman"/>
                <w:sz w:val="19"/>
              </w:rPr>
              <w:t>Rigid template expansion (EGL, JET, Acceleo) based on fixed PIM rules.</w:t>
            </w:r>
          </w:p>
        </w:tc>
        <w:tc>
          <w:tcPr>
            <w:tcW w:type="dxa" w:w="2592"/>
            <w:shd w:fill="FFFFFF"/>
            <w:tcMar>
              <w:top w:w="100" w:type="dxa"/>
              <w:bottom w:w="100" w:type="dxa"/>
              <w:left w:w="150" w:type="dxa"/>
              <w:right w:w="150" w:type="dxa"/>
            </w:tcMar>
          </w:tcPr>
          <w:p>
            <w:pPr>
              <w:spacing w:after="40" w:before="40" w:line="276" w:lineRule="auto"/>
              <w:jc w:val="left"/>
            </w:pPr>
            <w:r>
              <w:rPr>
                <w:rFonts w:ascii="Times New Roman" w:hAnsi="Times New Roman"/>
                <w:sz w:val="19"/>
              </w:rPr>
              <w:t>VeriGen and GPT-4V skeletal Java and Solidity synthesis with parameter stubs.</w:t>
            </w:r>
          </w:p>
        </w:tc>
        <w:tc>
          <w:tcPr>
            <w:tcW w:type="dxa" w:w="1584"/>
            <w:shd w:fill="FFFFFF"/>
            <w:tcMar>
              <w:top w:w="100" w:type="dxa"/>
              <w:bottom w:w="100" w:type="dxa"/>
              <w:left w:w="150" w:type="dxa"/>
              <w:right w:w="150" w:type="dxa"/>
            </w:tcMar>
          </w:tcPr>
          <w:p>
            <w:pPr>
              <w:spacing w:after="40" w:before="40" w:line="276" w:lineRule="auto"/>
              <w:jc w:val="left"/>
            </w:pPr>
            <w:r>
              <w:rPr>
                <w:rFonts w:ascii="Times New Roman" w:hAnsi="Times New Roman"/>
                <w:sz w:val="19"/>
              </w:rPr>
              <w:t>Java Compiler (javac), solc, Slither Static Analyzer.</w:t>
            </w:r>
          </w:p>
        </w:tc>
        <w:tc>
          <w:tcPr>
            <w:tcW w:type="dxa" w:w="1584"/>
            <w:shd w:fill="FFFFFF"/>
            <w:tcMar>
              <w:top w:w="100" w:type="dxa"/>
              <w:bottom w:w="100" w:type="dxa"/>
              <w:left w:w="150" w:type="dxa"/>
              <w:right w:w="150" w:type="dxa"/>
            </w:tcMar>
          </w:tcPr>
          <w:p>
            <w:pPr>
              <w:spacing w:after="40" w:before="40" w:line="276" w:lineRule="auto"/>
              <w:jc w:val="left"/>
            </w:pPr>
            <w:r>
              <w:rPr>
                <w:rFonts w:ascii="Times New Roman" w:hAnsi="Times New Roman"/>
                <w:sz w:val="19"/>
              </w:rPr>
              <w:t>Ahmed et al. (2026), Antal et al. (2024), Ait Hsain et al. (2025).</w:t>
            </w:r>
          </w:p>
        </w:tc>
      </w:tr>
      <w:tr>
        <w:tc>
          <w:tcPr>
            <w:tcW w:type="dxa" w:w="1728"/>
            <w:shd w:fill="F2F5F9"/>
            <w:tcMar>
              <w:top w:w="100" w:type="dxa"/>
              <w:bottom w:w="100" w:type="dxa"/>
              <w:left w:w="150" w:type="dxa"/>
              <w:right w:w="150" w:type="dxa"/>
            </w:tcMar>
          </w:tcPr>
          <w:p>
            <w:pPr>
              <w:spacing w:after="40" w:before="40" w:line="276" w:lineRule="auto"/>
              <w:jc w:val="left"/>
            </w:pPr>
            <w:r>
              <w:rPr>
                <w:rFonts w:ascii="Times New Roman" w:hAnsi="Times New Roman"/>
                <w:sz w:val="19"/>
              </w:rPr>
              <w:t>Code-to-Model (C2M)</w:t>
            </w:r>
          </w:p>
        </w:tc>
        <w:tc>
          <w:tcPr>
            <w:tcW w:type="dxa" w:w="1872"/>
            <w:shd w:fill="F2F5F9"/>
            <w:tcMar>
              <w:top w:w="100" w:type="dxa"/>
              <w:bottom w:w="100" w:type="dxa"/>
              <w:left w:w="150" w:type="dxa"/>
              <w:right w:w="150" w:type="dxa"/>
            </w:tcMar>
          </w:tcPr>
          <w:p>
            <w:pPr>
              <w:spacing w:after="40" w:before="40" w:line="276" w:lineRule="auto"/>
              <w:jc w:val="left"/>
            </w:pPr>
            <w:r>
              <w:rPr>
                <w:rFonts w:ascii="Times New Roman" w:hAnsi="Times New Roman"/>
                <w:sz w:val="19"/>
              </w:rPr>
              <w:t>Static AST parsers (MoDisco, ASTM) restricted to explicit syntax.</w:t>
            </w:r>
          </w:p>
        </w:tc>
        <w:tc>
          <w:tcPr>
            <w:tcW w:type="dxa" w:w="2592"/>
            <w:shd w:fill="F2F5F9"/>
            <w:tcMar>
              <w:top w:w="100" w:type="dxa"/>
              <w:bottom w:w="100" w:type="dxa"/>
              <w:left w:w="150" w:type="dxa"/>
              <w:right w:w="150" w:type="dxa"/>
            </w:tcMar>
          </w:tcPr>
          <w:p>
            <w:pPr>
              <w:spacing w:after="40" w:before="40" w:line="276" w:lineRule="auto"/>
              <w:jc w:val="left"/>
            </w:pPr>
            <w:r>
              <w:rPr>
                <w:rFonts w:ascii="Times New Roman" w:hAnsi="Times New Roman"/>
                <w:sz w:val="19"/>
              </w:rPr>
              <w:t>LLM4Models fine-tuned Mistral-7B QLoRA abstracting UML and OCL from Java and Python.</w:t>
            </w:r>
          </w:p>
        </w:tc>
        <w:tc>
          <w:tcPr>
            <w:tcW w:type="dxa" w:w="1584"/>
            <w:shd w:fill="F2F5F9"/>
            <w:tcMar>
              <w:top w:w="100" w:type="dxa"/>
              <w:bottom w:w="100" w:type="dxa"/>
              <w:left w:w="150" w:type="dxa"/>
              <w:right w:w="150" w:type="dxa"/>
            </w:tcMar>
          </w:tcPr>
          <w:p>
            <w:pPr>
              <w:spacing w:after="40" w:before="40" w:line="276" w:lineRule="auto"/>
              <w:jc w:val="left"/>
            </w:pPr>
            <w:r>
              <w:rPr>
                <w:rFonts w:ascii="Times New Roman" w:hAnsi="Times New Roman"/>
                <w:sz w:val="19"/>
              </w:rPr>
              <w:t>Java2JSON and Python2JSON AST Parsers, AgileUML Type Checkers.</w:t>
            </w:r>
          </w:p>
        </w:tc>
        <w:tc>
          <w:tcPr>
            <w:tcW w:type="dxa" w:w="1584"/>
            <w:shd w:fill="F2F5F9"/>
            <w:tcMar>
              <w:top w:w="100" w:type="dxa"/>
              <w:bottom w:w="100" w:type="dxa"/>
              <w:left w:w="150" w:type="dxa"/>
              <w:right w:w="150" w:type="dxa"/>
            </w:tcMar>
          </w:tcPr>
          <w:p>
            <w:pPr>
              <w:spacing w:after="40" w:before="40" w:line="276" w:lineRule="auto"/>
              <w:jc w:val="left"/>
            </w:pPr>
            <w:r>
              <w:rPr>
                <w:rFonts w:ascii="Times New Roman" w:hAnsi="Times New Roman"/>
                <w:sz w:val="19"/>
              </w:rPr>
              <w:t>Siala (2024), Siala &amp; Lano (2025, 2026).</w:t>
            </w:r>
          </w:p>
        </w:tc>
      </w:tr>
      <w:tr>
        <w:tc>
          <w:tcPr>
            <w:tcW w:type="dxa" w:w="1728"/>
            <w:shd w:fill="FFFFFF"/>
            <w:tcMar>
              <w:top w:w="100" w:type="dxa"/>
              <w:bottom w:w="100" w:type="dxa"/>
              <w:left w:w="150" w:type="dxa"/>
              <w:right w:w="150" w:type="dxa"/>
            </w:tcMar>
          </w:tcPr>
          <w:p>
            <w:pPr>
              <w:spacing w:after="40" w:before="40" w:line="276" w:lineRule="auto"/>
              <w:jc w:val="left"/>
            </w:pPr>
            <w:r>
              <w:rPr>
                <w:rFonts w:ascii="Times New Roman" w:hAnsi="Times New Roman"/>
                <w:sz w:val="19"/>
              </w:rPr>
              <w:t>Model-to-Model (M2M)</w:t>
            </w:r>
          </w:p>
        </w:tc>
        <w:tc>
          <w:tcPr>
            <w:tcW w:type="dxa" w:w="1872"/>
            <w:shd w:fill="FFFFFF"/>
            <w:tcMar>
              <w:top w:w="100" w:type="dxa"/>
              <w:bottom w:w="100" w:type="dxa"/>
              <w:left w:w="150" w:type="dxa"/>
              <w:right w:w="150" w:type="dxa"/>
            </w:tcMar>
          </w:tcPr>
          <w:p>
            <w:pPr>
              <w:spacing w:after="40" w:before="40" w:line="276" w:lineRule="auto"/>
              <w:jc w:val="left"/>
            </w:pPr>
            <w:r>
              <w:rPr>
                <w:rFonts w:ascii="Times New Roman" w:hAnsi="Times New Roman"/>
                <w:sz w:val="19"/>
              </w:rPr>
              <w:t>Explicit declarative mappings (ATL, QVT) requiring manual rule code.</w:t>
            </w:r>
          </w:p>
        </w:tc>
        <w:tc>
          <w:tcPr>
            <w:tcW w:type="dxa" w:w="2592"/>
            <w:shd w:fill="FFFFFF"/>
            <w:tcMar>
              <w:top w:w="100" w:type="dxa"/>
              <w:bottom w:w="100" w:type="dxa"/>
              <w:left w:w="150" w:type="dxa"/>
              <w:right w:w="150" w:type="dxa"/>
            </w:tcMar>
          </w:tcPr>
          <w:p>
            <w:pPr>
              <w:spacing w:after="40" w:before="40" w:line="276" w:lineRule="auto"/>
              <w:jc w:val="left"/>
            </w:pPr>
            <w:r>
              <w:rPr>
                <w:rFonts w:ascii="Times New Roman" w:hAnsi="Times New Roman"/>
                <w:sz w:val="19"/>
              </w:rPr>
              <w:t>Heterogeneous GNNs (HGNNs) and MoRe hybrid self-refinement predicting view links.</w:t>
            </w:r>
          </w:p>
        </w:tc>
        <w:tc>
          <w:tcPr>
            <w:tcW w:type="dxa" w:w="1584"/>
            <w:shd w:fill="FFFFFF"/>
            <w:tcMar>
              <w:top w:w="100" w:type="dxa"/>
              <w:bottom w:w="100" w:type="dxa"/>
              <w:left w:w="150" w:type="dxa"/>
              <w:right w:w="150" w:type="dxa"/>
            </w:tcMar>
          </w:tcPr>
          <w:p>
            <w:pPr>
              <w:spacing w:after="40" w:before="40" w:line="276" w:lineRule="auto"/>
              <w:jc w:val="left"/>
            </w:pPr>
            <w:r>
              <w:rPr>
                <w:rFonts w:ascii="Times New Roman" w:hAnsi="Times New Roman"/>
                <w:sz w:val="19"/>
              </w:rPr>
              <w:t>Ecore Rule Scanners, Link Prediction Precision, Recall, and F1.</w:t>
            </w:r>
          </w:p>
        </w:tc>
        <w:tc>
          <w:tcPr>
            <w:tcW w:type="dxa" w:w="1584"/>
            <w:shd w:fill="FFFFFF"/>
            <w:tcMar>
              <w:top w:w="100" w:type="dxa"/>
              <w:bottom w:w="100" w:type="dxa"/>
              <w:left w:w="150" w:type="dxa"/>
              <w:right w:w="150" w:type="dxa"/>
            </w:tcMar>
          </w:tcPr>
          <w:p>
            <w:pPr>
              <w:spacing w:after="40" w:before="40" w:line="276" w:lineRule="auto"/>
              <w:jc w:val="left"/>
            </w:pPr>
            <w:r>
              <w:rPr>
                <w:rFonts w:ascii="Times New Roman" w:hAnsi="Times New Roman"/>
                <w:sz w:val="19"/>
              </w:rPr>
              <w:t>Miranda et al. (2024), Chen et al. (2026).</w:t>
            </w:r>
          </w:p>
        </w:tc>
      </w:tr>
      <w:tr>
        <w:tc>
          <w:tcPr>
            <w:tcW w:type="dxa" w:w="1728"/>
            <w:shd w:fill="F2F5F9"/>
            <w:tcMar>
              <w:top w:w="100" w:type="dxa"/>
              <w:bottom w:w="100" w:type="dxa"/>
              <w:left w:w="150" w:type="dxa"/>
              <w:right w:w="150" w:type="dxa"/>
            </w:tcMar>
          </w:tcPr>
          <w:p>
            <w:pPr>
              <w:spacing w:after="40" w:before="40" w:line="276" w:lineRule="auto"/>
              <w:jc w:val="left"/>
            </w:pPr>
            <w:r>
              <w:rPr>
                <w:rFonts w:ascii="Times New Roman" w:hAnsi="Times New Roman"/>
                <w:sz w:val="19"/>
              </w:rPr>
              <w:t>Model-to-Text (M2T)</w:t>
            </w:r>
          </w:p>
        </w:tc>
        <w:tc>
          <w:tcPr>
            <w:tcW w:type="dxa" w:w="1872"/>
            <w:shd w:fill="F2F5F9"/>
            <w:tcMar>
              <w:top w:w="100" w:type="dxa"/>
              <w:bottom w:w="100" w:type="dxa"/>
              <w:left w:w="150" w:type="dxa"/>
              <w:right w:w="150" w:type="dxa"/>
            </w:tcMar>
          </w:tcPr>
          <w:p>
            <w:pPr>
              <w:spacing w:after="40" w:before="40" w:line="276" w:lineRule="auto"/>
              <w:jc w:val="left"/>
            </w:pPr>
            <w:r>
              <w:rPr>
                <w:rFonts w:ascii="Times New Roman" w:hAnsi="Times New Roman"/>
                <w:sz w:val="19"/>
              </w:rPr>
              <w:t>Template-driven text serialization outputting target DSL files.</w:t>
            </w:r>
          </w:p>
        </w:tc>
        <w:tc>
          <w:tcPr>
            <w:tcW w:type="dxa" w:w="2592"/>
            <w:shd w:fill="F2F5F9"/>
            <w:tcMar>
              <w:top w:w="100" w:type="dxa"/>
              <w:bottom w:w="100" w:type="dxa"/>
              <w:left w:w="150" w:type="dxa"/>
              <w:right w:w="150" w:type="dxa"/>
            </w:tcMar>
          </w:tcPr>
          <w:p>
            <w:pPr>
              <w:spacing w:after="40" w:before="40" w:line="276" w:lineRule="auto"/>
              <w:jc w:val="left"/>
            </w:pPr>
            <w:r>
              <w:rPr>
                <w:rFonts w:ascii="Times New Roman" w:hAnsi="Times New Roman"/>
                <w:sz w:val="19"/>
              </w:rPr>
              <w:t>On-device LLMs generating XAI natural language summaries of model edits.</w:t>
            </w:r>
          </w:p>
        </w:tc>
        <w:tc>
          <w:tcPr>
            <w:tcW w:type="dxa" w:w="1584"/>
            <w:shd w:fill="F2F5F9"/>
            <w:tcMar>
              <w:top w:w="100" w:type="dxa"/>
              <w:bottom w:w="100" w:type="dxa"/>
              <w:left w:w="150" w:type="dxa"/>
              <w:right w:w="150" w:type="dxa"/>
            </w:tcMar>
          </w:tcPr>
          <w:p>
            <w:pPr>
              <w:spacing w:after="40" w:before="40" w:line="276" w:lineRule="auto"/>
              <w:jc w:val="left"/>
            </w:pPr>
            <w:r>
              <w:rPr>
                <w:rFonts w:ascii="Times New Roman" w:hAnsi="Times New Roman"/>
                <w:sz w:val="19"/>
              </w:rPr>
              <w:t>Xtext DSML Checkers, ISO 26262 Audit Rules.</w:t>
            </w:r>
          </w:p>
        </w:tc>
        <w:tc>
          <w:tcPr>
            <w:tcW w:type="dxa" w:w="1584"/>
            <w:shd w:fill="F2F5F9"/>
            <w:tcMar>
              <w:top w:w="100" w:type="dxa"/>
              <w:bottom w:w="100" w:type="dxa"/>
              <w:left w:w="150" w:type="dxa"/>
              <w:right w:w="150" w:type="dxa"/>
            </w:tcMar>
          </w:tcPr>
          <w:p>
            <w:pPr>
              <w:spacing w:after="40" w:before="40" w:line="276" w:lineRule="auto"/>
              <w:jc w:val="left"/>
            </w:pPr>
            <w:r>
              <w:rPr>
                <w:rFonts w:ascii="Times New Roman" w:hAnsi="Times New Roman"/>
                <w:sz w:val="19"/>
              </w:rPr>
              <w:t>Awan et al. (2026), Morales et al. (2025).</w:t>
            </w:r>
          </w:p>
        </w:tc>
      </w:tr>
    </w:tbl>
    <w:p>
      <w:pPr>
        <w:spacing w:line="360" w:lineRule="auto" w:after="120"/>
        <w:jc w:val="both"/>
      </w:pPr>
      <w:r>
        <w:rPr>
          <w:rFonts w:ascii="Times New Roman" w:hAnsi="Times New Roman"/>
          <w:sz w:val="22"/>
        </w:rPr>
        <w:t>Verifying transformation correctness requires multi-layered checks. Advanced toolchains combine metamodel checkers, OCL type checkers, static analysis tools, and formal SMT provers:</w:t>
      </w:r>
    </w:p>
    <w:p>
      <w:pPr>
        <w:spacing w:line="360" w:lineRule="auto" w:after="120"/>
        <w:jc w:val="both"/>
      </w:pPr>
      <w:r>
        <w:rPr>
          <w:rFonts w:ascii="Times New Roman" w:hAnsi="Times New Roman"/>
          <w:b/>
          <w:sz w:val="22"/>
        </w:rPr>
        <w:t xml:space="preserve">• Metamodel Conformance &amp; Syntax Parsing: </w:t>
      </w:r>
      <w:r>
        <w:rPr>
          <w:rFonts w:ascii="Times New Roman" w:hAnsi="Times New Roman"/>
          <w:sz w:val="22"/>
        </w:rPr>
        <w:t>Frameworks like VeriGen and LLM4Models validate outputs using Java compilers (javac), PlantUML parsers, or AgileUML type checkers. These tools enforce correct syntax and reject illegal keyword structures (Ahmed et al., 2026; Siala &amp; Lano, 2026).</w:t>
      </w:r>
    </w:p>
    <w:p>
      <w:pPr>
        <w:spacing w:line="360" w:lineRule="auto" w:after="120"/>
        <w:jc w:val="both"/>
      </w:pPr>
      <w:r>
        <w:rPr>
          <w:rFonts w:ascii="Times New Roman" w:hAnsi="Times New Roman"/>
          <w:b/>
          <w:sz w:val="22"/>
        </w:rPr>
        <w:t xml:space="preserve">• Static Analysis &amp; Security Audit: </w:t>
      </w:r>
      <w:r>
        <w:rPr>
          <w:rFonts w:ascii="Times New Roman" w:hAnsi="Times New Roman"/>
          <w:sz w:val="22"/>
        </w:rPr>
        <w:t>Domain-specific pipelines integrate specialized analyzers. SCEditor-Web generates Solidity smart contracts and verifies them using Slither static analysis and solc compilation. This step evaluates gas efficiency and flags security vulnerabilities (Ait Hsain et al., 2025).</w:t>
      </w:r>
    </w:p>
    <w:p>
      <w:pPr>
        <w:spacing w:line="360" w:lineRule="auto" w:after="120"/>
        <w:jc w:val="both"/>
      </w:pPr>
      <w:r>
        <w:rPr>
          <w:rFonts w:ascii="Times New Roman" w:hAnsi="Times New Roman"/>
          <w:b/>
          <w:sz w:val="22"/>
        </w:rPr>
        <w:t xml:space="preserve">• Formal SMT Verification: </w:t>
      </w:r>
      <w:r>
        <w:rPr>
          <w:rFonts w:ascii="Times New Roman" w:hAnsi="Times New Roman"/>
          <w:sz w:val="22"/>
        </w:rPr>
        <w:t>Safety-critical architectures require mathematical guarantees. The AGREE-Dog neuro-symbolic copilot translates system specifications and AADL models into AGREE formal contract annexes. SMT solvers like JKind perform k-induction bounded model checking, proving mathematically that transformed models preserve system invariants (Tahat et al., 2026).</w:t>
      </w:r>
    </w:p>
    <w:p>
      <w:pPr>
        <w:pStyle w:val="Heading1"/>
        <w:keepNext/>
        <w:spacing w:before="240" w:after="80"/>
      </w:pPr>
      <w:r>
        <w:rPr>
          <w:rFonts w:ascii="Times New Roman" w:hAnsi="Times New Roman"/>
          <w:b/>
          <w:color w:val="002060"/>
          <w:sz w:val="32"/>
        </w:rPr>
        <w:t>SECTION 5.3: LIFECYCLE AND TRANSFORMATION RESEARCH GAPS</w:t>
      </w:r>
    </w:p>
    <w:p>
      <w:pPr>
        <w:spacing w:line="360" w:lineRule="auto" w:after="120"/>
        <w:jc w:val="both"/>
      </w:pPr>
      <w:r>
        <w:rPr>
          <w:rFonts w:ascii="Times New Roman" w:hAnsi="Times New Roman"/>
          <w:sz w:val="22"/>
        </w:rPr>
        <w:t>Our analysis identifies three major research gaps across the N = 77 primary included studies that impede the adoption of AI-driven model engineering in enterprise environments:</w:t>
      </w:r>
    </w:p>
    <w:p>
      <w:pPr>
        <w:pStyle w:val="Heading2"/>
        <w:keepNext/>
        <w:spacing w:before="240" w:after="80"/>
      </w:pPr>
      <w:r>
        <w:rPr>
          <w:rFonts w:ascii="Times New Roman" w:hAnsi="Times New Roman"/>
          <w:b/>
          <w:color w:val="002060"/>
          <w:sz w:val="26"/>
        </w:rPr>
        <w:t>Table 5.3: Gap Analysis Matrix in Lifecycle Coverage and Model Transformations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728"/>
            <w:shd w:fill="002060"/>
            <w:tcMar>
              <w:top w:w="120" w:type="dxa"/>
              <w:bottom w:w="120" w:type="dxa"/>
              <w:left w:w="150" w:type="dxa"/>
              <w:right w:w="150" w:type="dxa"/>
            </w:tcMar>
          </w:tcPr>
          <w:p>
            <w:pPr>
              <w:spacing w:after="40" w:before="40"/>
              <w:jc w:val="center"/>
            </w:pPr>
            <w:r>
              <w:rPr>
                <w:rFonts w:ascii="Times New Roman" w:hAnsi="Times New Roman"/>
                <w:b/>
                <w:color w:val="FFFFFF"/>
                <w:sz w:val="20"/>
              </w:rPr>
              <w:t>Identified Gap</w:t>
            </w:r>
          </w:p>
        </w:tc>
        <w:tc>
          <w:tcPr>
            <w:tcW w:type="dxa" w:w="1728"/>
            <w:shd w:fill="002060"/>
            <w:tcMar>
              <w:top w:w="120" w:type="dxa"/>
              <w:bottom w:w="120" w:type="dxa"/>
              <w:left w:w="150" w:type="dxa"/>
              <w:right w:w="150" w:type="dxa"/>
            </w:tcMar>
          </w:tcPr>
          <w:p>
            <w:pPr>
              <w:spacing w:after="40" w:before="40"/>
              <w:jc w:val="center"/>
            </w:pPr>
            <w:r>
              <w:rPr>
                <w:rFonts w:ascii="Times New Roman" w:hAnsi="Times New Roman"/>
                <w:b/>
                <w:color w:val="FFFFFF"/>
                <w:sz w:val="20"/>
              </w:rPr>
              <w:t>Current Literature Coverage</w:t>
            </w:r>
          </w:p>
        </w:tc>
        <w:tc>
          <w:tcPr>
            <w:tcW w:type="dxa" w:w="2160"/>
            <w:shd w:fill="002060"/>
            <w:tcMar>
              <w:top w:w="120" w:type="dxa"/>
              <w:bottom w:w="120" w:type="dxa"/>
              <w:left w:w="150" w:type="dxa"/>
              <w:right w:w="150" w:type="dxa"/>
            </w:tcMar>
          </w:tcPr>
          <w:p>
            <w:pPr>
              <w:spacing w:after="40" w:before="40"/>
              <w:jc w:val="center"/>
            </w:pPr>
            <w:r>
              <w:rPr>
                <w:rFonts w:ascii="Times New Roman" w:hAnsi="Times New Roman"/>
                <w:b/>
                <w:color w:val="FFFFFF"/>
                <w:sz w:val="20"/>
              </w:rPr>
              <w:t>Empirical Deficiencies</w:t>
            </w:r>
          </w:p>
        </w:tc>
        <w:tc>
          <w:tcPr>
            <w:tcW w:type="dxa" w:w="1872"/>
            <w:shd w:fill="002060"/>
            <w:tcMar>
              <w:top w:w="120" w:type="dxa"/>
              <w:bottom w:w="120" w:type="dxa"/>
              <w:left w:w="150" w:type="dxa"/>
              <w:right w:w="150" w:type="dxa"/>
            </w:tcMar>
          </w:tcPr>
          <w:p>
            <w:pPr>
              <w:spacing w:after="40" w:before="40"/>
              <w:jc w:val="center"/>
            </w:pPr>
            <w:r>
              <w:rPr>
                <w:rFonts w:ascii="Times New Roman" w:hAnsi="Times New Roman"/>
                <w:b/>
                <w:color w:val="FFFFFF"/>
                <w:sz w:val="20"/>
              </w:rPr>
              <w:t>Blocker for Industrial Adoption</w:t>
            </w:r>
          </w:p>
        </w:tc>
        <w:tc>
          <w:tcPr>
            <w:tcW w:type="dxa" w:w="1872"/>
            <w:shd w:fill="002060"/>
            <w:tcMar>
              <w:top w:w="120" w:type="dxa"/>
              <w:bottom w:w="120" w:type="dxa"/>
              <w:left w:w="150" w:type="dxa"/>
              <w:right w:w="150" w:type="dxa"/>
            </w:tcMar>
          </w:tcPr>
          <w:p>
            <w:pPr>
              <w:spacing w:after="40" w:before="40"/>
              <w:jc w:val="center"/>
            </w:pPr>
            <w:r>
              <w:rPr>
                <w:rFonts w:ascii="Times New Roman" w:hAnsi="Times New Roman"/>
                <w:b/>
                <w:color w:val="FFFFFF"/>
                <w:sz w:val="20"/>
              </w:rPr>
              <w:t>Future Research Direction</w:t>
            </w:r>
          </w:p>
        </w:tc>
      </w:tr>
      <w:tr>
        <w:tc>
          <w:tcPr>
            <w:tcW w:type="dxa" w:w="1728"/>
            <w:shd w:fill="FFFFFF"/>
            <w:tcMar>
              <w:top w:w="100" w:type="dxa"/>
              <w:bottom w:w="100" w:type="dxa"/>
              <w:left w:w="150" w:type="dxa"/>
              <w:right w:w="150" w:type="dxa"/>
            </w:tcMar>
          </w:tcPr>
          <w:p>
            <w:pPr>
              <w:spacing w:after="40" w:before="40" w:line="276" w:lineRule="auto"/>
              <w:jc w:val="left"/>
            </w:pPr>
            <w:r>
              <w:rPr>
                <w:rFonts w:ascii="Times New Roman" w:hAnsi="Times New Roman"/>
                <w:sz w:val="19"/>
              </w:rPr>
              <w:t>1. Overemphasis on Isolated Class Diagrams</w:t>
            </w:r>
          </w:p>
        </w:tc>
        <w:tc>
          <w:tcPr>
            <w:tcW w:type="dxa" w:w="1728"/>
            <w:shd w:fill="FFFFFF"/>
            <w:tcMar>
              <w:top w:w="100" w:type="dxa"/>
              <w:bottom w:w="100" w:type="dxa"/>
              <w:left w:w="150" w:type="dxa"/>
              <w:right w:w="150" w:type="dxa"/>
            </w:tcMar>
          </w:tcPr>
          <w:p>
            <w:pPr>
              <w:spacing w:after="40" w:before="40" w:line="276" w:lineRule="auto"/>
              <w:jc w:val="left"/>
            </w:pPr>
            <w:r>
              <w:rPr>
                <w:rFonts w:ascii="Times New Roman" w:hAnsi="Times New Roman"/>
                <w:sz w:val="19"/>
              </w:rPr>
              <w:t>Heavy (&gt;80% of studies). Highly clustered in static UML class and Ecore domain modeling.</w:t>
            </w:r>
          </w:p>
        </w:tc>
        <w:tc>
          <w:tcPr>
            <w:tcW w:type="dxa" w:w="2160"/>
            <w:shd w:fill="FFFFFF"/>
            <w:tcMar>
              <w:top w:w="100" w:type="dxa"/>
              <w:bottom w:w="100" w:type="dxa"/>
              <w:left w:w="150" w:type="dxa"/>
              <w:right w:w="150" w:type="dxa"/>
            </w:tcMar>
          </w:tcPr>
          <w:p>
            <w:pPr>
              <w:spacing w:after="40" w:before="40" w:line="276" w:lineRule="auto"/>
              <w:jc w:val="left"/>
            </w:pPr>
            <w:r>
              <w:rPr>
                <w:rFonts w:ascii="Times New Roman" w:hAnsi="Times New Roman"/>
                <w:sz w:val="19"/>
              </w:rPr>
              <w:t>Near-total neglect of dynamic behavioral (Sequence, Activity), architectural (SysML, AADL), and runtime models.</w:t>
            </w:r>
          </w:p>
        </w:tc>
        <w:tc>
          <w:tcPr>
            <w:tcW w:type="dxa" w:w="1872"/>
            <w:shd w:fill="FFFFFF"/>
            <w:tcMar>
              <w:top w:w="100" w:type="dxa"/>
              <w:bottom w:w="100" w:type="dxa"/>
              <w:left w:w="150" w:type="dxa"/>
              <w:right w:w="150" w:type="dxa"/>
            </w:tcMar>
          </w:tcPr>
          <w:p>
            <w:pPr>
              <w:spacing w:after="40" w:before="40" w:line="276" w:lineRule="auto"/>
              <w:jc w:val="left"/>
            </w:pPr>
            <w:r>
              <w:rPr>
                <w:rFonts w:ascii="Times New Roman" w:hAnsi="Times New Roman"/>
                <w:sz w:val="19"/>
              </w:rPr>
              <w:t>Prevents modeling multi-view enterprise systems; generates static skeletons failing to capture dynamic system behavior.</w:t>
            </w:r>
          </w:p>
        </w:tc>
        <w:tc>
          <w:tcPr>
            <w:tcW w:type="dxa" w:w="1872"/>
            <w:shd w:fill="FFFFFF"/>
            <w:tcMar>
              <w:top w:w="100" w:type="dxa"/>
              <w:bottom w:w="100" w:type="dxa"/>
              <w:left w:w="150" w:type="dxa"/>
              <w:right w:w="150" w:type="dxa"/>
            </w:tcMar>
          </w:tcPr>
          <w:p>
            <w:pPr>
              <w:spacing w:after="40" w:before="40" w:line="276" w:lineRule="auto"/>
              <w:jc w:val="left"/>
            </w:pPr>
            <w:r>
              <w:rPr>
                <w:rFonts w:ascii="Times New Roman" w:hAnsi="Times New Roman"/>
                <w:sz w:val="19"/>
              </w:rPr>
              <w:t>Develop multi-view, temporal-aware loss architectures (L_ord) and unified multi-diagram synthesis engines.</w:t>
            </w:r>
          </w:p>
        </w:tc>
      </w:tr>
      <w:tr>
        <w:tc>
          <w:tcPr>
            <w:tcW w:type="dxa" w:w="1728"/>
            <w:shd w:fill="F2F5F9"/>
            <w:tcMar>
              <w:top w:w="100" w:type="dxa"/>
              <w:bottom w:w="100" w:type="dxa"/>
              <w:left w:w="150" w:type="dxa"/>
              <w:right w:w="150" w:type="dxa"/>
            </w:tcMar>
          </w:tcPr>
          <w:p>
            <w:pPr>
              <w:spacing w:after="40" w:before="40" w:line="276" w:lineRule="auto"/>
              <w:jc w:val="left"/>
            </w:pPr>
            <w:r>
              <w:rPr>
                <w:rFonts w:ascii="Times New Roman" w:hAnsi="Times New Roman"/>
                <w:sz w:val="19"/>
              </w:rPr>
              <w:t>2. Syntactic Validity Substituted for Semantic Correctness</w:t>
            </w:r>
          </w:p>
        </w:tc>
        <w:tc>
          <w:tcPr>
            <w:tcW w:type="dxa" w:w="1728"/>
            <w:shd w:fill="F2F5F9"/>
            <w:tcMar>
              <w:top w:w="100" w:type="dxa"/>
              <w:bottom w:w="100" w:type="dxa"/>
              <w:left w:w="150" w:type="dxa"/>
              <w:right w:w="150" w:type="dxa"/>
            </w:tcMar>
          </w:tcPr>
          <w:p>
            <w:pPr>
              <w:spacing w:after="40" w:before="40" w:line="276" w:lineRule="auto"/>
              <w:jc w:val="left"/>
            </w:pPr>
            <w:r>
              <w:rPr>
                <w:rFonts w:ascii="Times New Roman" w:hAnsi="Times New Roman"/>
                <w:sz w:val="19"/>
              </w:rPr>
              <w:t>Moderate-to-Heavy. Primary studies rely on token overlap (BLEU) or AST syntax parsers.</w:t>
            </w:r>
          </w:p>
        </w:tc>
        <w:tc>
          <w:tcPr>
            <w:tcW w:type="dxa" w:w="2160"/>
            <w:shd w:fill="F2F5F9"/>
            <w:tcMar>
              <w:top w:w="100" w:type="dxa"/>
              <w:bottom w:w="100" w:type="dxa"/>
              <w:left w:w="150" w:type="dxa"/>
              <w:right w:w="150" w:type="dxa"/>
            </w:tcMar>
          </w:tcPr>
          <w:p>
            <w:pPr>
              <w:spacing w:after="40" w:before="40" w:line="276" w:lineRule="auto"/>
              <w:jc w:val="left"/>
            </w:pPr>
            <w:r>
              <w:rPr>
                <w:rFonts w:ascii="Times New Roman" w:hAnsi="Times New Roman"/>
                <w:sz w:val="19"/>
              </w:rPr>
              <w:t>Syntax compliance masks severe semantic gaps (p = 0.002), missing cardinalities, and relationship extraction failures (F1 = 0.34).</w:t>
            </w:r>
          </w:p>
        </w:tc>
        <w:tc>
          <w:tcPr>
            <w:tcW w:type="dxa" w:w="1872"/>
            <w:shd w:fill="F2F5F9"/>
            <w:tcMar>
              <w:top w:w="100" w:type="dxa"/>
              <w:bottom w:w="100" w:type="dxa"/>
              <w:left w:w="150" w:type="dxa"/>
              <w:right w:w="150" w:type="dxa"/>
            </w:tcMar>
          </w:tcPr>
          <w:p>
            <w:pPr>
              <w:spacing w:after="40" w:before="40" w:line="276" w:lineRule="auto"/>
              <w:jc w:val="left"/>
            </w:pPr>
            <w:r>
              <w:rPr>
                <w:rFonts w:ascii="Times New Roman" w:hAnsi="Times New Roman"/>
                <w:sz w:val="19"/>
              </w:rPr>
              <w:t>Introduces hidden technical debt, unhandled edge cases, and catastrophic runtime failures in safety-critical deployments.</w:t>
            </w:r>
          </w:p>
        </w:tc>
        <w:tc>
          <w:tcPr>
            <w:tcW w:type="dxa" w:w="1872"/>
            <w:shd w:fill="F2F5F9"/>
            <w:tcMar>
              <w:top w:w="100" w:type="dxa"/>
              <w:bottom w:w="100" w:type="dxa"/>
              <w:left w:w="150" w:type="dxa"/>
              <w:right w:w="150" w:type="dxa"/>
            </w:tcMar>
          </w:tcPr>
          <w:p>
            <w:pPr>
              <w:spacing w:after="40" w:before="40" w:line="276" w:lineRule="auto"/>
              <w:jc w:val="left"/>
            </w:pPr>
            <w:r>
              <w:rPr>
                <w:rFonts w:ascii="Times New Roman" w:hAnsi="Times New Roman"/>
                <w:sz w:val="19"/>
              </w:rPr>
              <w:t>Integrate closed-loop neuro-symbolic verifiers combining LLMs with OCL execution, SMT provers, and execution sandboxes.</w:t>
            </w:r>
          </w:p>
        </w:tc>
      </w:tr>
      <w:tr>
        <w:tc>
          <w:tcPr>
            <w:tcW w:type="dxa" w:w="1728"/>
            <w:shd w:fill="FFFFFF"/>
            <w:tcMar>
              <w:top w:w="100" w:type="dxa"/>
              <w:bottom w:w="100" w:type="dxa"/>
              <w:left w:w="150" w:type="dxa"/>
              <w:right w:w="150" w:type="dxa"/>
            </w:tcMar>
          </w:tcPr>
          <w:p>
            <w:pPr>
              <w:spacing w:after="40" w:before="40" w:line="276" w:lineRule="auto"/>
              <w:jc w:val="left"/>
            </w:pPr>
            <w:r>
              <w:rPr>
                <w:rFonts w:ascii="Times New Roman" w:hAnsi="Times New Roman"/>
                <w:sz w:val="19"/>
              </w:rPr>
              <w:t>3. Lack of Continuous Runtime Evolution</w:t>
            </w:r>
          </w:p>
        </w:tc>
        <w:tc>
          <w:tcPr>
            <w:tcW w:type="dxa" w:w="1728"/>
            <w:shd w:fill="FFFFFF"/>
            <w:tcMar>
              <w:top w:w="100" w:type="dxa"/>
              <w:bottom w:w="100" w:type="dxa"/>
              <w:left w:w="150" w:type="dxa"/>
              <w:right w:w="150" w:type="dxa"/>
            </w:tcMar>
          </w:tcPr>
          <w:p>
            <w:pPr>
              <w:spacing w:after="40" w:before="40" w:line="276" w:lineRule="auto"/>
              <w:jc w:val="left"/>
            </w:pPr>
            <w:r>
              <w:rPr>
                <w:rFonts w:ascii="Times New Roman" w:hAnsi="Times New Roman"/>
                <w:sz w:val="19"/>
              </w:rPr>
              <w:t>Zero Evidence (Stages 9, 10, 11). All toolchains operate as static design-time generators.</w:t>
            </w:r>
          </w:p>
        </w:tc>
        <w:tc>
          <w:tcPr>
            <w:tcW w:type="dxa" w:w="2160"/>
            <w:shd w:fill="FFFFFF"/>
            <w:tcMar>
              <w:top w:w="100" w:type="dxa"/>
              <w:bottom w:w="100" w:type="dxa"/>
              <w:left w:w="150" w:type="dxa"/>
              <w:right w:w="150" w:type="dxa"/>
            </w:tcMar>
          </w:tcPr>
          <w:p>
            <w:pPr>
              <w:spacing w:after="40" w:before="40" w:line="276" w:lineRule="auto"/>
              <w:jc w:val="left"/>
            </w:pPr>
            <w:r>
              <w:rPr>
                <w:rFonts w:ascii="Times New Roman" w:hAnsi="Times New Roman"/>
                <w:sz w:val="19"/>
              </w:rPr>
              <w:t>Complete absence of bi-directional delta synchronization, model version refactoring, or telemetry-driven Models@Runtime.</w:t>
            </w:r>
          </w:p>
        </w:tc>
        <w:tc>
          <w:tcPr>
            <w:tcW w:type="dxa" w:w="1872"/>
            <w:shd w:fill="FFFFFF"/>
            <w:tcMar>
              <w:top w:w="100" w:type="dxa"/>
              <w:bottom w:w="100" w:type="dxa"/>
              <w:left w:w="150" w:type="dxa"/>
              <w:right w:w="150" w:type="dxa"/>
            </w:tcMar>
          </w:tcPr>
          <w:p>
            <w:pPr>
              <w:spacing w:after="40" w:before="40" w:line="276" w:lineRule="auto"/>
              <w:jc w:val="left"/>
            </w:pPr>
            <w:r>
              <w:rPr>
                <w:rFonts w:ascii="Times New Roman" w:hAnsi="Times New Roman"/>
                <w:sz w:val="19"/>
              </w:rPr>
              <w:t>Causes rapid architectural drift between models and code; forces expensive manual re-extraction whenever code updates.</w:t>
            </w:r>
          </w:p>
        </w:tc>
        <w:tc>
          <w:tcPr>
            <w:tcW w:type="dxa" w:w="1872"/>
            <w:shd w:fill="FFFFFF"/>
            <w:tcMar>
              <w:top w:w="100" w:type="dxa"/>
              <w:bottom w:w="100" w:type="dxa"/>
              <w:left w:w="150" w:type="dxa"/>
              <w:right w:w="150" w:type="dxa"/>
            </w:tcMar>
          </w:tcPr>
          <w:p>
            <w:pPr>
              <w:spacing w:after="40" w:before="40" w:line="276" w:lineRule="auto"/>
              <w:jc w:val="left"/>
            </w:pPr>
            <w:r>
              <w:rPr>
                <w:rFonts w:ascii="Times New Roman" w:hAnsi="Times New Roman"/>
                <w:sz w:val="19"/>
              </w:rPr>
              <w:t>Build continuous bi-directional round-trip synchronization engines and telemetry-driven runtime model adaptation loops.</w:t>
            </w:r>
          </w:p>
        </w:tc>
      </w:tr>
    </w:tbl>
    <w:p>
      <w:pPr>
        <w:pStyle w:val="Heading1"/>
        <w:keepNext/>
        <w:spacing w:before="240" w:after="80"/>
      </w:pPr>
      <w:r>
        <w:rPr>
          <w:rFonts w:ascii="Times New Roman" w:hAnsi="Times New Roman"/>
          <w:b/>
          <w:color w:val="002060"/>
          <w:sz w:val="32"/>
        </w:rPr>
        <w:t>SECTION 6.1a: LIFECYCLE &amp; ARTIFACT TAXONOMY BRANCHES</w:t>
      </w:r>
    </w:p>
    <w:p>
      <w:pPr>
        <w:pStyle w:val="Heading2"/>
        <w:keepNext/>
        <w:spacing w:before="240" w:after="80"/>
      </w:pPr>
      <w:r>
        <w:rPr>
          <w:rFonts w:ascii="Times New Roman" w:hAnsi="Times New Roman"/>
          <w:b/>
          <w:color w:val="002060"/>
          <w:sz w:val="26"/>
        </w:rPr>
        <w:t>1. Dimension A: Model-Engineering Lifecycle Stage Taxonomy Branch</w:t>
      </w:r>
    </w:p>
    <w:p>
      <w:pPr>
        <w:spacing w:line="360" w:lineRule="auto" w:after="120"/>
        <w:jc w:val="both"/>
      </w:pPr>
      <w:r>
        <w:rPr>
          <w:rFonts w:ascii="Times New Roman" w:hAnsi="Times New Roman"/>
          <w:b/>
          <w:sz w:val="22"/>
        </w:rPr>
        <w:t xml:space="preserve">Stage 1: Requirements Understanding: </w:t>
      </w:r>
      <w:r>
        <w:rPr>
          <w:rFonts w:ascii="Times New Roman" w:hAnsi="Times New Roman"/>
          <w:sz w:val="22"/>
        </w:rPr>
        <w:t>Formalizing, structuring, and extracting entities and obligations from text into RUPPs templates or KeyBERT context blocks. Evidence Basis: Validated in VeriGen (Ahmed et al., 2026) across four SRS benchmark case studies.</w:t>
      </w:r>
    </w:p>
    <w:p>
      <w:pPr>
        <w:spacing w:line="360" w:lineRule="auto" w:after="120"/>
        <w:jc w:val="both"/>
      </w:pPr>
      <w:r>
        <w:rPr>
          <w:rFonts w:ascii="Times New Roman" w:hAnsi="Times New Roman"/>
          <w:b/>
          <w:sz w:val="22"/>
        </w:rPr>
        <w:t xml:space="preserve">Stage 2: Requirements-to-Model Generation: </w:t>
      </w:r>
      <w:r>
        <w:rPr>
          <w:rFonts w:ascii="Times New Roman" w:hAnsi="Times New Roman"/>
          <w:sz w:val="22"/>
        </w:rPr>
        <w:t>Synthesizing structural, behavioral, and process models from textual specifications. Evidence Basis: Evaluated in GenClass (Alaswad et al., 2026; PlantUCD dataset of 618 models) and BPMN Fusion (Boujmil &amp; Chebil, 2025).</w:t>
      </w:r>
    </w:p>
    <w:p>
      <w:pPr>
        <w:spacing w:line="360" w:lineRule="auto" w:after="120"/>
        <w:jc w:val="both"/>
      </w:pPr>
      <w:r>
        <w:rPr>
          <w:rFonts w:ascii="Times New Roman" w:hAnsi="Times New Roman"/>
          <w:b/>
          <w:sz w:val="22"/>
        </w:rPr>
        <w:t xml:space="preserve">Stage 3: Model Completion: </w:t>
      </w:r>
      <w:r>
        <w:rPr>
          <w:rFonts w:ascii="Times New Roman" w:hAnsi="Times New Roman"/>
          <w:sz w:val="22"/>
        </w:rPr>
        <w:t>Recommending missing classes, attributes, metaclasses, and structural features for incomplete models. Evidence Basis: Demonstrated in MemoRec (Di Rocco et al., 2023; 555 GitHub metamodels) and MAGDA (Ben Chaaben et al., 2026).</w:t>
      </w:r>
    </w:p>
    <w:p>
      <w:pPr>
        <w:spacing w:line="360" w:lineRule="auto" w:after="120"/>
        <w:jc w:val="both"/>
      </w:pPr>
      <w:r>
        <w:rPr>
          <w:rFonts w:ascii="Times New Roman" w:hAnsi="Times New Roman"/>
          <w:b/>
          <w:sz w:val="22"/>
        </w:rPr>
        <w:t xml:space="preserve">Stage 4: Model Quality Assurance: </w:t>
      </w:r>
      <w:r>
        <w:rPr>
          <w:rFonts w:ascii="Times New Roman" w:hAnsi="Times New Roman"/>
          <w:sz w:val="22"/>
        </w:rPr>
        <w:t>Automated grading, defect detection, and diagnostic scoring of software models. Evidence Basis: Evaluated across 120 UML diagrams from student project reports (Wang et al., 2024).</w:t>
      </w:r>
    </w:p>
    <w:p>
      <w:pPr>
        <w:spacing w:line="360" w:lineRule="auto" w:after="120"/>
        <w:jc w:val="both"/>
      </w:pPr>
      <w:r>
        <w:rPr>
          <w:rFonts w:ascii="Times New Roman" w:hAnsi="Times New Roman"/>
          <w:b/>
          <w:sz w:val="22"/>
        </w:rPr>
        <w:t xml:space="preserve">Stage 5: Model Repair: </w:t>
      </w:r>
      <w:r>
        <w:rPr>
          <w:rFonts w:ascii="Times New Roman" w:hAnsi="Times New Roman"/>
          <w:sz w:val="22"/>
        </w:rPr>
        <w:t>Detecting and correcting hallucinations, anti-patterns, and counterexample invariant failures. Evidence Basis: Validated in MoRe (Chen et al., 2026; 30 domain problems) and AGREE-Dog (Tahat et al., 2026; 13 fault-injection scenarios).</w:t>
      </w:r>
    </w:p>
    <w:p>
      <w:pPr>
        <w:spacing w:line="360" w:lineRule="auto" w:after="120"/>
        <w:jc w:val="both"/>
      </w:pPr>
      <w:r>
        <w:rPr>
          <w:rFonts w:ascii="Times New Roman" w:hAnsi="Times New Roman"/>
          <w:b/>
          <w:sz w:val="22"/>
        </w:rPr>
        <w:t xml:space="preserve">Stage 6: Model Transformation: </w:t>
      </w:r>
      <w:r>
        <w:rPr>
          <w:rFonts w:ascii="Times New Roman" w:hAnsi="Times New Roman"/>
          <w:sz w:val="22"/>
        </w:rPr>
        <w:t>Predicting inter-model links and consistency mappings across heterogeneous views. Evidence Basis: Implemented in EMF Views using Heterogeneous Graph Neural Networks (Miranda et al., 2024).</w:t>
      </w:r>
    </w:p>
    <w:p>
      <w:pPr>
        <w:spacing w:line="360" w:lineRule="auto" w:after="120"/>
        <w:jc w:val="both"/>
      </w:pPr>
      <w:r>
        <w:rPr>
          <w:rFonts w:ascii="Times New Roman" w:hAnsi="Times New Roman"/>
          <w:b/>
          <w:sz w:val="22"/>
        </w:rPr>
        <w:t xml:space="preserve">Stage 7: Model-to-Code Synthesis: </w:t>
      </w:r>
      <w:r>
        <w:rPr>
          <w:rFonts w:ascii="Times New Roman" w:hAnsi="Times New Roman"/>
          <w:sz w:val="22"/>
        </w:rPr>
        <w:t>Translating visual or textual models into compilable source code skeletons. Evidence Basis: Evaluated in VeriGen (Ahmed et al., 2026; Java skeletons), GPT-4V (Antal et al., 2024), and SCEditor-Web (Ait Hsain et al., 2025).</w:t>
      </w:r>
    </w:p>
    <w:p>
      <w:pPr>
        <w:spacing w:line="360" w:lineRule="auto" w:after="120"/>
        <w:jc w:val="both"/>
      </w:pPr>
      <w:r>
        <w:rPr>
          <w:rFonts w:ascii="Times New Roman" w:hAnsi="Times New Roman"/>
          <w:b/>
          <w:sz w:val="22"/>
        </w:rPr>
        <w:t xml:space="preserve">Stage 8: Code-to-Model Extraction / Reverse Engineering: </w:t>
      </w:r>
      <w:r>
        <w:rPr>
          <w:rFonts w:ascii="Times New Roman" w:hAnsi="Times New Roman"/>
          <w:sz w:val="22"/>
        </w:rPr>
        <w:t>Abstracting UML class diagrams and OCL constraints from source code. Evidence Basis: Demonstrated in LLM4Models (Siala &amp; Lano, 2026) across 25,000 code-model dataset pairs (recall = 0.921, precision = 0.976, F1 = 0.938 across six Java case studies).</w:t>
      </w:r>
    </w:p>
    <w:p>
      <w:pPr>
        <w:spacing w:line="360" w:lineRule="auto" w:after="120"/>
        <w:jc w:val="both"/>
      </w:pPr>
      <w:r>
        <w:rPr>
          <w:rFonts w:ascii="Times New Roman" w:hAnsi="Times New Roman"/>
          <w:b/>
          <w:sz w:val="22"/>
        </w:rPr>
        <w:t xml:space="preserve">Stage 9: Model-Code Synchronisation: </w:t>
      </w:r>
      <w:r>
        <w:rPr>
          <w:rFonts w:ascii="Times New Roman" w:hAnsi="Times New Roman"/>
          <w:sz w:val="22"/>
        </w:rPr>
        <w:t>Bi-directional delta propagation maintaining model-code consistency. Evidence Basis: Unrepresented in current empirical literature (Zero Evidence).</w:t>
      </w:r>
    </w:p>
    <w:p>
      <w:pPr>
        <w:spacing w:line="360" w:lineRule="auto" w:after="120"/>
        <w:jc w:val="both"/>
      </w:pPr>
      <w:r>
        <w:rPr>
          <w:rFonts w:ascii="Times New Roman" w:hAnsi="Times New Roman"/>
          <w:b/>
          <w:sz w:val="22"/>
        </w:rPr>
        <w:t xml:space="preserve">Stage 10: Model Evolution: </w:t>
      </w:r>
      <w:r>
        <w:rPr>
          <w:rFonts w:ascii="Times New Roman" w:hAnsi="Times New Roman"/>
          <w:sz w:val="22"/>
        </w:rPr>
        <w:t>Managing long-term model refactoring and metamodel co-evolution. Evidence Basis: Unrepresented in current empirical literature (Zero Evidence).</w:t>
      </w:r>
    </w:p>
    <w:p>
      <w:pPr>
        <w:spacing w:line="360" w:lineRule="auto" w:after="120"/>
        <w:jc w:val="both"/>
      </w:pPr>
      <w:r>
        <w:rPr>
          <w:rFonts w:ascii="Times New Roman" w:hAnsi="Times New Roman"/>
          <w:b/>
          <w:sz w:val="22"/>
        </w:rPr>
        <w:t xml:space="preserve">Stage 11: Runtime Modelling: </w:t>
      </w:r>
      <w:r>
        <w:rPr>
          <w:rFonts w:ascii="Times New Roman" w:hAnsi="Times New Roman"/>
          <w:sz w:val="22"/>
        </w:rPr>
        <w:t>Updating models dynamically using live execution telemetry and digital twins. Evidence Basis: Unrepresented in current empirical literature (Zero Evidence).</w:t>
      </w:r>
    </w:p>
    <w:p>
      <w:pPr>
        <w:spacing w:line="360" w:lineRule="auto" w:after="120"/>
        <w:jc w:val="both"/>
      </w:pPr>
      <w:r>
        <w:rPr>
          <w:rFonts w:ascii="Times New Roman" w:hAnsi="Times New Roman"/>
          <w:b/>
          <w:sz w:val="22"/>
        </w:rPr>
        <w:t xml:space="preserve">Stage 12: Self-Adaptive / Collaborative Modelling: </w:t>
      </w:r>
      <w:r>
        <w:rPr>
          <w:rFonts w:ascii="Times New Roman" w:hAnsi="Times New Roman"/>
          <w:sz w:val="22"/>
        </w:rPr>
        <w:t>Supporting real-time multi-user blended modeling with XAI log summaries. Evidence Basis: Validated in an industrial automotive case study from Volvo (Wiper Timing Package) under 100 concurrent users (Awan et al., 2026).</w:t>
      </w:r>
    </w:p>
    <w:p>
      <w:pPr>
        <w:pStyle w:val="Heading2"/>
        <w:keepNext/>
        <w:spacing w:before="240" w:after="80"/>
      </w:pPr>
      <w:r>
        <w:rPr>
          <w:rFonts w:ascii="Times New Roman" w:hAnsi="Times New Roman"/>
          <w:b/>
          <w:color w:val="002060"/>
          <w:sz w:val="26"/>
        </w:rPr>
        <w:t>2. Dimension C: Output Artifact Classification Taxonomy Branch</w:t>
      </w:r>
    </w:p>
    <w:p>
      <w:pPr>
        <w:spacing w:line="360" w:lineRule="auto" w:after="120"/>
        <w:jc w:val="both"/>
      </w:pPr>
      <w:r>
        <w:rPr>
          <w:rFonts w:ascii="Times New Roman" w:hAnsi="Times New Roman"/>
          <w:b/>
          <w:sz w:val="22"/>
        </w:rPr>
        <w:t xml:space="preserve">Structural Software Models: </w:t>
      </w:r>
      <w:r>
        <w:rPr>
          <w:rFonts w:ascii="Times New Roman" w:hAnsi="Times New Roman"/>
          <w:sz w:val="22"/>
        </w:rPr>
        <w:t>UML Class Diagrams, Object Diagrams, Domain Models, and Ecore Metamodels. Evidence Basis: Primary target in GenClass (Alaswad et al., 2026), LLM4Models (Siala &amp; Lano, 2026), MoRe (Chen et al., 2026), MemoRec (Di Rocco et al., 2023), and MAGDA (Ben Chaaben et al., 2026).</w:t>
      </w:r>
    </w:p>
    <w:p>
      <w:pPr>
        <w:spacing w:line="360" w:lineRule="auto" w:after="120"/>
        <w:jc w:val="both"/>
      </w:pPr>
      <w:r>
        <w:rPr>
          <w:rFonts w:ascii="Times New Roman" w:hAnsi="Times New Roman"/>
          <w:b/>
          <w:sz w:val="22"/>
        </w:rPr>
        <w:t xml:space="preserve">Behavioural &amp; Process Models: </w:t>
      </w:r>
      <w:r>
        <w:rPr>
          <w:rFonts w:ascii="Times New Roman" w:hAnsi="Times New Roman"/>
          <w:sz w:val="22"/>
        </w:rPr>
        <w:t>BPMN 2.0 Business Process Models, Activity Diagrams, and Statecharts. Evidence Basis: Demonstrated in BPMN Fusion (Boujmil &amp; Chebil, 2025) and SCEditor-Web (Ait Hsain et al., 2025).</w:t>
      </w:r>
    </w:p>
    <w:p>
      <w:pPr>
        <w:spacing w:line="360" w:lineRule="auto" w:after="120"/>
        <w:jc w:val="both"/>
      </w:pPr>
      <w:r>
        <w:rPr>
          <w:rFonts w:ascii="Times New Roman" w:hAnsi="Times New Roman"/>
          <w:b/>
          <w:sz w:val="22"/>
        </w:rPr>
        <w:t xml:space="preserve">Interaction Models: </w:t>
      </w:r>
      <w:r>
        <w:rPr>
          <w:rFonts w:ascii="Times New Roman" w:hAnsi="Times New Roman"/>
          <w:sz w:val="22"/>
        </w:rPr>
        <w:t>UML Sequence Diagrams and Use Case Diagrams. Evidence Basis: Validated in VeriGen Sequence Verifier (Ahmed et al., 2026) and multimodal grading studies (Wang et al., 2024).</w:t>
      </w:r>
    </w:p>
    <w:p>
      <w:pPr>
        <w:spacing w:line="360" w:lineRule="auto" w:after="120"/>
        <w:jc w:val="both"/>
      </w:pPr>
      <w:r>
        <w:rPr>
          <w:rFonts w:ascii="Times New Roman" w:hAnsi="Times New Roman"/>
          <w:b/>
          <w:sz w:val="22"/>
        </w:rPr>
        <w:t xml:space="preserve">Architectural &amp; Embedded Models: </w:t>
      </w:r>
      <w:r>
        <w:rPr>
          <w:rFonts w:ascii="Times New Roman" w:hAnsi="Times New Roman"/>
          <w:sz w:val="22"/>
        </w:rPr>
        <w:t>SysML v2, AADL Architecture Models, and Automotive EAST-ADL Layouts. Evidence Basis: Implemented in AGREE-Dog (Tahat et al., 2026; AADL and AGREE contracts) and Awan et al. (2026; EAST-ADL EAText and EAXML).</w:t>
      </w:r>
    </w:p>
    <w:p>
      <w:pPr>
        <w:spacing w:line="360" w:lineRule="auto" w:after="120"/>
        <w:jc w:val="both"/>
      </w:pPr>
      <w:r>
        <w:rPr>
          <w:rFonts w:ascii="Times New Roman" w:hAnsi="Times New Roman"/>
          <w:b/>
          <w:sz w:val="22"/>
        </w:rPr>
        <w:t xml:space="preserve">Formal Constraint Specifications: </w:t>
      </w:r>
      <w:r>
        <w:rPr>
          <w:rFonts w:ascii="Times New Roman" w:hAnsi="Times New Roman"/>
          <w:sz w:val="22"/>
        </w:rPr>
        <w:t>Object Constraint Language (OCL / AgileUML KM3) and AGREE Invariant Contracts. Evidence Basis: Derived in LLM4Models (Siala &amp; Lano, 2026) and AGREE-Dog SMT provers (Tahat et al., 2026).</w:t>
      </w:r>
    </w:p>
    <w:p>
      <w:pPr>
        <w:spacing w:line="360" w:lineRule="auto" w:after="120"/>
        <w:jc w:val="both"/>
      </w:pPr>
      <w:r>
        <w:rPr>
          <w:rFonts w:ascii="Times New Roman" w:hAnsi="Times New Roman"/>
          <w:b/>
          <w:sz w:val="22"/>
        </w:rPr>
        <w:t xml:space="preserve">Domain-Specific Language (DSL) Grammars: </w:t>
      </w:r>
      <w:r>
        <w:rPr>
          <w:rFonts w:ascii="Times New Roman" w:hAnsi="Times New Roman"/>
          <w:sz w:val="22"/>
        </w:rPr>
        <w:t>TextX PEG/EBNF Grammars, Smart Contract DSMLs, and Edge ML Deployment Schemas. Evidence Basis: Evaluated in RQ2DSL (Tsampouris et al., 2025), SCEditor-Web (Ait Hsain et al., 2025), and Karlsson Landgren et al. (2025).</w:t>
      </w:r>
    </w:p>
    <w:p>
      <w:pPr>
        <w:spacing w:line="360" w:lineRule="auto" w:after="120"/>
        <w:jc w:val="both"/>
      </w:pPr>
      <w:r>
        <w:rPr>
          <w:rFonts w:ascii="Times New Roman" w:hAnsi="Times New Roman"/>
          <w:b/>
          <w:sz w:val="22"/>
        </w:rPr>
        <w:t xml:space="preserve">Source Code &amp; Implementation Artifacts: </w:t>
      </w:r>
      <w:r>
        <w:rPr>
          <w:rFonts w:ascii="Times New Roman" w:hAnsi="Times New Roman"/>
          <w:sz w:val="22"/>
        </w:rPr>
        <w:t>Compilable Java Skeletons, Python Scripts, and Solidity Smart Contracts. Evidence Basis: Synthesized in VeriGen (Ahmed et al., 2026), GPT-4V (Antal et al., 2024), and SCEditor-Web (Ait Hsain et al., 2025).</w:t>
      </w:r>
    </w:p>
    <w:p>
      <w:pPr>
        <w:spacing w:before="240" w:after="240"/>
        <w:jc w:val="center"/>
      </w:pPr>
      <w:r>
        <w:rPr>
          <w:rFonts w:ascii="Times New Roman" w:hAnsi="Times New Roman"/>
          <w:b/>
          <w:color w:val="002060"/>
          <w:sz w:val="20"/>
        </w:rPr>
        <w:t>[INSERT FIGURE 6.1 HERE: Hierarchical Lifecycle Stage and Artifact Output Taxonomy Map]</w:t>
      </w:r>
    </w:p>
    <w:p>
      <w:pPr>
        <w:pStyle w:val="Heading1"/>
        <w:keepNext/>
        <w:spacing w:before="240" w:after="80"/>
      </w:pPr>
      <w:r>
        <w:rPr>
          <w:rFonts w:ascii="Times New Roman" w:hAnsi="Times New Roman"/>
          <w:b/>
          <w:color w:val="002060"/>
          <w:sz w:val="32"/>
        </w:rPr>
        <w:t>SECTION 7: REFERENCES (APA 7th Edition)</w:t>
      </w:r>
    </w:p>
    <w:p>
      <w:pPr>
        <w:spacing w:after="80" w:line="276" w:lineRule="auto"/>
        <w:ind w:left="720" w:hanging="720"/>
      </w:pPr>
      <w:r>
        <w:rPr>
          <w:rFonts w:ascii="Times New Roman" w:hAnsi="Times New Roman"/>
          <w:sz w:val="19"/>
        </w:rPr>
        <w:t>Ahmed, A., et al. (2026). VeriGen: An LLM-augmented framework for end-to-end automation of software development lifecycle—From requirements specifications to code generation. IEEE Access, 14, 36860–36880. https://doi.org/10.1109/ACCESS.2026.3686308</w:t>
      </w:r>
    </w:p>
    <w:p>
      <w:pPr>
        <w:spacing w:after="80" w:line="276" w:lineRule="auto"/>
        <w:ind w:left="720" w:hanging="720"/>
      </w:pPr>
      <w:r>
        <w:rPr>
          <w:rFonts w:ascii="Times New Roman" w:hAnsi="Times New Roman"/>
          <w:sz w:val="19"/>
        </w:rPr>
        <w:t>Ait Hsain, Y., et al. (2025). SCEditor-Web: Bridging model-driven engineering and generative AI for smart contract development. Information, 16(10), 870. https://doi.org/10.3390/info16100870</w:t>
      </w:r>
    </w:p>
    <w:p>
      <w:pPr>
        <w:spacing w:after="80" w:line="276" w:lineRule="auto"/>
        <w:ind w:left="720" w:hanging="720"/>
      </w:pPr>
      <w:r>
        <w:rPr>
          <w:rFonts w:ascii="Times New Roman" w:hAnsi="Times New Roman"/>
          <w:sz w:val="19"/>
        </w:rPr>
        <w:t>Alaswad, F., et al. (2026). GenClass: Sequence-to-AST neural machine translation for UML class diagram generation. Machine Learning with Applications, 100940. https://doi.org/10.1016/j.mlwa.2026.100940</w:t>
      </w:r>
    </w:p>
    <w:p>
      <w:pPr>
        <w:spacing w:after="80" w:line="276" w:lineRule="auto"/>
        <w:ind w:left="720" w:hanging="720"/>
      </w:pPr>
      <w:r>
        <w:rPr>
          <w:rFonts w:ascii="Times New Roman" w:hAnsi="Times New Roman"/>
          <w:sz w:val="19"/>
        </w:rPr>
        <w:t>Antal, G., Vozár, R., &amp; Ferenc, R. (2024). Assessing GPT-4-Vision's capabilities in UML-based code generation. In Proceedings of the 2024 IEEE/ACM International Conference on Software Engineering: Companion Proceedings (ICSE-Companion '24) (pp. 253–256). ACM. https://doi.org/10.1145/3643795.3648391</w:t>
      </w:r>
    </w:p>
    <w:p>
      <w:pPr>
        <w:spacing w:after="80" w:line="276" w:lineRule="auto"/>
        <w:ind w:left="720" w:hanging="720"/>
      </w:pPr>
      <w:r>
        <w:rPr>
          <w:rFonts w:ascii="Times New Roman" w:hAnsi="Times New Roman"/>
          <w:sz w:val="19"/>
        </w:rPr>
        <w:t>Awan, M., et al. (2026). AI-augmented real-time collaborative blended modeling framework for automotive embedded systems. IET Software, 2026(1), Article 6696040. https://doi.org/10.1049/sfw2/6696040</w:t>
      </w:r>
    </w:p>
    <w:p>
      <w:pPr>
        <w:spacing w:after="80" w:line="276" w:lineRule="auto"/>
        <w:ind w:left="720" w:hanging="720"/>
      </w:pPr>
      <w:r>
        <w:rPr>
          <w:rFonts w:ascii="Times New Roman" w:hAnsi="Times New Roman"/>
          <w:sz w:val="19"/>
        </w:rPr>
        <w:t>Ben Chaaben, M., Burgueño, L., David, I., &amp; Sahraoui, H. (2026). On the utility of domain modeling assistance with large language models. ACM Transactions on Software Engineering and Methodology (TOSEM), 35(4), Article 112. https://doi.org/10.1145/3744920</w:t>
      </w:r>
    </w:p>
    <w:p>
      <w:pPr>
        <w:spacing w:after="80" w:line="276" w:lineRule="auto"/>
        <w:ind w:left="720" w:hanging="720"/>
      </w:pPr>
      <w:r>
        <w:rPr>
          <w:rFonts w:ascii="Times New Roman" w:hAnsi="Times New Roman"/>
          <w:sz w:val="19"/>
        </w:rPr>
        <w:t>Boujmil, I., &amp; Chebil, W. (2025). Improving BPMN model generation from texts through a prompt-guided fusion of NLP and LLM approaches. In Proceedings of the 13th Knowledge Capture Conference (K-CAP '25) (pp. 1–5). ACM. https://doi.org/10.1145/3731443.3771362</w:t>
      </w:r>
    </w:p>
    <w:p>
      <w:pPr>
        <w:spacing w:after="80" w:line="276" w:lineRule="auto"/>
        <w:ind w:left="720" w:hanging="720"/>
      </w:pPr>
      <w:r>
        <w:rPr>
          <w:rFonts w:ascii="Times New Roman" w:hAnsi="Times New Roman"/>
          <w:sz w:val="19"/>
        </w:rPr>
        <w:t>Chen, K., Yang, Y., Chen, B., López, J. A. H., Mussbacher, G., &amp; Varró, D. (2023). Automated domain modeling with large language models: A comparative study. In Proceedings of the 26th ACM/IEEE International Conference on Model Driven Engineering Languages and Systems (MODELS '23) (pp. 162–172). IEEE. https://doi.org/10.1109/MODELS58315.2023.00037</w:t>
      </w:r>
    </w:p>
    <w:p>
      <w:pPr>
        <w:spacing w:after="80" w:line="276" w:lineRule="auto"/>
        <w:ind w:left="720" w:hanging="720"/>
      </w:pPr>
      <w:r>
        <w:rPr>
          <w:rFonts w:ascii="Times New Roman" w:hAnsi="Times New Roman"/>
          <w:sz w:val="19"/>
        </w:rPr>
        <w:t>Chen, R., Shen, J., &amp; He, X. (2026). MoRe: LLM-based domain model generation with hybrid self-refinement. Electronics (Switzerland), 15(6), Article 1239. https://doi.org/10.3390/electronics15061239</w:t>
      </w:r>
    </w:p>
    <w:p>
      <w:pPr>
        <w:spacing w:after="80" w:line="276" w:lineRule="auto"/>
        <w:ind w:left="720" w:hanging="720"/>
      </w:pPr>
      <w:r>
        <w:rPr>
          <w:rFonts w:ascii="Times New Roman" w:hAnsi="Times New Roman"/>
          <w:sz w:val="19"/>
        </w:rPr>
        <w:t>De Bari, D., Garaccione, G., Coppola, R., Torchiano, M., &amp; Ardito, L. (2024). Evaluating large language models in exercises of UML class diagram modeling. In Proceedings of the 18th ACM/IEEE International Symposium on Empirical Software Engineering and Measurement (ESEM '24) (pp. 101–112). ACM. https://doi.org/10.1145/3674805.3690741</w:t>
      </w:r>
    </w:p>
    <w:p>
      <w:pPr>
        <w:spacing w:after="80" w:line="276" w:lineRule="auto"/>
        <w:ind w:left="720" w:hanging="720"/>
      </w:pPr>
      <w:r>
        <w:rPr>
          <w:rFonts w:ascii="Times New Roman" w:hAnsi="Times New Roman"/>
          <w:sz w:val="19"/>
        </w:rPr>
        <w:t>Delgado, D., et al. (2026). A modular framework for assessing the capabilities of code generation of constraint domain-specific languages with large language models. Journal of Systems and Software, 238, Article 112871. https://doi.org/10.1016/j.jss.2026.112871</w:t>
      </w:r>
    </w:p>
    <w:p>
      <w:pPr>
        <w:spacing w:after="80" w:line="276" w:lineRule="auto"/>
        <w:ind w:left="720" w:hanging="720"/>
      </w:pPr>
      <w:r>
        <w:rPr>
          <w:rFonts w:ascii="Times New Roman" w:hAnsi="Times New Roman"/>
          <w:sz w:val="19"/>
        </w:rPr>
        <w:t>Di Rocco, J., Di Ruscio, D., Di Sipio, C., Nguyen, P. T., &amp; Pierantonio, A. (2023). MemoRec: A recommender system for assisting modelers in specifying metamodels. Software and Systems Modeling, 22(3), 994–1012. https://doi.org/10.1007/s10270-022-00994-2</w:t>
      </w:r>
    </w:p>
    <w:p>
      <w:pPr>
        <w:spacing w:after="80" w:line="276" w:lineRule="auto"/>
        <w:ind w:left="720" w:hanging="720"/>
      </w:pPr>
      <w:r>
        <w:rPr>
          <w:rFonts w:ascii="Times New Roman" w:hAnsi="Times New Roman"/>
          <w:sz w:val="19"/>
        </w:rPr>
        <w:t>Karlsson Landgren, A., Johnsen, P. P., &amp; Strüber, D. (2025). Cross-platform edge deployment of machine learning models: A model-driven approach. Software and Systems Modeling, 24(2), 1273–1290. https://doi.org/10.1007/s10270-025-01273-6</w:t>
      </w:r>
    </w:p>
    <w:p>
      <w:pPr>
        <w:spacing w:after="80" w:line="276" w:lineRule="auto"/>
        <w:ind w:left="720" w:hanging="720"/>
      </w:pPr>
      <w:r>
        <w:rPr>
          <w:rFonts w:ascii="Times New Roman" w:hAnsi="Times New Roman"/>
          <w:sz w:val="19"/>
        </w:rPr>
        <w:t>Miranda, J. P., Bruneliere, H., Tisi, M., &amp; Sunye, G. (2024). Towards the integration support for machine learning of inter-model relations in model views. In Proceedings of the 39th ACM/SIGAPP Symposium on Applied Computing (SAC '24) (pp. 360–368). ACM. https://doi.org/10.1145/3605098.3636143</w:t>
      </w:r>
    </w:p>
    <w:p>
      <w:pPr>
        <w:spacing w:after="80" w:line="276" w:lineRule="auto"/>
        <w:ind w:left="720" w:hanging="720"/>
      </w:pPr>
      <w:r>
        <w:rPr>
          <w:rFonts w:ascii="Times New Roman" w:hAnsi="Times New Roman"/>
          <w:sz w:val="19"/>
        </w:rPr>
        <w:t>Morales, S., Clarisó, R., &amp; Cabot, J. (2025). Impromptu: A framework for model-driven prompt engineering. Software and Systems Modeling, 24(4), 1627–1645. https://doi.org/10.1007/s10270-024-01235-4</w:t>
      </w:r>
    </w:p>
    <w:p>
      <w:pPr>
        <w:spacing w:after="80" w:line="276" w:lineRule="auto"/>
        <w:ind w:left="720" w:hanging="720"/>
      </w:pPr>
      <w:r>
        <w:rPr>
          <w:rFonts w:ascii="Times New Roman" w:hAnsi="Times New Roman"/>
          <w:sz w:val="19"/>
        </w:rPr>
        <w:t>Siala, H. A. (2024). Enhancing model-driven reverse engineering using machine learning. In Proceedings of the 46th International Conference on Software Engineering: Companion Proceedings (ICSE-Companion '24) (pp. 46–50). ACM. https://doi.org/10.1145/3639478.3639797</w:t>
      </w:r>
    </w:p>
    <w:p>
      <w:pPr>
        <w:spacing w:after="80" w:line="276" w:lineRule="auto"/>
        <w:ind w:left="720" w:hanging="720"/>
      </w:pPr>
      <w:r>
        <w:rPr>
          <w:rFonts w:ascii="Times New Roman" w:hAnsi="Times New Roman"/>
          <w:sz w:val="19"/>
        </w:rPr>
        <w:t>Siala, H. A., &amp; Lano, K. (2025). Using large language models to extract UML class diagrams from Java programs. In Proceedings of the 2025 IEEE International Conference on Software Science and Engineering (ICoSSE '25) (pp. 20–27). IEEE. https://doi.org/10.1109/ICoSSE65712.2025.00020</w:t>
      </w:r>
    </w:p>
    <w:p>
      <w:pPr>
        <w:spacing w:after="80" w:line="276" w:lineRule="auto"/>
        <w:ind w:left="720" w:hanging="720"/>
      </w:pPr>
      <w:r>
        <w:rPr>
          <w:rFonts w:ascii="Times New Roman" w:hAnsi="Times New Roman"/>
          <w:sz w:val="19"/>
        </w:rPr>
        <w:t>Siala, H. A., &amp; Lano, K. (2026). Leveraging LLMs for abstracting UML and OCL representations from Java and Python programs. Journal of Systems and Software, 238, Article 112874. https://doi.org/10.1016/j.jss.2026.112874</w:t>
      </w:r>
    </w:p>
    <w:p>
      <w:pPr>
        <w:spacing w:after="80" w:line="276" w:lineRule="auto"/>
        <w:ind w:left="720" w:hanging="720"/>
      </w:pPr>
      <w:r>
        <w:rPr>
          <w:rFonts w:ascii="Times New Roman" w:hAnsi="Times New Roman"/>
          <w:sz w:val="19"/>
        </w:rPr>
        <w:t>Tahat, A., Amundson, I., Hardin, D., &amp; Cofer, D. (2026). AGREE-Dog Copilot: A neuro-symbolic approach to enhanced model-based systems engineering. In B. Steffen (Ed.), Bridging the Gap Between AI and Reality (AISoLA 2025, LNCS Vol. 16220, pp. 112–131). Springer. https://doi.org/10.1007/978-3-032-07132-3_8</w:t>
      </w:r>
    </w:p>
    <w:p>
      <w:pPr>
        <w:spacing w:after="80" w:line="276" w:lineRule="auto"/>
        <w:ind w:left="720" w:hanging="720"/>
      </w:pPr>
      <w:r>
        <w:rPr>
          <w:rFonts w:ascii="Times New Roman" w:hAnsi="Times New Roman"/>
          <w:sz w:val="19"/>
        </w:rPr>
        <w:t>Tsampouris, G., et al. (2025). RQ2DSL: An AI agent for automated domain-specific language grammar generation from requirements. In Proceedings of the 37th IEEE International Conference on Tools with Artificial Intelligence (ICTAI '25) (pp. 189–196). IEEE. https://doi.org/10.1109/ICTAI66417.2025.00189</w:t>
      </w:r>
    </w:p>
    <w:p>
      <w:pPr>
        <w:spacing w:after="80" w:line="276" w:lineRule="auto"/>
        <w:ind w:left="720" w:hanging="720"/>
      </w:pPr>
      <w:r>
        <w:rPr>
          <w:rFonts w:ascii="Times New Roman" w:hAnsi="Times New Roman"/>
          <w:sz w:val="19"/>
        </w:rPr>
        <w:t>Wang, C., Wang, B., Liang, P., &amp; Liang, J. (2024). Assessing UML diagrams by GPT: Implications for education. Applied Sciences (Switzerland), 14(23), Article 10873. https://doi.org/10.3390/app142310873</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t xml:space="preserve">Systematic Literature Review Report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808080"/>
        <w:sz w:val="17"/>
      </w:rPr>
      <w:t>AI-Driven Model Engineering SLR | Primary Document Structure &amp; Member 3 Integration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