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002060"/>
          <w:sz w:val="40"/>
        </w:rPr>
        <w:t>THE ADOPTION OF CLOUD COMPUTING BY SMALL TO MEDIUM ENTERPRISES IN SOUTH AFRICA</w:t>
      </w:r>
    </w:p>
    <w:p/>
    <w:p/>
    <w:p>
      <w:pPr>
        <w:jc w:val="center"/>
      </w:pPr>
      <w:r>
        <w:rPr>
          <w:rFonts w:ascii="Calibri" w:hAnsi="Calibri"/>
          <w:i/>
          <w:sz w:val="22"/>
        </w:rPr>
        <w:t>A Research Proposal submitted in partial fulfilment of the requirements for the subject Projects 4 (PRJ470S) for the Advanced Diploma in Information and Communication Technology</w:t>
      </w:r>
    </w:p>
    <w:p/>
    <w:p/>
    <w:p/>
    <w:p/>
    <w:p>
      <w:pPr>
        <w:jc w:val="center"/>
      </w:pPr>
      <w:r>
        <w:rPr>
          <w:rFonts w:ascii="Calibri" w:hAnsi="Calibri"/>
          <w:b/>
          <w:sz w:val="22"/>
        </w:rPr>
        <w:t>DEPARTMENT OF INFORMATION TECHNOLOGY</w:t>
        <w:br/>
        <w:t>FACULTY OF INFORMATICS AND DESIGN</w:t>
        <w:br/>
        <w:t>CAPE PENINSULA UNIVERSITY OF TECHNOLOGY</w:t>
        <w:br/>
      </w:r>
    </w:p>
    <w:p/>
    <w:p/>
    <w:p>
      <w:pPr>
        <w:jc w:val="center"/>
      </w:pPr>
      <w:r>
        <w:rPr>
          <w:rFonts w:ascii="Calibri" w:hAnsi="Calibri"/>
          <w:sz w:val="22"/>
        </w:rPr>
        <w:t>Candidate: Thabiso Patrick Matsaba</w:t>
        <w:br/>
        <w:t>Student Number: 221000000</w:t>
        <w:br/>
        <w:t>Supervisor: Prof. Ephias Ruhode</w:t>
        <w:br/>
        <w:t>Date: September 2026</w:t>
      </w:r>
    </w:p>
    <w:p>
      <w:r>
        <w:br w:type="page"/>
      </w:r>
    </w:p>
    <w:p>
      <w:pPr>
        <w:jc w:val="center"/>
      </w:pPr>
      <w:r>
        <w:rPr>
          <w:rFonts w:ascii="Calibri" w:hAnsi="Calibri"/>
          <w:b/>
          <w:color w:val="002060"/>
          <w:sz w:val="28"/>
        </w:rPr>
        <w:t>ORIGINALITY AND ARTIFICIAL INTELLIGENCE DECLARATION</w:t>
      </w:r>
    </w:p>
    <w:p/>
    <w:p>
      <w:pPr>
        <w:jc w:val="left"/>
      </w:pPr>
      <w:r>
        <w:rPr>
          <w:rFonts w:ascii="Calibri" w:hAnsi="Calibri"/>
          <w:sz w:val="22"/>
        </w:rPr>
        <w:t>I, Thabiso Patrick Matsaba, hereby declare that the research proposal submitted herewith is my own original work. I acknowledge that I am fully aware of the Cape Peninsula University of Technology (CPUT) Policy on Plagiarism and Academic Dishonesty, and I confirm that all literary and empirical sources utilized in this document have been explicitly and systematically acknowledged through parenthetical in-text citations and a complete reference list compiled in strict accordance with the prescribed CPUT Harvard Referencing Style.</w:t>
        <w:br/>
        <w:br/>
        <w:t>I further declare that this document is free from plagiarism, and its primary conceptual framework, theoretical synthesis, research sub-questions, and systematic methodology have been originally conceived and written by myself. No part of this proposal has been previously submitted for an academic qualification at this or any other tertiary institution.</w:t>
      </w:r>
    </w:p>
    <w:p/>
    <w:p>
      <w:r>
        <w:rPr>
          <w:b/>
        </w:rPr>
        <w:t>Ethical Disclosure of Generative AI Tool Usage:</w:t>
      </w:r>
    </w:p>
    <w:p>
      <w:r>
        <w:t>In alignment with the CPUT Student Practice Guide for Generative AI and the Projects 4 Assessment Rubric, the precise nature of generative artificial intelligence integration in compiling this proposal is documented below. The use of the tool was strictly confined to non-cognitive, editorial, and linguistic functions, ensuring that scholarly ownership and cognitive synthesis remain strictly with the researcher.</w:t>
      </w:r>
    </w:p>
    <w:tbl>
      <w:tblPr>
        <w:tblW w:type="auto" w:w="0"/>
        <w:jc w:val="center"/>
        <w:tblLayout w:type="fixed"/>
        <w:tblLook w:firstColumn="1" w:firstRow="1" w:lastColumn="0" w:lastRow="0" w:noHBand="0" w:noVBand="1" w:val="04A0"/>
      </w:tblPr>
      <w:tblGrid>
        <w:gridCol w:w="4680"/>
        <w:gridCol w:w="4680"/>
      </w:tblGrid>
      <w:tr>
        <w:tc>
          <w:tcPr>
            <w:tcW w:type="dxa" w:w="3600"/>
            <w:shd w:fill="002060"/>
            <w:tcMar>
              <w:top w:w="100" w:type="dxa"/>
              <w:bottom w:w="100" w:type="dxa"/>
              <w:left w:w="150" w:type="dxa"/>
              <w:right w:w="150" w:type="dxa"/>
            </w:tcMar>
          </w:tcPr>
          <w:p>
            <w:pPr>
              <w:jc w:val="left"/>
            </w:pPr>
            <w:r>
              <w:rPr>
                <w:b/>
                <w:color w:val="FFFFFF"/>
              </w:rPr>
              <w:t>Dimension of Inquiry / Tool Use Question</w:t>
            </w:r>
          </w:p>
        </w:tc>
        <w:tc>
          <w:tcPr>
            <w:tcW w:type="dxa" w:w="5760"/>
            <w:shd w:fill="002060"/>
            <w:tcMar>
              <w:top w:w="100" w:type="dxa"/>
              <w:bottom w:w="100" w:type="dxa"/>
              <w:left w:w="150" w:type="dxa"/>
              <w:right w:w="150" w:type="dxa"/>
            </w:tcMar>
          </w:tcPr>
          <w:p>
            <w:pPr>
              <w:jc w:val="left"/>
            </w:pPr>
            <w:r>
              <w:rPr>
                <w:b/>
                <w:color w:val="FFFFFF"/>
              </w:rPr>
              <w:t>Operational Disclosure &amp; Verification</w:t>
            </w:r>
          </w:p>
        </w:tc>
      </w:tr>
      <w:tr>
        <w:tc>
          <w:tcPr>
            <w:tcW w:type="dxa" w:w="3600"/>
            <w:tcMar>
              <w:top w:w="80" w:type="dxa"/>
              <w:bottom w:w="80" w:type="dxa"/>
              <w:left w:w="100" w:type="dxa"/>
              <w:right w:w="100" w:type="dxa"/>
            </w:tcMar>
            <w:tcBorders>
              <w:top w:val="single" w:sz="4" w:space="0" w:color="D3D3D3"/>
              <w:left w:val="single" w:sz="4" w:space="0" w:color="D3D3D3"/>
              <w:bottom w:val="single" w:sz="4" w:space="0" w:color="D3D3D3"/>
              <w:right w:val="single" w:sz="4" w:space="0" w:color="D3D3D3"/>
            </w:tcBorders>
            <w:shd w:fill="F2F5F8"/>
          </w:tcPr>
          <w:p>
            <w:pPr>
              <w:spacing w:after="40"/>
            </w:pPr>
            <w:r>
              <w:rPr>
                <w:b/>
              </w:rPr>
              <w:t>Was generative AI utilized during the drafting of this research proposal?</w:t>
            </w:r>
          </w:p>
        </w:tc>
        <w:tc>
          <w:tcPr>
            <w:tcW w:type="dxa" w:w="5760"/>
            <w:tcMar>
              <w:top w:w="80" w:type="dxa"/>
              <w:bottom w:w="80" w:type="dxa"/>
              <w:left w:w="100" w:type="dxa"/>
              <w:right w:w="100" w:type="dxa"/>
            </w:tcMar>
            <w:tcBorders>
              <w:top w:val="single" w:sz="4" w:space="0" w:color="D3D3D3"/>
              <w:left w:val="single" w:sz="4" w:space="0" w:color="D3D3D3"/>
              <w:bottom w:val="single" w:sz="4" w:space="0" w:color="D3D3D3"/>
              <w:right w:val="single" w:sz="4" w:space="0" w:color="D3D3D3"/>
            </w:tcBorders>
            <w:shd w:fill="F2F5F8"/>
          </w:tcPr>
          <w:p>
            <w:pPr>
              <w:spacing w:after="40"/>
            </w:pPr>
            <w:r>
              <w:t>[ X ] YES  /  [   ] NO</w:t>
              <w:br/>
              <w:br/>
              <w:t>Tool utilized: Gemini (Notebook Architecture).</w:t>
            </w:r>
          </w:p>
        </w:tc>
      </w:tr>
      <w:tr>
        <w:tc>
          <w:tcPr>
            <w:tcW w:type="dxa" w:w="3600"/>
            <w:tcMar>
              <w:top w:w="80" w:type="dxa"/>
              <w:bottom w:w="80" w:type="dxa"/>
              <w:left w:w="100" w:type="dxa"/>
              <w:right w:w="100" w:type="dxa"/>
            </w:tcMar>
            <w:tcBorders>
              <w:top w:val="single" w:sz="4" w:space="0" w:color="D3D3D3"/>
              <w:left w:val="single" w:sz="4" w:space="0" w:color="D3D3D3"/>
              <w:bottom w:val="single" w:sz="4" w:space="0" w:color="D3D3D3"/>
              <w:right w:val="single" w:sz="4" w:space="0" w:color="D3D3D3"/>
            </w:tcBorders>
          </w:tcPr>
          <w:p>
            <w:pPr>
              <w:spacing w:after="40"/>
            </w:pPr>
            <w:r>
              <w:rPr>
                <w:b/>
              </w:rPr>
              <w:t>Specify the exact scope and operational boundaries of the AI tool's application.</w:t>
            </w:r>
          </w:p>
        </w:tc>
        <w:tc>
          <w:tcPr>
            <w:tcW w:type="dxa" w:w="5760"/>
            <w:tcMar>
              <w:top w:w="80" w:type="dxa"/>
              <w:bottom w:w="80" w:type="dxa"/>
              <w:left w:w="100" w:type="dxa"/>
              <w:right w:w="100" w:type="dxa"/>
            </w:tcMar>
            <w:tcBorders>
              <w:top w:val="single" w:sz="4" w:space="0" w:color="D3D3D3"/>
              <w:left w:val="single" w:sz="4" w:space="0" w:color="D3D3D3"/>
              <w:bottom w:val="single" w:sz="4" w:space="0" w:color="D3D3D3"/>
              <w:right w:val="single" w:sz="4" w:space="0" w:color="D3D3D3"/>
            </w:tcBorders>
          </w:tcPr>
          <w:p>
            <w:pPr>
              <w:spacing w:after="40"/>
            </w:pPr>
            <w:r>
              <w:t>The generative AI tool was utilized strictly as an editorial assistant. Its application was confined to: (1) optimizing sentence flow and linguistic transitions, (2) verifying spelling, grammar, and syntax, and (3) ensuring formatting compliance with CPUT style manuals (Calibri 11pt, 1.15 line spacing, structured headings).</w:t>
            </w:r>
          </w:p>
        </w:tc>
      </w:tr>
      <w:tr>
        <w:tc>
          <w:tcPr>
            <w:tcW w:type="dxa" w:w="3600"/>
            <w:tcMar>
              <w:top w:w="80" w:type="dxa"/>
              <w:bottom w:w="80" w:type="dxa"/>
              <w:left w:w="100" w:type="dxa"/>
              <w:right w:w="100" w:type="dxa"/>
            </w:tcMar>
            <w:tcBorders>
              <w:top w:val="single" w:sz="4" w:space="0" w:color="D3D3D3"/>
              <w:left w:val="single" w:sz="4" w:space="0" w:color="D3D3D3"/>
              <w:bottom w:val="single" w:sz="4" w:space="0" w:color="D3D3D3"/>
              <w:right w:val="single" w:sz="4" w:space="0" w:color="D3D3D3"/>
            </w:tcBorders>
            <w:shd w:fill="F2F5F8"/>
          </w:tcPr>
          <w:p>
            <w:pPr>
              <w:spacing w:after="40"/>
            </w:pPr>
            <w:r>
              <w:rPr>
                <w:b/>
              </w:rPr>
              <w:t>Confirm ownership of the primary research ideas, methodology, and empirical analysis.</w:t>
            </w:r>
          </w:p>
        </w:tc>
        <w:tc>
          <w:tcPr>
            <w:tcW w:type="dxa" w:w="5760"/>
            <w:tcMar>
              <w:top w:w="80" w:type="dxa"/>
              <w:bottom w:w="80" w:type="dxa"/>
              <w:left w:w="100" w:type="dxa"/>
              <w:right w:w="100" w:type="dxa"/>
            </w:tcMar>
            <w:tcBorders>
              <w:top w:val="single" w:sz="4" w:space="0" w:color="D3D3D3"/>
              <w:left w:val="single" w:sz="4" w:space="0" w:color="D3D3D3"/>
              <w:bottom w:val="single" w:sz="4" w:space="0" w:color="D3D3D3"/>
              <w:right w:val="single" w:sz="4" w:space="0" w:color="D3D3D3"/>
            </w:tcBorders>
            <w:shd w:fill="F2F5F8"/>
          </w:tcPr>
          <w:p>
            <w:pPr>
              <w:spacing w:after="40"/>
            </w:pPr>
            <w:r>
              <w:t>The candidate confirms that the core research concepts, the integration of the Technology-Organisation-Environment (TOE) framework, the formulation of research questions and objectives, the systematic database search parameters, the selection of inclusion/exclusion criteria, and the references are the original intellectual work of the candidate.</w:t>
            </w:r>
          </w:p>
        </w:tc>
      </w:tr>
    </w:tbl>
    <w:p/>
    <w:p>
      <w:r>
        <w:t>Candidate Signature: _______________________          Date: 05 September 2026</w:t>
        <w:br/>
        <w:br/>
      </w:r>
      <w:r>
        <w:t>Supervisor Signature: _______________________          Date: 05 September 2026</w:t>
      </w:r>
    </w:p>
    <w:p>
      <w:r>
        <w:br w:type="page"/>
      </w:r>
    </w:p>
    <w:p>
      <w:pPr>
        <w:jc w:val="center"/>
      </w:pPr>
      <w:r>
        <w:rPr>
          <w:rFonts w:ascii="Calibri" w:hAnsi="Calibri"/>
          <w:b/>
          <w:color w:val="002060"/>
          <w:sz w:val="28"/>
        </w:rPr>
        <w:t>TABLE OF CONTENTS</w:t>
      </w:r>
    </w:p>
    <w:p/>
    <w:p>
      <w:r>
        <w:fldChar w:fldCharType="begin"/>
        <w:instrText xml:space="preserve">TOC \o "1-3" \h \z \u</w:instrText>
        <w:fldChar w:fldCharType="end"/>
      </w:r>
    </w:p>
    <w:p>
      <w:pPr>
        <w:jc w:val="center"/>
      </w:pPr>
      <w:r>
        <w:rPr>
          <w:i/>
          <w:color w:val="7F7F7F"/>
          <w:sz w:val="18"/>
        </w:rPr>
        <w:t>[Note: The Table of Contents is formatted as an active field code. Right-click here and select 'Update Field' upon opening in Microsoft Word to generate the page numbers.]</w:t>
      </w:r>
    </w:p>
    <w:p>
      <w:r>
        <w:br w:type="page"/>
      </w:r>
    </w:p>
    <w:p>
      <w:pPr>
        <w:pStyle w:val="Heading1"/>
      </w:pPr>
      <w:r>
        <w:t>1. INTRODUCTION</w:t>
      </w:r>
    </w:p>
    <w:p>
      <w:r>
        <w:t>In recent years, technology has transformed the approaches and directions in which many businesses operate in this era of technological advancement. The widespread move towards cloud computing represents one of the most significant developments in this transformation. Cloud computing offers organisations the affordability to run software applications, manage business systems, and store and retrieve information enabled by internet connectivity, without the need to invest in expensive physical infrastructure (Jayeola et al., 2022:228; Mokwena &amp; Sithole, 2024:12; Mkhize et al., 2025:5). According to the National Institute of Standards and Technology (NIST), cloud computing is defined as a model for enabling ubiquitous, convenient, on-demand network access to a shared pool of configurable computing resources (e.g., networks, servers, storage, applications, and services) that can be rapidly provisioned and released with minimal management effort or service provider interaction (Mokwena &amp; Sithole, 2024:12; Mell &amp; Grance, 2011:SP 800-145). This model represents a fundamental departure from on-premises computing, shifting IT investment from capital expenditure (CapEx) to operational expenditure (OpEx), which is highly appealing for businesses operating with tight capital constraints (Jayeola et al., 2022:230; McKinsey &amp; Company, 2024:2).</w:t>
      </w:r>
    </w:p>
    <w:p>
      <w:r>
        <w:t>Small and Medium Enterprises (SMEs) serve as the backbone of the South African economy. Both formal and informal South African SMEs account for more than 90 percent of all businesses, employing approximately 60 percent of the national workforce and contributing around 40 percent of the Gross Domestic Product (Ngo Ndjama &amp; Van der Westhuizen, 2024:606; DSBD, 2023:12). The National Development Plan (NDP 2030) further projects that SMEs should create 90 percent of the eleven million jobs the government seeks to achieve by 2030 (South Africa. Department of Small Business Development [DSBD], 2023:12). Given their pivotal economic role, the need for SMEs to operate more effectively and competitively has never been more urgent. The adoption of cloud computing can provide SMEs with a platform for scalability, enabling them to access enterprise-grade tools, reduce operational overhead, improve business agility, and respond to rapid market changes without the typical constraints of traditional, static IT infrastructure (Ilahi et al., 2024:57; Mkhize et al., 2025:6).</w:t>
      </w:r>
    </w:p>
    <w:p>
      <w:r>
        <w:t>Despite the well-documented potential of cloud computing to reduce costs and improve operational efficiency, South African SMEs continue to adopt cloud-based services at a pace that is far below their potential (Mkhize et al., 2025:8). Research conducted across the African continent consistently reveals that SMEs face a complex, interlocking combination of technological, organisational, and environmental barriers that hinder their digital transformation (Jayeola et al., 2022:232; IJSRA, 2024:1445). These barriers are highly context-sensitive and unequal: an SME located in an urban hub like Johannesburg may struggle primarily with high data costs and complex Protection of Personal Information Act (POPIA) data privacy compliance, while an enterprise in a rural province like Limpopo must additionally contend with persistent utility infrastructure failures, such as load shedding, and a severe localized digital skills deficit (Mokwena &amp; Sithole, 2024:14).</w:t>
      </w:r>
    </w:p>
    <w:p>
      <w:r>
        <w:t>Understanding why cloud adoption remains critically low requires a robust, structured theoretical lens that spans more than just technical features. This study employs the Technology-Organisation-Environment (TOE) framework, originally developed by Tornatzky and Fleischer (1990) and widely validated in information systems research, as its primary analytical tool to identify and categorise the factors influencing cloud computing adoption decisions among South African SMEs (Adane, 2021:4; Santos et al., 2023:Article 2220190). The TOE framework organizes adoption influences into three interacting contexts: technological, organisational, and environmental (Tornatzky &amp; Fleischer, 1990:152). This makes it exceptionally well-suited to evaluating the multi-dimensional socio-technical barriers facing SMEs in developing economies, where infrastructural gaps and shifting regulatory mandates directly impact business viability (Abu Bakar et al., 2024:556; Ilahi et al., 2024:58). Ultimately, this study seeks to propose a contextualised cloud adoption framework that can guide South African SMEs towards sustainable, compliant, and cost-effective digital transitions.</w:t>
      </w:r>
    </w:p>
    <w:p>
      <w:pPr>
        <w:pStyle w:val="Heading1"/>
      </w:pPr>
      <w:r>
        <w:t>2. BACKGROUND, AIM, AND OBJECTIVES</w:t>
      </w:r>
    </w:p>
    <w:p>
      <w:pPr>
        <w:pStyle w:val="Heading2"/>
      </w:pPr>
      <w:r>
        <w:t>2.1 Background to the Research Problem</w:t>
      </w:r>
    </w:p>
    <w:p>
      <w:r>
        <w:t>South Africa possesses one of the most advanced ICT infrastructures on the African continent, yet a severe digital divide persists between how large, resource-rich corporations leverage technology and how small businesses operate. While major enterprises have the financial and human capital to adopt complex cloud computing architectures in full, the vast majority of local SMEs still function with basic on-premises digital tools, limited internet connectivity, and a lack of baseline knowledge regarding cloud capabilities (IJSRA, 2024:1446). This digital exclusion reflects deep-seated, systemic inequalities in access to capital, technical skills, and reliable national infrastructure that have persisted across the post-apartheid era (FinMark Trust, 2024:3).</w:t>
      </w:r>
    </w:p>
    <w:p>
      <w:r>
        <w:t>SMEs are formally defined under the South African National Small Business Act (Act 102 of 1996, as amended) as separately owned and managed entities that fall within specific thresholds based on full-time employee count and annual turnover (DSBD, 2023:14). In most South African sectors, a micro-enterprise employs fewer than five employees, a small enterprise between six and fifty, and a medium enterprise between fifty-one and two hundred employees (DSBD, 2023:14). Despite being the primary engine of employment, accounting for 55% of the total workforce, these businesses experience an exceptionally high failure rate, with a 15.9% year-on-year decrease in job provision recorded during economic downturns (Sithole &amp; Ruhode, 2021:283; SEDA, 2018:4). This high failure rate is heavily compounded by an inability to modernize business operations due to resource constraints and information technology deficiencies (Mokwena &amp; Sithole, 2024:18; Fatoki, 2014:922).</w:t>
      </w:r>
    </w:p>
    <w:p>
      <w:r>
        <w:t>Furthermore, migrating to the cloud introduces distinct regulatory and infrastructural challenges that distinguish South Africa from global contexts. The Protection of Personal Information Act (POPIA), which came into full regulatory enforcement in July 2021, enforces strict mandates on the cross-border transfer of personal data (Mokwena &amp; Sithole, 2024:16; Mohlameane &amp; Ruxwana, 2020:4). Because many global cloud hyperscalers store data in international data centres, South African SMEs face severe compliance anxieties. Lacking in-house legal expertise or specialized IT staff, these businesses frequently choose to avoid cloud migration entirely to prevent potential regulatory penalties (Mokwena &amp; Sithole, 2024:22). Compounding this is the national energy crisis, where persistent load shedding disrupts local internet routers and cellular towers, making cloud-hosted systems temporarily inaccessible and exposing SMEs to operational vulnerabilities that are treated as non-existent in global literature (Adane, 2021:6; Mokwena &amp; Sithole, 2024:28).</w:t>
      </w:r>
    </w:p>
    <w:p>
      <w:pPr>
        <w:pStyle w:val="Heading2"/>
      </w:pPr>
      <w:r>
        <w:t>2.2 Research Problem</w:t>
      </w:r>
    </w:p>
    <w:p>
      <w:r>
        <w:t>South African SMEs are currently facing a critical lag in digital transformation, as their cloud computing adoption rates remain disproportionately low compared to the global average. This digital stagnation prevents small businesses from operating competitively, directly leading to high rates of business failure and undermining national employment and economic targets. Empirical research shows that typical South African SMEs remain heavily reliant on obsolete on-premises IT methods due to severe constraints, such as limited technical literacy, initial capital barriers, data security anxieties, regulatory compliance hurdles, and persistent utility failures (Mokwena &amp; Sithole, 2024:18; Mkhize et al., 2025:14). If these multi-dimensional technological, organisational, and environmental barriers are not systematically addressed through an integrated theoretical framework, South African SMEs will remain digitally excluded, fail to survive under intense competitive pressure from larger enterprises, and be unable to support the National Development Plan (NDP) target of generating 90% of new employment by 2030 (DSBD, 2023:15; Tornatzky &amp; Fleischer, 1990:152).</w:t>
      </w:r>
    </w:p>
    <w:p>
      <w:r>
        <w:rPr>
          <w:b/>
          <w:i/>
        </w:rPr>
        <w:t>Research Problem Statement: South African small and medium enterprises are not adopting cloud computing configurations at a rate commensurate with its potential to improve their operations, and the combined technological, organisational, and environmental factors inhibiting this transition have not been comprehensively examined through an integrated, locally-relevant theoretical framework.</w:t>
      </w:r>
    </w:p>
    <w:p>
      <w:pPr>
        <w:pStyle w:val="Heading2"/>
      </w:pPr>
      <w:r>
        <w:t>2.3 Aim of the Study</w:t>
      </w:r>
    </w:p>
    <w:p>
      <w:r>
        <w:t>The primary aim of this study is to investigate the technological, organisational, and environmental factors that influence cloud computing adoption decisions among small and medium enterprises in South Africa, utilizing the TOE framework as an analytical lens, with a view to proposing a contextualised adoption framework that can systematically guide local business owners, policymakers, and cloud vendors in accelerating secure, compliant, and cost-effective cloud transitions.</w:t>
      </w:r>
    </w:p>
    <w:p>
      <w:pPr>
        <w:pStyle w:val="Heading2"/>
      </w:pPr>
      <w:r>
        <w:t>2.4 Objectives of the Study</w:t>
      </w:r>
    </w:p>
    <w:p>
      <w:r>
        <w:t>To achieve the overarching research aim, the study is guided by the following three objectives:</w:t>
      </w:r>
    </w:p>
    <w:p>
      <w:pPr>
        <w:pStyle w:val="ListBullet"/>
      </w:pPr>
      <w:r>
        <w:t>To identify and evaluate the specific technological factors (relative advantage, compatibility, complexity, data security, and POPIA data privacy) that hinder or enable cloud computing adoption among South African SMEs.</w:t>
      </w:r>
    </w:p>
    <w:p>
      <w:pPr>
        <w:pStyle w:val="ListBullet"/>
      </w:pPr>
      <w:r>
        <w:t>To examine the critical organisational factors (financial resource readiness, digital literacy, and executive expertise) and environmental influences (competitive pressure, vendor support, and utility infrastructure failures) that shape SME adoption decisions in South Africa.</w:t>
      </w:r>
    </w:p>
    <w:p>
      <w:pPr>
        <w:pStyle w:val="ListBullet"/>
      </w:pPr>
      <w:r>
        <w:t>To develop and propose a contextualised cloud adoption framework, grounded in the TOE theoretical model, that provides South African SMEs with a structured, step-by-step roadmap to make informed, secure, and legally compliant technology transitions.</w:t>
      </w:r>
    </w:p>
    <w:p>
      <w:pPr>
        <w:pStyle w:val="Heading2"/>
      </w:pPr>
      <w:r>
        <w:t>2.5 Main Research Question</w:t>
      </w:r>
    </w:p>
    <w:p>
      <w:r>
        <w:rPr>
          <w:i/>
        </w:rPr>
        <w:t>What are the key technological, organisational, and environmental factors that influence cloud computing adoption decisions among small and medium enterprises in South Africa, and how can these factors be systematically addressed through a contextualised socio-technical adoption framework?</w:t>
      </w:r>
    </w:p>
    <w:p>
      <w:pPr>
        <w:pStyle w:val="Heading2"/>
      </w:pPr>
      <w:r>
        <w:t>2.6 Sub-Questions</w:t>
      </w:r>
    </w:p>
    <w:p>
      <w:r>
        <w:t>To operationalize the main research question, the study investigates the following four sub-questions:</w:t>
      </w:r>
    </w:p>
    <w:p>
      <w:pPr>
        <w:pStyle w:val="ListBullet"/>
      </w:pPr>
      <w:r>
        <w:t>What specific technological factors hinder or enable the adoption of cloud computing services by South African SMEs?</w:t>
      </w:r>
    </w:p>
    <w:p>
      <w:pPr>
        <w:pStyle w:val="ListBullet"/>
      </w:pPr>
      <w:r>
        <w:t>How do internal organisational characteristics, such as financial resource readiness, executive support, and digital literacy, shape cloud adoption decisions within South African SMEs?</w:t>
      </w:r>
    </w:p>
    <w:p>
      <w:pPr>
        <w:pStyle w:val="ListBullet"/>
      </w:pPr>
      <w:r>
        <w:t>In what ways do external environmental conditions, including competitive pressures, POPIA regulations, and utility infrastructure failures (such as load shedding), impact cloud adoption decisions in South Africa?</w:t>
      </w:r>
    </w:p>
    <w:p>
      <w:pPr>
        <w:pStyle w:val="ListBullet"/>
      </w:pPr>
      <w:r>
        <w:t>How can an evidence-based, contextualised adoption framework be structured to systematically guide South African SMEs through the technological, organisational, and environmental complexities of cloud migration?</w:t>
      </w:r>
    </w:p>
    <w:p>
      <w:r>
        <w:br w:type="page"/>
      </w:r>
    </w:p>
    <w:p>
      <w:pPr>
        <w:pStyle w:val="Heading1"/>
      </w:pPr>
      <w:r>
        <w:t>3. LITERATURE REVIEW</w:t>
      </w:r>
    </w:p>
    <w:p>
      <w:pPr>
        <w:pStyle w:val="Heading2"/>
      </w:pPr>
      <w:r>
        <w:t>3.1 Introduction</w:t>
      </w:r>
    </w:p>
    <w:p>
      <w:r>
        <w:t>This literature review critically evaluates the body of academic knowledge concerning the adoption of cloud computing configurations by small and medium enterprises, with a specific focus on the unique regulatory, socio-technical, and economic conditions of South Africa. Rather than merely describing individual studies in a descriptive manner, this review adopts a critical synthesis approach, mapping patterns, contradictions, and empirical gaps across national and global literature. The synthesis is structured around the three-dimensional Technology-Organisation-Environment (TOE) framework proposed by Tornatzky and Fleischer (1990:152), which provides a robust and validated lens for assessing innovation adoption in resource-constrained organisational settings (Abu Bakar et al., 2024:556; Santos et al., 2023:Article 2220190).</w:t>
      </w:r>
    </w:p>
    <w:p>
      <w:pPr>
        <w:pStyle w:val="Heading2"/>
      </w:pPr>
      <w:r>
        <w:t>3.2 Extensive Technical Review of Cloud Computing Configurations</w:t>
      </w:r>
    </w:p>
    <w:p>
      <w:r>
        <w:t>To evaluate cloud adoption decisions, it is technically necessary to define and dissect the computing configurations available on the modern market. According to the National Institute of Standards and Technology (NIST), cloud computing consists of five essential characteristics: on-demand self-service, broad network access, resource pooling, rapid elasticity, and measured service (Mokwena &amp; Sithole, 2024:12; Mell &amp; Grance, 2011:SP 800-145). These characteristics collectively distinguish cloud models from traditional computing. Under an on-demand model, a business can provision computing capabilities automatically without human intervention from the service provider, while broad network access ensures capabilities are available over the network and accessed through standard platforms (such as mobile phones, laptops, and tablets) (Mokwena &amp; Sithole, 2024:12; Mokwena &amp; Fatoki, 2024:4627).</w:t>
      </w:r>
    </w:p>
    <w:p>
      <w:r>
        <w:t>Cloud capabilities are structured and delivered through three primary service models, each representing different levels of administrative control and client responsibility (Ahmad et al., 2025:1; Greiner, 2014:2). These are Software-as-a-Service (SaaS), Platform-as-a-Service (PaaS), and Infrastructure-as-a-Service (IaaS). Under the **Software-as-a-Service (SaaS)** model, the customer is provided access to the provider’s applications running on a cloud infrastructure, which are accessible through a thin client interface such as a web browser (e.g., Gmail, Google Maps, Dropbox, and cloud-based Point-of-Sale systems) (Mokwena &amp; Fatoki, 2024:4627; Mokwena &amp; Sithole, 2024:284). Under SaaS, the SME does not manage or control the underlying cloud infrastructure, including servers, operating systems, storage, or individual application capabilities, making it the most affordable, user-friendly, and popular choice for resource-constrained small businesses with limited IT skills (Ongowarsito et al., 2022:24; Li &amp; Kumar, 2022:2588).</w:t>
      </w:r>
    </w:p>
    <w:p>
      <w:r>
        <w:t>Conversely, **Platform-as-a-Service (PaaS)** provides the client with a structured environment to deploy onto the cloud infrastructure consumer-created or acquired applications built using programming languages, libraries, services, and tools supported by the provider (e.g., Google App Engine, Microsoft Azure DevOps, AWS Elastic Beanstalk) (Mokwena &amp; Fatoki, 2024:4627; Wen et al., 2024:2240). The client gains control over the deployed applications and possibly configuration settings for the application-hosting environment, while the underlying infrastructure is entirely managed by the cloud service provider (CSP). This model is highly valuable for SMEs engaged in custom software development, enabling rapid testing and deployment without hardware management overhead (Bharany et al., 2022:5013). Finally, **Infrastructure-as-a-Service (IaaS)** delivers fundamental computing resources, including physical or virtual machines, raw storage, firewalls, and networks, on an on-demand, pay-as-you-go basis (e.g., Amazon Web Services [AWS] EC2, Microsoft Azure Virtual Machines) (Homan &amp; Beránek, 2023:296; Saraswat &amp; Tripathi, 2020:300). While IaaS offers the highest level of administrative control and flexibility, it places the sole responsibility for operating systems, middleware, database engines, and applications upon the SME, demanding advanced internal IT expertise that typical small businesses completely lack (Kondo et al., 2022:253; Mkhize et al., 2025:14).</w:t>
      </w:r>
    </w:p>
    <w:p>
      <w:r>
        <w:t>Cloud configurations are further defined by four distinct deployment models: public, private, community, and hybrid (Mokwena &amp; Fatoki, 2024:4627). **Public clouds** are owned and operated by third-party CSPs and shared across multiple organisations, representing the most cost-effective and scalable configuration but offering minimal control over data residency. **Private clouds** are provisioned for exclusive use by a single organisation, providing robust security and control but requiring massive capital investment that violates the budget constraints of most SMEs. **Community clouds** are shared among organisations with common concerns (such as industry-specific compliance standards). **Hybrid clouds** represent a composition of two or more distinct cloud infrastructures (public, private, or on-premises) that remain bound together by standardized or proprietary technology that enables data and application portability (Mokwena &amp; Fatoki, 2024:4627). Hybrid models are increasingly recognized as the most pragmatic configuration for South African SMEs, enabling them to leverage the cost-efficiency of public clouds for non-sensitive data while keeping sensitive customer data secure and legally compliant on private or on-premises servers (McKinsey &amp; Company, 2024:2; Neves et al., 2011:5).</w:t>
      </w:r>
    </w:p>
    <w:p>
      <w:pPr>
        <w:pStyle w:val="Heading2"/>
      </w:pPr>
      <w:r>
        <w:t>3.3 The Technology-Organisation-Environment (TOE) Framework</w:t>
      </w:r>
    </w:p>
    <w:p>
      <w:r>
        <w:t>First conceptualized by Tornatzky and Fleischer (1990:152), the TOE framework serves as the primary theoretical model for this study. The model proposes that the adoption and implementation of any technological innovation is shaped by three distinct, interacting contexts within an enterprise: technological, organisational, and environmental contexts (Tornatzky &amp; Fleischer, 1990:152). Unlike simpler, user-centric adoption models like the Technology Acceptance Model (TAM), which evaluate individual perceptions of usefulness and ease of use (Davis, 1989:319), the TOE framework operates at the firm level, enabling a holistic analysis that integrates technical capabilities with organisational constraints and external institutional forces (Jayeola et al., 2022:235; Santos et al., 2023:Article 2220190). Consequently, the TOE framework is highly appropriate for examining cloud adoption barriers in developing economies, where utility instability and complex regulatory mandates (such as POPIA) represent critical factors that cannot be analyzed through purely technical lenses (Abu Bakar et al., 2024:556; Mokwena &amp; Sithole, 2024:30).</w:t>
      </w:r>
    </w:p>
    <w:p>
      <w:pPr>
        <w:pStyle w:val="Heading2"/>
      </w:pPr>
      <w:r>
        <w:t>3.4 Technological Factors Influencing Cloud Adoption</w:t>
      </w:r>
    </w:p>
    <w:p>
      <w:r>
        <w:t>Within the technological context, **relative advantage** represents the primary driver of cloud adoption, defined as the degree to which an innovation is perceived as superior to existing traditional infrastructure (Tornatzky &amp; Fleischer, 1990:152). Global empirical studies consistently demonstrate that when SME managers recognize that cloud configurations lower IT costs, improve operational efficiency, and enhance team collaboration, their adoption intention rises significantly (Ilahi et al., 2024:57; Santos et al., 2023:Article 2220190). However, a sharp contradiction emerges in the South African literature. An empirical study of 230 SMEs in the Polokwane Municipality found that local business owners frequently do not perceive any relative advantage in cloud migration, viewing it as an unnecessary, complex expense (Mokwena &amp; Sithole, 2024:20). This conflict indicates that relative advantage is not an inherent feature of cloud technology but depends heavily on prior digital literacy and IT awareness among SME executives (Mokwena &amp; Fatoki, 2024:261).</w:t>
      </w:r>
    </w:p>
    <w:p>
      <w:r>
        <w:t>Furthermore, **compatibility** and **complexity** serve as major technological determinants. Compatibility assesses how seamlessly cloud solutions integrate with an enterprise’s existing business workflows, culture, and legacy systems (Yaseen et al., 2023:320). If an SME relies on highly customized, on-premises legacy databases that cannot connect to modern cloud environments, the resultant incompatibility leads to severe cost inflation and project failure (Mkhize et al., 2025:12). Complexity, representing the perceived difficulty of configuring and managing cloud services, acts as a primary barrier (Yaseen et al., 2023:320). While simple SaaS products present low complexity, configuring IaaS and PaaS environments demands advanced IT capabilities. Lacking internal IT personnel, South African SMEs frequently reject cloud adoption due to fear of technical complexity (Mokwena &amp; Fatoki, 2024:261; Mkhize et al., 2025:14). Data security and **POPIA compliance** represent the final, critical technological barrier in South Africa. Unlike developed economies where security is treated as a manageable technical factor, South African SME owners view data security as an absolute barrier due to deep mistrust of remote, third-party storage (Jayeola et al., 2022:228). This is heavily exacerbated by POPIA (Act 4 of 2013), which came into full enforcement in July 2021 and mandates strict penalties for non-compliant cross-border transfers of personal data (Mokwena &amp; Sithole, 2024:16; Mohlameane &amp; Ruxwana, 2020:4). Because global cloud vendors use international data centers, local SMEs without specialized legal counsel choose to remain on obsolete on-premises systems to avoid regulatory violations (Mokwena &amp; Sithole, 2024:22).</w:t>
      </w:r>
    </w:p>
    <w:p>
      <w:pPr>
        <w:pStyle w:val="Heading2"/>
      </w:pPr>
      <w:r>
        <w:t>3.5 Organisational Factors Influencing Cloud Adoption</w:t>
      </w:r>
    </w:p>
    <w:p>
      <w:r>
        <w:t>Within the organisational context, **top management support** represents the most critical determinant of adoption success (Tornatzky &amp; Fleischer, 1990:152). In small enterprises characterized by highly centralized, flat managerial structures, the personal attitude and digital literacy of the business owner dictate the adoption trajectory (Abu Bakar et al., 2024:556). If the owner actively supports digital transformation, they can successfully allocate necessary resources and overcome internal resistance to change. However, if leadership is risk-averse, lacks basic IT awareness, or views cloud services merely as a financial expenditure, the enterprise remains locked in obsolete operational models (Abu Bakar et al., 2024:556; Mokwena &amp; Fatoki, 2024:261). Crucially, **financial resource readiness** acts as a primary filter. While CSPs market the cloud as a cost-saving tool, the initial migration costs—including internet bandwidth upgrades, data migration consultant fees, dual-system subscription costs, and staff training—represent an insurmountable barrier for resource-constrained South African SMEs (McKinsey &amp; Company, 2024:4; Jayeola et al., 2022:232).</w:t>
      </w:r>
    </w:p>
    <w:p>
      <w:r>
        <w:t>The foremost organisational barrier in South Africa is the acute **digital skills shortage** and absence of dedicated IT personnel (Mkhize et al., 2025:14; Reviewing the Impact, 2024:1445). Large enterprises maintain internal IT departments to manage complex systems, but typical South African SMEs are managed by self-taught owners who completely lack formal technical training (Mkhize et al., 2025:14). Lacking internal technical expertise, these businesses are unable to evaluate SLA contracts, manage data migration pipelines, or troubleshoot connectivity issues, thereby escalating their reliance on expensive external consultants and severely inflating the total cost of ownership (Mokwena &amp; Fatoki, 2024:280; Mkhize et al., 2025:14).</w:t>
      </w:r>
    </w:p>
    <w:p>
      <w:pPr>
        <w:pStyle w:val="Heading2"/>
      </w:pPr>
      <w:r>
        <w:t>3.6 Environmental Factors Influencing Cloud Adoption</w:t>
      </w:r>
    </w:p>
    <w:p>
      <w:r>
        <w:t>Within the environmental context, **competitive pressure** from digitally-enabled rivals serves as a major external catalyst, pushing SMEs to adopt cloud services to maintain market share and improve customer engagement (Jayeola et al., 2022:233; Abu Bakar et al., 2024:556). However, the intensity of this pressure is highly unequal: while urban SMEs face intense, immediate pressure from tech-dense competitors and digital platforms, rural enterprises operate in less competitive localized markets, reducing their perceived urgency to adopt cloud solutions (Sithole &amp; Ruhode, 2021:296). Furthermore, **government and vendor support** represents a major institutional deficit in South Africa. While the DSBD has drafted policies aimed at accelerating SMME digitisation, ground-level implementation and affordable technical training remain highly limited (DSBD, 2023:15). Local technology vendors also focus their support on large, high-revenue corporate clients, leaving small businesses with minimal guidance to navigate complex integration issues (Jayeola et al., 2022:237; Mokwena &amp; Sithole, 2024:25).</w:t>
      </w:r>
    </w:p>
    <w:p>
      <w:r>
        <w:t>Crucially, **utility infrastructure constraints**—specifically persistent electricity supply disruptions (load shedding) and cellular connectivity gaps—expose a fundamental difference between South African and global research (Adane, 2021:6; Mokwena &amp; Sithole, 2024:28). Global TOE-based studies typically assume stable electricity and mature broadband networks as a given. In South Africa, however, load shedding frequently deactivates cellular base stations and local business routers, rendering cloud-hosted applications completely inaccessible (Adane, 2021:6). This critical vulnerability forces South African SMEs to maintain expensive hybrid or fully on-premises backups, thereby completely neutralising the financial advantages of cloud configurations (Mokwena &amp; Sithole, 2024:28; Adane, 2021:6).</w:t>
      </w:r>
    </w:p>
    <w:p>
      <w:pPr>
        <w:pStyle w:val="Heading2"/>
      </w:pPr>
      <w:r>
        <w:t>3.7 Critical Synthesis of Literature</w:t>
      </w:r>
    </w:p>
    <w:p>
      <w:r>
        <w:t>To systematically map the landscape of empirical research and identify theoretical points of convergence and divergence, Table 1 presents a comparative summary of key TOE-based cloud adoption studies.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28"/>
            <w:shd w:fill="002060"/>
            <w:tcMar>
              <w:top w:w="100" w:type="dxa"/>
              <w:bottom w:w="100" w:type="dxa"/>
              <w:left w:w="100" w:type="dxa"/>
              <w:right w:w="100" w:type="dxa"/>
            </w:tcMar>
          </w:tcPr>
          <w:p>
            <w:r>
              <w:rPr>
                <w:b/>
                <w:color w:val="FFFFFF"/>
              </w:rPr>
              <w:t>Author(s) &amp; Year</w:t>
            </w:r>
          </w:p>
        </w:tc>
        <w:tc>
          <w:tcPr>
            <w:tcW w:type="dxa" w:w="1440"/>
            <w:shd w:fill="002060"/>
            <w:tcMar>
              <w:top w:w="100" w:type="dxa"/>
              <w:bottom w:w="100" w:type="dxa"/>
              <w:left w:w="100" w:type="dxa"/>
              <w:right w:w="100" w:type="dxa"/>
            </w:tcMar>
          </w:tcPr>
          <w:p>
            <w:r>
              <w:rPr>
                <w:b/>
                <w:color w:val="FFFFFF"/>
              </w:rPr>
              <w:t>Country / Scope</w:t>
            </w:r>
          </w:p>
        </w:tc>
        <w:tc>
          <w:tcPr>
            <w:tcW w:type="dxa" w:w="1584"/>
            <w:shd w:fill="002060"/>
            <w:tcMar>
              <w:top w:w="100" w:type="dxa"/>
              <w:bottom w:w="100" w:type="dxa"/>
              <w:left w:w="100" w:type="dxa"/>
              <w:right w:w="100" w:type="dxa"/>
            </w:tcMar>
          </w:tcPr>
          <w:p>
            <w:r>
              <w:rPr>
                <w:b/>
                <w:color w:val="FFFFFF"/>
              </w:rPr>
              <w:t>Methodology</w:t>
            </w:r>
          </w:p>
        </w:tc>
        <w:tc>
          <w:tcPr>
            <w:tcW w:type="dxa" w:w="3168"/>
            <w:shd w:fill="002060"/>
            <w:tcMar>
              <w:top w:w="100" w:type="dxa"/>
              <w:bottom w:w="100" w:type="dxa"/>
              <w:left w:w="100" w:type="dxa"/>
              <w:right w:w="100" w:type="dxa"/>
            </w:tcMar>
          </w:tcPr>
          <w:p>
            <w:r>
              <w:rPr>
                <w:b/>
                <w:color w:val="FFFFFF"/>
              </w:rPr>
              <w:t>Main Empirical Findings</w:t>
            </w:r>
          </w:p>
        </w:tc>
        <w:tc>
          <w:tcPr>
            <w:tcW w:type="dxa" w:w="1728"/>
            <w:shd w:fill="002060"/>
            <w:tcMar>
              <w:top w:w="100" w:type="dxa"/>
              <w:bottom w:w="100" w:type="dxa"/>
              <w:left w:w="100" w:type="dxa"/>
              <w:right w:w="100" w:type="dxa"/>
            </w:tcMar>
          </w:tcPr>
          <w:p>
            <w:r>
              <w:rPr>
                <w:b/>
                <w:color w:val="FFFFFF"/>
              </w:rPr>
              <w:t>TOE Dimension(s) Covered</w:t>
            </w:r>
          </w:p>
        </w:tc>
      </w:tr>
      <w:tr>
        <w:tc>
          <w:tcPr>
            <w:tcW w:type="dxa" w:w="1728"/>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shd w:fill="F2F5F8"/>
          </w:tcPr>
          <w:p>
            <w:pPr>
              <w:spacing w:after="40"/>
            </w:pPr>
            <w:r>
              <w:t>Santos et al. (2023:Article 2220190)</w:t>
            </w:r>
          </w:p>
        </w:tc>
        <w:tc>
          <w:tcPr>
            <w:tcW w:type="dxa" w:w="1440"/>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shd w:fill="F2F5F8"/>
          </w:tcPr>
          <w:p>
            <w:pPr>
              <w:spacing w:after="40"/>
            </w:pPr>
            <w:r>
              <w:t>Portugal</w:t>
            </w:r>
          </w:p>
        </w:tc>
        <w:tc>
          <w:tcPr>
            <w:tcW w:type="dxa" w:w="1584"/>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shd w:fill="F2F5F8"/>
          </w:tcPr>
          <w:p>
            <w:pPr>
              <w:spacing w:after="40"/>
            </w:pPr>
            <w:r>
              <w:t>Quantitative Survey</w:t>
            </w:r>
          </w:p>
        </w:tc>
        <w:tc>
          <w:tcPr>
            <w:tcW w:type="dxa" w:w="3168"/>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shd w:fill="F2F5F8"/>
          </w:tcPr>
          <w:p>
            <w:pPr>
              <w:spacing w:after="40"/>
            </w:pPr>
            <w:r>
              <w:t>Perceived relative advantage and technological compatibility are the strongest predictors of cloud adoption, which directly enhances MSME operational performance.</w:t>
            </w:r>
          </w:p>
        </w:tc>
        <w:tc>
          <w:tcPr>
            <w:tcW w:type="dxa" w:w="1728"/>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shd w:fill="F2F5F8"/>
          </w:tcPr>
          <w:p>
            <w:pPr>
              <w:spacing w:after="40"/>
            </w:pPr>
            <w:r>
              <w:t>Technological, Organisational</w:t>
            </w:r>
          </w:p>
        </w:tc>
      </w:tr>
      <w:tr>
        <w:tc>
          <w:tcPr>
            <w:tcW w:type="dxa" w:w="1728"/>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tcPr>
          <w:p>
            <w:pPr>
              <w:spacing w:after="40"/>
            </w:pPr>
            <w:r>
              <w:t>Abu Bakar et al. (2024:556)</w:t>
            </w:r>
          </w:p>
        </w:tc>
        <w:tc>
          <w:tcPr>
            <w:tcW w:type="dxa" w:w="1440"/>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tcPr>
          <w:p>
            <w:pPr>
              <w:spacing w:after="40"/>
            </w:pPr>
            <w:r>
              <w:t>Malaysia</w:t>
            </w:r>
          </w:p>
        </w:tc>
        <w:tc>
          <w:tcPr>
            <w:tcW w:type="dxa" w:w="1584"/>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tcPr>
          <w:p>
            <w:pPr>
              <w:spacing w:after="40"/>
            </w:pPr>
            <w:r>
              <w:t>Quantitative Survey</w:t>
            </w:r>
          </w:p>
        </w:tc>
        <w:tc>
          <w:tcPr>
            <w:tcW w:type="dxa" w:w="3168"/>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tcPr>
          <w:p>
            <w:pPr>
              <w:spacing w:after="40"/>
            </w:pPr>
            <w:r>
              <w:t>Competitive pressure and active top management support represent the most influential drivers of cloud computing adoption intent among service-sector SMEs.</w:t>
            </w:r>
          </w:p>
        </w:tc>
        <w:tc>
          <w:tcPr>
            <w:tcW w:type="dxa" w:w="1728"/>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tcPr>
          <w:p>
            <w:pPr>
              <w:spacing w:after="40"/>
            </w:pPr>
            <w:r>
              <w:t>Organisational, Environmental</w:t>
            </w:r>
          </w:p>
        </w:tc>
      </w:tr>
      <w:tr>
        <w:tc>
          <w:tcPr>
            <w:tcW w:type="dxa" w:w="1728"/>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shd w:fill="F2F5F8"/>
          </w:tcPr>
          <w:p>
            <w:pPr>
              <w:spacing w:after="40"/>
            </w:pPr>
            <w:r>
              <w:t>Yaseen et al. (2023:320)</w:t>
            </w:r>
          </w:p>
        </w:tc>
        <w:tc>
          <w:tcPr>
            <w:tcW w:type="dxa" w:w="1440"/>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shd w:fill="F2F5F8"/>
          </w:tcPr>
          <w:p>
            <w:pPr>
              <w:spacing w:after="40"/>
            </w:pPr>
            <w:r>
              <w:t>Jordan</w:t>
            </w:r>
          </w:p>
        </w:tc>
        <w:tc>
          <w:tcPr>
            <w:tcW w:type="dxa" w:w="1584"/>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shd w:fill="F2F5F8"/>
          </w:tcPr>
          <w:p>
            <w:pPr>
              <w:spacing w:after="40"/>
            </w:pPr>
            <w:r>
              <w:t>Quantitative Survey</w:t>
            </w:r>
          </w:p>
        </w:tc>
        <w:tc>
          <w:tcPr>
            <w:tcW w:type="dxa" w:w="3168"/>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shd w:fill="F2F5F8"/>
          </w:tcPr>
          <w:p>
            <w:pPr>
              <w:spacing w:after="40"/>
            </w:pPr>
            <w:r>
              <w:t>Technological compatibility is the primary facilitator, whereas high architectural complexity acts as the dominant technological inhibitor to adoption.</w:t>
            </w:r>
          </w:p>
        </w:tc>
        <w:tc>
          <w:tcPr>
            <w:tcW w:type="dxa" w:w="1728"/>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shd w:fill="F2F5F8"/>
          </w:tcPr>
          <w:p>
            <w:pPr>
              <w:spacing w:after="40"/>
            </w:pPr>
            <w:r>
              <w:t>Technological</w:t>
            </w:r>
          </w:p>
        </w:tc>
      </w:tr>
      <w:tr>
        <w:tc>
          <w:tcPr>
            <w:tcW w:type="dxa" w:w="1728"/>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tcPr>
          <w:p>
            <w:pPr>
              <w:spacing w:after="40"/>
            </w:pPr>
            <w:r>
              <w:t>Mokwena &amp; Sithole (2024:18)</w:t>
            </w:r>
          </w:p>
        </w:tc>
        <w:tc>
          <w:tcPr>
            <w:tcW w:type="dxa" w:w="1440"/>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tcPr>
          <w:p>
            <w:pPr>
              <w:spacing w:after="40"/>
            </w:pPr>
            <w:r>
              <w:t>South Africa (Polokwane)</w:t>
            </w:r>
          </w:p>
        </w:tc>
        <w:tc>
          <w:tcPr>
            <w:tcW w:type="dxa" w:w="1584"/>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tcPr>
          <w:p>
            <w:pPr>
              <w:spacing w:after="40"/>
            </w:pPr>
            <w:r>
              <w:t>Quantitative Survey</w:t>
            </w:r>
          </w:p>
        </w:tc>
        <w:tc>
          <w:tcPr>
            <w:tcW w:type="dxa" w:w="3168"/>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tcPr>
          <w:p>
            <w:pPr>
              <w:spacing w:after="40"/>
            </w:pPr>
            <w:r>
              <w:t>High data costs, severe technical expertise shortages, and POPIA compliance anxieties act as severe barriers, resulting in low cloud adoption.</w:t>
            </w:r>
          </w:p>
        </w:tc>
        <w:tc>
          <w:tcPr>
            <w:tcW w:type="dxa" w:w="1728"/>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tcPr>
          <w:p>
            <w:pPr>
              <w:spacing w:after="40"/>
            </w:pPr>
            <w:r>
              <w:t>Technological, Environmental</w:t>
            </w:r>
          </w:p>
        </w:tc>
      </w:tr>
      <w:tr>
        <w:tc>
          <w:tcPr>
            <w:tcW w:type="dxa" w:w="1728"/>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shd w:fill="F2F5F8"/>
          </w:tcPr>
          <w:p>
            <w:pPr>
              <w:spacing w:after="40"/>
            </w:pPr>
            <w:r>
              <w:t>Mkhize et al. (2025:14)</w:t>
            </w:r>
          </w:p>
        </w:tc>
        <w:tc>
          <w:tcPr>
            <w:tcW w:type="dxa" w:w="1440"/>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shd w:fill="F2F5F8"/>
          </w:tcPr>
          <w:p>
            <w:pPr>
              <w:spacing w:after="40"/>
            </w:pPr>
            <w:r>
              <w:t>Sub-Saharan Africa</w:t>
            </w:r>
          </w:p>
        </w:tc>
        <w:tc>
          <w:tcPr>
            <w:tcW w:type="dxa" w:w="1584"/>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shd w:fill="F2F5F8"/>
          </w:tcPr>
          <w:p>
            <w:pPr>
              <w:spacing w:after="40"/>
            </w:pPr>
            <w:r>
              <w:t>Systematic Review</w:t>
            </w:r>
          </w:p>
        </w:tc>
        <w:tc>
          <w:tcPr>
            <w:tcW w:type="dxa" w:w="3168"/>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shd w:fill="F2F5F8"/>
          </w:tcPr>
          <w:p>
            <w:pPr>
              <w:spacing w:after="40"/>
            </w:pPr>
            <w:r>
              <w:t>Inadequate digital skills, a critical shortage of specialized IT personnel, and high mobile data costs represent the most significant barriers.</w:t>
            </w:r>
          </w:p>
        </w:tc>
        <w:tc>
          <w:tcPr>
            <w:tcW w:type="dxa" w:w="1728"/>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shd w:fill="F2F5F8"/>
          </w:tcPr>
          <w:p>
            <w:pPr>
              <w:spacing w:after="40"/>
            </w:pPr>
            <w:r>
              <w:t>Organisational</w:t>
            </w:r>
          </w:p>
        </w:tc>
      </w:tr>
    </w:tbl>
    <w:p/>
    <w:p>
      <w:pPr>
        <w:spacing w:before="240" w:after="120" w:line="276" w:lineRule="auto"/>
      </w:pPr>
      <w:r>
        <w:rPr>
          <w:rFonts w:ascii="Calibri" w:hAnsi="Calibri"/>
          <w:b/>
          <w:i w:val="0"/>
          <w:color w:val="2F5496"/>
          <w:sz w:val="28"/>
        </w:rPr>
        <w:t>3.7 Structural Blueprint of the Contextualised South African Cloud Adoption Framework</w:t>
      </w:r>
    </w:p>
    <w:p>
      <w:pPr>
        <w:spacing w:before="0" w:after="120" w:line="276" w:lineRule="auto"/>
      </w:pPr>
      <w:r>
        <w:rPr>
          <w:rFonts w:ascii="Calibri" w:hAnsi="Calibri"/>
          <w:b w:val="0"/>
          <w:i w:val="0"/>
          <w:color w:val="333333"/>
          <w:sz w:val="22"/>
        </w:rPr>
      </w:r>
      <w:commentRangeStart w:id="1"/>
      <w:r>
        <w:rPr>
          <w:rFonts w:ascii="Calibri" w:hAnsi="Calibri"/>
          <w:color w:val="333333"/>
          <w:sz w:val="22"/>
        </w:rPr>
        <w:t xml:space="preserve">To bridge the empirical gaps identified across global adoption literature, this study constructs a structural blueprint for a unique, socio-technically grounded South African Cloud Adoption Framework. </w:t>
      </w:r>
      <w:commentRangeEnd w:id="1"/>
      <w:r>
        <w:commentReference w:id="1"/>
      </w:r>
      <w:commentRangeStart w:id="2"/>
      <w:r>
        <w:rPr>
          <w:rFonts w:ascii="Calibri" w:hAnsi="Calibri"/>
          <w:color w:val="333333"/>
          <w:sz w:val="22"/>
        </w:rPr>
        <w:t xml:space="preserve">Grounded in the Technology-Organisation-Environment (TOE) model, the framework explicitly integrates localized utility infrastructure constraints, Protection of Personal Information Act (POPIA Act 4 of 2013) regulatory mandates, and small-firm resource limitations into an actionable, four-layer decision architecture for SMME executive decision-makers. </w:t>
      </w:r>
      <w:commentRangeEnd w:id="2"/>
      <w:r>
        <w:commentReference w:id="2"/>
      </w:r>
    </w:p>
    <w:p>
      <w:pPr>
        <w:spacing w:before="200" w:after="80" w:line="276" w:lineRule="auto"/>
      </w:pPr>
      <w:r>
        <w:rPr>
          <w:rFonts w:ascii="Calibri" w:hAnsi="Calibri"/>
          <w:b/>
          <w:i w:val="0"/>
          <w:color w:val="4472C4"/>
          <w:sz w:val="24"/>
        </w:rPr>
        <w:t>3.7.1 Socio-Technical Architecture and Structural Layers</w:t>
      </w:r>
    </w:p>
    <w:p>
      <w:pPr>
        <w:spacing w:before="0" w:after="120" w:line="276" w:lineRule="auto"/>
      </w:pPr>
      <w:r>
        <w:rPr>
          <w:rFonts w:ascii="Calibri" w:hAnsi="Calibri"/>
          <w:b w:val="0"/>
          <w:i w:val="0"/>
          <w:color w:val="333333"/>
          <w:sz w:val="22"/>
        </w:rPr>
      </w:r>
      <w:commentRangeStart w:id="3"/>
      <w:r>
        <w:rPr>
          <w:rFonts w:ascii="Calibri" w:hAnsi="Calibri"/>
          <w:color w:val="333333"/>
          <w:sz w:val="22"/>
        </w:rPr>
        <w:t xml:space="preserve">The proposed framework is organized into four interconnected structural layers that systematically guide SMMEs through pre-migration evaluation, architectural selection, compliance verification, and operational resilience: </w:t>
      </w:r>
      <w:commentRangeEnd w:id="3"/>
      <w:r>
        <w:commentReference w:id="3"/>
      </w:r>
    </w:p>
    <w:p>
      <w:pPr>
        <w:spacing w:before="0" w:after="80" w:line="276" w:lineRule="auto"/>
      </w:pPr>
      <w:r>
        <w:rPr>
          <w:rFonts w:ascii="Calibri" w:hAnsi="Calibri"/>
          <w:b w:val="0"/>
          <w:i w:val="0"/>
          <w:color w:val="333333"/>
          <w:sz w:val="22"/>
        </w:rPr>
      </w:r>
      <w:commentRangeStart w:id="4"/>
      <w:r>
        <w:rPr>
          <w:rFonts w:ascii="Calibri" w:hAnsi="Calibri"/>
          <w:color w:val="333333"/>
          <w:sz w:val="22"/>
        </w:rPr>
        <w:t xml:space="preserve">1. Technological Layer: Evaluates system compatibility, relative advantage, and architectural complexity, prioritizing Software-as-a-Service (SaaS) for low-skill micro-enterprises while establishing hybrid deployment patterns for growing small businesses needing custom database integrations. </w:t>
      </w:r>
      <w:commentRangeEnd w:id="4"/>
      <w:r>
        <w:commentReference w:id="4"/>
      </w:r>
    </w:p>
    <w:p>
      <w:pPr>
        <w:spacing w:before="0" w:after="80" w:line="276" w:lineRule="auto"/>
      </w:pPr>
      <w:r>
        <w:rPr>
          <w:rFonts w:ascii="Calibri" w:hAnsi="Calibri"/>
          <w:b w:val="0"/>
          <w:i w:val="0"/>
          <w:color w:val="333333"/>
          <w:sz w:val="22"/>
        </w:rPr>
      </w:r>
      <w:commentRangeStart w:id="5"/>
      <w:r>
        <w:rPr>
          <w:rFonts w:ascii="Calibri" w:hAnsi="Calibri"/>
          <w:color w:val="333333"/>
          <w:sz w:val="22"/>
        </w:rPr>
        <w:t xml:space="preserve">2. Organisational Layer: Addresses executive digital literacy deficits, top management support, and financial resource readiness, mandating total-cost-of-ownership (TCO) modeling to account for ZAR-USD exchange rate fluctuations and recommending partnerships with local Managed Service Providers (MSPs) to bridge internal technical skills gaps. </w:t>
      </w:r>
      <w:commentRangeEnd w:id="5"/>
      <w:r>
        <w:commentReference w:id="5"/>
      </w:r>
    </w:p>
    <w:p>
      <w:pPr>
        <w:spacing w:before="0" w:after="80" w:line="276" w:lineRule="auto"/>
      </w:pPr>
      <w:r>
        <w:rPr>
          <w:rFonts w:ascii="Calibri" w:hAnsi="Calibri"/>
          <w:b w:val="0"/>
          <w:i w:val="0"/>
          <w:color w:val="333333"/>
          <w:sz w:val="22"/>
        </w:rPr>
      </w:r>
      <w:commentRangeStart w:id="6"/>
      <w:r>
        <w:rPr>
          <w:rFonts w:ascii="Calibri" w:hAnsi="Calibri"/>
          <w:color w:val="333333"/>
          <w:sz w:val="22"/>
        </w:rPr>
        <w:t xml:space="preserve">3. Environmental &amp; Infrastructure Layer: Manages external market pressures and utility grid vulnerabilities, requiring dual-WAN internet redundancy (fiber plus LTE/5G) and uninterruptible power supply (UPS)/inverter failover infrastructure to insulate cloud operations against national load shedding disruptions. </w:t>
      </w:r>
      <w:commentRangeEnd w:id="6"/>
      <w:r>
        <w:commentReference w:id="6"/>
      </w:r>
    </w:p>
    <w:p>
      <w:pPr>
        <w:spacing w:before="0" w:after="120" w:line="276" w:lineRule="auto"/>
      </w:pPr>
      <w:r>
        <w:rPr>
          <w:rFonts w:ascii="Calibri" w:hAnsi="Calibri"/>
          <w:b w:val="0"/>
          <w:i w:val="0"/>
          <w:color w:val="333333"/>
          <w:sz w:val="22"/>
        </w:rPr>
      </w:r>
      <w:commentRangeStart w:id="7"/>
      <w:r>
        <w:rPr>
          <w:rFonts w:ascii="Calibri" w:hAnsi="Calibri"/>
          <w:color w:val="333333"/>
          <w:sz w:val="22"/>
        </w:rPr>
        <w:t xml:space="preserve">4. Legal &amp; Regulatory Governance Layer: Enforces strict adherence to POPIA (2013) Chapter 9 data localization laws, restricting sensitive personal customer information to domestic hyperscaler regions (e.g., AWS Cape Town or Microsoft Azure Johannesburg) or encrypted on-premises storage while utilizing public clouds for non-sensitive workloads. </w:t>
      </w:r>
      <w:commentRangeEnd w:id="7"/>
      <w:r>
        <w:commentReference w:id="7"/>
      </w:r>
    </w:p>
    <w:p>
      <w:pPr>
        <w:spacing w:before="200" w:after="80" w:line="276" w:lineRule="auto"/>
      </w:pPr>
      <w:r>
        <w:rPr>
          <w:rFonts w:ascii="Calibri" w:hAnsi="Calibri"/>
          <w:b/>
          <w:i w:val="0"/>
          <w:color w:val="4472C4"/>
          <w:sz w:val="24"/>
        </w:rPr>
        <w:t>3.7.2 Cloud Service Model Decision &amp; Evaluation Matrix (SaaS vs. PaaS vs. IaaS)</w:t>
      </w:r>
    </w:p>
    <w:p>
      <w:pPr>
        <w:spacing w:before="0" w:after="120" w:line="276" w:lineRule="auto"/>
      </w:pPr>
      <w:r>
        <w:rPr>
          <w:rFonts w:ascii="Calibri" w:hAnsi="Calibri"/>
          <w:b w:val="0"/>
          <w:i w:val="0"/>
          <w:color w:val="333333"/>
          <w:sz w:val="22"/>
        </w:rPr>
      </w:r>
      <w:commentRangeStart w:id="8"/>
      <w:r>
        <w:rPr>
          <w:rFonts w:ascii="Calibri" w:hAnsi="Calibri"/>
          <w:color w:val="333333"/>
          <w:sz w:val="22"/>
        </w:rPr>
        <w:t xml:space="preserve">Local SMME managers must rigorously evaluate cloud service models against internal skill levels, administrative burdens, financial constraints, and grid resilience requirements. </w:t>
      </w:r>
      <w:commentRangeEnd w:id="8"/>
      <w:r>
        <w:commentReference w:id="8"/>
      </w:r>
      <w:commentRangeStart w:id="9"/>
      <w:r>
        <w:rPr>
          <w:rFonts w:ascii="Calibri" w:hAnsi="Calibri"/>
          <w:color w:val="333333"/>
          <w:sz w:val="22"/>
        </w:rPr>
        <w:t xml:space="preserve">Table 1 details the comparative descriptive matrix evaluating SaaS, PaaS, and IaaS configurations for South African small businesses. </w:t>
      </w:r>
      <w:commentRangeEnd w:id="9"/>
      <w:r>
        <w:commentReference w:id="9"/>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2F5496"/>
            <w:tcMar>
              <w:top w:w="120" w:type="dxa"/>
              <w:bottom w:w="120" w:type="dxa"/>
              <w:left w:w="150" w:type="dxa"/>
              <w:right w:w="150" w:type="dxa"/>
            </w:tcMar>
          </w:tcPr>
          <w:p>
            <w:pPr>
              <w:jc w:val="center"/>
            </w:pPr>
            <w:r>
              <w:rPr>
                <w:rFonts w:ascii="Calibri" w:hAnsi="Calibri"/>
                <w:b/>
                <w:color w:val="FFFFFF"/>
                <w:sz w:val="20"/>
              </w:rPr>
              <w:t>Evaluation Criteria</w:t>
            </w:r>
          </w:p>
        </w:tc>
        <w:tc>
          <w:tcPr>
            <w:tcW w:type="dxa" w:w="2592"/>
            <w:shd w:fill="2F5496"/>
            <w:tcMar>
              <w:top w:w="120" w:type="dxa"/>
              <w:bottom w:w="120" w:type="dxa"/>
              <w:left w:w="150" w:type="dxa"/>
              <w:right w:w="150" w:type="dxa"/>
            </w:tcMar>
          </w:tcPr>
          <w:p>
            <w:pPr>
              <w:jc w:val="center"/>
            </w:pPr>
            <w:r>
              <w:rPr>
                <w:rFonts w:ascii="Calibri" w:hAnsi="Calibri"/>
                <w:b/>
                <w:color w:val="FFFFFF"/>
                <w:sz w:val="20"/>
              </w:rPr>
              <w:t>Software-as-a-Service (SaaS)</w:t>
            </w:r>
          </w:p>
        </w:tc>
        <w:tc>
          <w:tcPr>
            <w:tcW w:type="dxa" w:w="2592"/>
            <w:shd w:fill="2F5496"/>
            <w:tcMar>
              <w:top w:w="120" w:type="dxa"/>
              <w:bottom w:w="120" w:type="dxa"/>
              <w:left w:w="150" w:type="dxa"/>
              <w:right w:w="150" w:type="dxa"/>
            </w:tcMar>
          </w:tcPr>
          <w:p>
            <w:pPr>
              <w:jc w:val="center"/>
            </w:pPr>
            <w:r>
              <w:rPr>
                <w:rFonts w:ascii="Calibri" w:hAnsi="Calibri"/>
                <w:b/>
                <w:color w:val="FFFFFF"/>
                <w:sz w:val="20"/>
              </w:rPr>
              <w:t>Platform-as-a-Service (PaaS)</w:t>
            </w:r>
          </w:p>
        </w:tc>
        <w:tc>
          <w:tcPr>
            <w:tcW w:type="dxa" w:w="2592"/>
            <w:shd w:fill="2F5496"/>
            <w:tcMar>
              <w:top w:w="120" w:type="dxa"/>
              <w:bottom w:w="120" w:type="dxa"/>
              <w:left w:w="150" w:type="dxa"/>
              <w:right w:w="150" w:type="dxa"/>
            </w:tcMar>
          </w:tcPr>
          <w:p>
            <w:pPr>
              <w:jc w:val="center"/>
            </w:pPr>
            <w:r>
              <w:rPr>
                <w:rFonts w:ascii="Calibri" w:hAnsi="Calibri"/>
                <w:b/>
                <w:color w:val="FFFFFF"/>
                <w:sz w:val="20"/>
              </w:rPr>
              <w:t>Infrastructure-as-a-Service (IaaS)</w:t>
            </w:r>
          </w:p>
        </w:tc>
      </w:tr>
      <w:tr>
        <w:tc>
          <w:tcPr>
            <w:tcW w:type="dxa" w:w="2160"/>
            <w:shd w:fill="F2F2F2"/>
            <w:tcMar>
              <w:top w:w="120" w:type="dxa"/>
              <w:bottom w:w="120" w:type="dxa"/>
              <w:left w:w="150" w:type="dxa"/>
              <w:right w:w="150" w:type="dxa"/>
            </w:tcMar>
          </w:tcPr>
          <w:p>
            <w:pPr>
              <w:jc w:val="center"/>
            </w:pPr>
            <w:r>
              <w:rPr>
                <w:rFonts w:ascii="Calibri" w:hAnsi="Calibri"/>
                <w:b/>
                <w:color w:val="333333"/>
                <w:sz w:val="19"/>
              </w:rPr>
              <w:t>Administrative Control &amp; Responsibilities</w:t>
            </w:r>
          </w:p>
        </w:tc>
        <w:tc>
          <w:tcPr>
            <w:tcW w:type="dxa" w:w="2592"/>
            <w:shd w:fill="F2F2F2"/>
            <w:tcMar>
              <w:top w:w="120" w:type="dxa"/>
              <w:bottom w:w="120" w:type="dxa"/>
              <w:left w:w="150" w:type="dxa"/>
              <w:right w:w="150" w:type="dxa"/>
            </w:tcMar>
          </w:tcPr>
          <w:p>
            <w:pPr>
              <w:jc w:val="left"/>
            </w:pPr>
            <w:r>
              <w:rPr>
                <w:rFonts w:ascii="Calibri" w:hAnsi="Calibri"/>
                <w:color w:val="333333"/>
                <w:sz w:val="19"/>
              </w:rPr>
              <w:t>Provider manages all infrastructure, OS, middleware, and applications; client manages data and user access.</w:t>
            </w:r>
          </w:p>
        </w:tc>
        <w:tc>
          <w:tcPr>
            <w:tcW w:type="dxa" w:w="2592"/>
            <w:shd w:fill="F2F2F2"/>
            <w:tcMar>
              <w:top w:w="120" w:type="dxa"/>
              <w:bottom w:w="120" w:type="dxa"/>
              <w:left w:w="150" w:type="dxa"/>
              <w:right w:w="150" w:type="dxa"/>
            </w:tcMar>
          </w:tcPr>
          <w:p>
            <w:pPr>
              <w:jc w:val="left"/>
            </w:pPr>
            <w:r>
              <w:rPr>
                <w:rFonts w:ascii="Calibri" w:hAnsi="Calibri"/>
                <w:color w:val="333333"/>
                <w:sz w:val="19"/>
              </w:rPr>
              <w:t>Provider manages hardware, OS, and runtime; client manages application code and data.</w:t>
            </w:r>
          </w:p>
        </w:tc>
        <w:tc>
          <w:tcPr>
            <w:tcW w:type="dxa" w:w="2592"/>
            <w:shd w:fill="F2F2F2"/>
            <w:tcMar>
              <w:top w:w="120" w:type="dxa"/>
              <w:bottom w:w="120" w:type="dxa"/>
              <w:left w:w="150" w:type="dxa"/>
              <w:right w:w="150" w:type="dxa"/>
            </w:tcMar>
          </w:tcPr>
          <w:p>
            <w:pPr>
              <w:jc w:val="left"/>
            </w:pPr>
            <w:r>
              <w:rPr>
                <w:rFonts w:ascii="Calibri" w:hAnsi="Calibri"/>
                <w:color w:val="333333"/>
                <w:sz w:val="19"/>
              </w:rPr>
              <w:t>Provider manages hardware and virtualization; client manages OS, middleware, applications, and security.</w:t>
            </w:r>
          </w:p>
        </w:tc>
      </w:tr>
      <w:tr>
        <w:tc>
          <w:tcPr>
            <w:tcW w:type="dxa" w:w="2160"/>
            <w:shd w:fill="FFFFFF"/>
            <w:tcMar>
              <w:top w:w="120" w:type="dxa"/>
              <w:bottom w:w="120" w:type="dxa"/>
              <w:left w:w="150" w:type="dxa"/>
              <w:right w:w="150" w:type="dxa"/>
            </w:tcMar>
          </w:tcPr>
          <w:p>
            <w:pPr>
              <w:jc w:val="center"/>
            </w:pPr>
            <w:r>
              <w:rPr>
                <w:rFonts w:ascii="Calibri" w:hAnsi="Calibri"/>
                <w:b/>
                <w:color w:val="333333"/>
                <w:sz w:val="19"/>
              </w:rPr>
              <w:t>Financial Structure &amp; Cost Predictability</w:t>
            </w:r>
          </w:p>
        </w:tc>
        <w:tc>
          <w:tcPr>
            <w:tcW w:type="dxa" w:w="2592"/>
            <w:shd w:fill="FFFFFF"/>
            <w:tcMar>
              <w:top w:w="120" w:type="dxa"/>
              <w:bottom w:w="120" w:type="dxa"/>
              <w:left w:w="150" w:type="dxa"/>
              <w:right w:w="150" w:type="dxa"/>
            </w:tcMar>
          </w:tcPr>
          <w:p>
            <w:pPr>
              <w:jc w:val="left"/>
            </w:pPr>
            <w:r>
              <w:rPr>
                <w:rFonts w:ascii="Calibri" w:hAnsi="Calibri"/>
                <w:color w:val="333333"/>
                <w:sz w:val="19"/>
              </w:rPr>
              <w:t>Predictable, low-cost monthly user subscriptions (OpEx); minimal initial setup fees.</w:t>
            </w:r>
          </w:p>
        </w:tc>
        <w:tc>
          <w:tcPr>
            <w:tcW w:type="dxa" w:w="2592"/>
            <w:shd w:fill="FFFFFF"/>
            <w:tcMar>
              <w:top w:w="120" w:type="dxa"/>
              <w:bottom w:w="120" w:type="dxa"/>
              <w:left w:w="150" w:type="dxa"/>
              <w:right w:w="150" w:type="dxa"/>
            </w:tcMar>
          </w:tcPr>
          <w:p>
            <w:pPr>
              <w:jc w:val="left"/>
            </w:pPr>
            <w:r>
              <w:rPr>
                <w:rFonts w:ascii="Calibri" w:hAnsi="Calibri"/>
                <w:color w:val="333333"/>
                <w:sz w:val="19"/>
              </w:rPr>
              <w:t>Developer platform usage fees; medium operational expenditure.</w:t>
            </w:r>
          </w:p>
        </w:tc>
        <w:tc>
          <w:tcPr>
            <w:tcW w:type="dxa" w:w="2592"/>
            <w:shd w:fill="FFFFFF"/>
            <w:tcMar>
              <w:top w:w="120" w:type="dxa"/>
              <w:bottom w:w="120" w:type="dxa"/>
              <w:left w:w="150" w:type="dxa"/>
              <w:right w:w="150" w:type="dxa"/>
            </w:tcMar>
          </w:tcPr>
          <w:p>
            <w:pPr>
              <w:jc w:val="left"/>
            </w:pPr>
            <w:r>
              <w:rPr>
                <w:rFonts w:ascii="Calibri" w:hAnsi="Calibri"/>
                <w:color w:val="333333"/>
                <w:sz w:val="19"/>
              </w:rPr>
              <w:t>Metered compute/storage consumption; highly exposed to USD exchange rate volatility.</w:t>
            </w:r>
          </w:p>
        </w:tc>
      </w:tr>
      <w:tr>
        <w:tc>
          <w:tcPr>
            <w:tcW w:type="dxa" w:w="2160"/>
            <w:shd w:fill="F2F2F2"/>
            <w:tcMar>
              <w:top w:w="120" w:type="dxa"/>
              <w:bottom w:w="120" w:type="dxa"/>
              <w:left w:w="150" w:type="dxa"/>
              <w:right w:w="150" w:type="dxa"/>
            </w:tcMar>
          </w:tcPr>
          <w:p>
            <w:pPr>
              <w:jc w:val="center"/>
            </w:pPr>
            <w:r>
              <w:rPr>
                <w:rFonts w:ascii="Calibri" w:hAnsi="Calibri"/>
                <w:b/>
                <w:color w:val="333333"/>
                <w:sz w:val="19"/>
              </w:rPr>
              <w:t>In-House IT Skills Requirement</w:t>
            </w:r>
          </w:p>
        </w:tc>
        <w:tc>
          <w:tcPr>
            <w:tcW w:type="dxa" w:w="2592"/>
            <w:shd w:fill="F2F2F2"/>
            <w:tcMar>
              <w:top w:w="120" w:type="dxa"/>
              <w:bottom w:w="120" w:type="dxa"/>
              <w:left w:w="150" w:type="dxa"/>
              <w:right w:w="150" w:type="dxa"/>
            </w:tcMar>
          </w:tcPr>
          <w:p>
            <w:pPr>
              <w:jc w:val="left"/>
            </w:pPr>
            <w:r>
              <w:rPr>
                <w:rFonts w:ascii="Calibri" w:hAnsi="Calibri"/>
                <w:color w:val="333333"/>
                <w:sz w:val="19"/>
              </w:rPr>
              <w:t>Minimal; ideal for self-taught owner-managers and non-technical staff.</w:t>
            </w:r>
          </w:p>
        </w:tc>
        <w:tc>
          <w:tcPr>
            <w:tcW w:type="dxa" w:w="2592"/>
            <w:shd w:fill="F2F2F2"/>
            <w:tcMar>
              <w:top w:w="120" w:type="dxa"/>
              <w:bottom w:w="120" w:type="dxa"/>
              <w:left w:w="150" w:type="dxa"/>
              <w:right w:w="150" w:type="dxa"/>
            </w:tcMar>
          </w:tcPr>
          <w:p>
            <w:pPr>
              <w:jc w:val="left"/>
            </w:pPr>
            <w:r>
              <w:rPr>
                <w:rFonts w:ascii="Calibri" w:hAnsi="Calibri"/>
                <w:color w:val="333333"/>
                <w:sz w:val="19"/>
              </w:rPr>
              <w:t>Moderate; requires specialized software developers and application administrators.</w:t>
            </w:r>
          </w:p>
        </w:tc>
        <w:tc>
          <w:tcPr>
            <w:tcW w:type="dxa" w:w="2592"/>
            <w:shd w:fill="F2F2F2"/>
            <w:tcMar>
              <w:top w:w="120" w:type="dxa"/>
              <w:bottom w:w="120" w:type="dxa"/>
              <w:left w:w="150" w:type="dxa"/>
              <w:right w:w="150" w:type="dxa"/>
            </w:tcMar>
          </w:tcPr>
          <w:p>
            <w:pPr>
              <w:jc w:val="left"/>
            </w:pPr>
            <w:r>
              <w:rPr>
                <w:rFonts w:ascii="Calibri" w:hAnsi="Calibri"/>
                <w:color w:val="333333"/>
                <w:sz w:val="19"/>
              </w:rPr>
              <w:t>High; requires certified cloud engineers and network systems administrators.</w:t>
            </w:r>
          </w:p>
        </w:tc>
      </w:tr>
      <w:tr>
        <w:tc>
          <w:tcPr>
            <w:tcW w:type="dxa" w:w="2160"/>
            <w:shd w:fill="FFFFFF"/>
            <w:tcMar>
              <w:top w:w="120" w:type="dxa"/>
              <w:bottom w:w="120" w:type="dxa"/>
              <w:left w:w="150" w:type="dxa"/>
              <w:right w:w="150" w:type="dxa"/>
            </w:tcMar>
          </w:tcPr>
          <w:p>
            <w:pPr>
              <w:jc w:val="center"/>
            </w:pPr>
            <w:r>
              <w:rPr>
                <w:rFonts w:ascii="Calibri" w:hAnsi="Calibri"/>
                <w:b/>
                <w:color w:val="333333"/>
                <w:sz w:val="19"/>
              </w:rPr>
              <w:t>POPIA Compliance &amp; Sovereignty Burden</w:t>
            </w:r>
          </w:p>
        </w:tc>
        <w:tc>
          <w:tcPr>
            <w:tcW w:type="dxa" w:w="2592"/>
            <w:shd w:fill="FFFFFF"/>
            <w:tcMar>
              <w:top w:w="120" w:type="dxa"/>
              <w:bottom w:w="120" w:type="dxa"/>
              <w:left w:w="150" w:type="dxa"/>
              <w:right w:w="150" w:type="dxa"/>
            </w:tcMar>
          </w:tcPr>
          <w:p>
            <w:pPr>
              <w:jc w:val="left"/>
            </w:pPr>
            <w:r>
              <w:rPr>
                <w:rFonts w:ascii="Calibri" w:hAnsi="Calibri"/>
                <w:color w:val="333333"/>
                <w:sz w:val="19"/>
              </w:rPr>
              <w:t>Vendor handles security controls; SMME must verify domestic hosting (e.g., MS 365 / Salesforce local regions).</w:t>
            </w:r>
          </w:p>
        </w:tc>
        <w:tc>
          <w:tcPr>
            <w:tcW w:type="dxa" w:w="2592"/>
            <w:shd w:fill="FFFFFF"/>
            <w:tcMar>
              <w:top w:w="120" w:type="dxa"/>
              <w:bottom w:w="120" w:type="dxa"/>
              <w:left w:w="150" w:type="dxa"/>
              <w:right w:w="150" w:type="dxa"/>
            </w:tcMar>
          </w:tcPr>
          <w:p>
            <w:pPr>
              <w:jc w:val="left"/>
            </w:pPr>
            <w:r>
              <w:rPr>
                <w:rFonts w:ascii="Calibri" w:hAnsi="Calibri"/>
                <w:color w:val="333333"/>
                <w:sz w:val="19"/>
              </w:rPr>
              <w:t>Shared responsibility; SMME must configure database encryption and access controls.</w:t>
            </w:r>
          </w:p>
        </w:tc>
        <w:tc>
          <w:tcPr>
            <w:tcW w:type="dxa" w:w="2592"/>
            <w:shd w:fill="FFFFFF"/>
            <w:tcMar>
              <w:top w:w="120" w:type="dxa"/>
              <w:bottom w:w="120" w:type="dxa"/>
              <w:left w:w="150" w:type="dxa"/>
              <w:right w:w="150" w:type="dxa"/>
            </w:tcMar>
          </w:tcPr>
          <w:p>
            <w:pPr>
              <w:jc w:val="left"/>
            </w:pPr>
            <w:r>
              <w:rPr>
                <w:rFonts w:ascii="Calibri" w:hAnsi="Calibri"/>
                <w:color w:val="333333"/>
                <w:sz w:val="19"/>
              </w:rPr>
              <w:t>High SMME responsibility; full client duty for OS patching, firewall rules, and cross-border transfer compliance.</w:t>
            </w:r>
          </w:p>
        </w:tc>
      </w:tr>
      <w:tr>
        <w:tc>
          <w:tcPr>
            <w:tcW w:type="dxa" w:w="2160"/>
            <w:shd w:fill="F2F2F2"/>
            <w:tcMar>
              <w:top w:w="120" w:type="dxa"/>
              <w:bottom w:w="120" w:type="dxa"/>
              <w:left w:w="150" w:type="dxa"/>
              <w:right w:w="150" w:type="dxa"/>
            </w:tcMar>
          </w:tcPr>
          <w:p>
            <w:pPr>
              <w:jc w:val="center"/>
            </w:pPr>
            <w:r>
              <w:rPr>
                <w:rFonts w:ascii="Calibri" w:hAnsi="Calibri"/>
                <w:b/>
                <w:color w:val="333333"/>
                <w:sz w:val="19"/>
              </w:rPr>
              <w:t>Load Shedding &amp; Grid Failover Resilience</w:t>
            </w:r>
          </w:p>
        </w:tc>
        <w:tc>
          <w:tcPr>
            <w:tcW w:type="dxa" w:w="2592"/>
            <w:shd w:fill="F2F2F2"/>
            <w:tcMar>
              <w:top w:w="120" w:type="dxa"/>
              <w:bottom w:w="120" w:type="dxa"/>
              <w:left w:w="150" w:type="dxa"/>
              <w:right w:w="150" w:type="dxa"/>
            </w:tcMar>
          </w:tcPr>
          <w:p>
            <w:pPr>
              <w:jc w:val="left"/>
            </w:pPr>
            <w:r>
              <w:rPr>
                <w:rFonts w:ascii="Calibri" w:hAnsi="Calibri"/>
                <w:color w:val="333333"/>
                <w:sz w:val="19"/>
              </w:rPr>
              <w:t>Excellent when paired with mobile LTE apps and offline-first browser/database caching.</w:t>
            </w:r>
          </w:p>
        </w:tc>
        <w:tc>
          <w:tcPr>
            <w:tcW w:type="dxa" w:w="2592"/>
            <w:shd w:fill="F2F2F2"/>
            <w:tcMar>
              <w:top w:w="120" w:type="dxa"/>
              <w:bottom w:w="120" w:type="dxa"/>
              <w:left w:w="150" w:type="dxa"/>
              <w:right w:w="150" w:type="dxa"/>
            </w:tcMar>
          </w:tcPr>
          <w:p>
            <w:pPr>
              <w:jc w:val="left"/>
            </w:pPr>
            <w:r>
              <w:rPr>
                <w:rFonts w:ascii="Calibri" w:hAnsi="Calibri"/>
                <w:color w:val="333333"/>
                <w:sz w:val="19"/>
              </w:rPr>
              <w:t>Moderate; developers must build automatic retry logic and local data synchronization.</w:t>
            </w:r>
          </w:p>
        </w:tc>
        <w:tc>
          <w:tcPr>
            <w:tcW w:type="dxa" w:w="2592"/>
            <w:shd w:fill="F2F2F2"/>
            <w:tcMar>
              <w:top w:w="120" w:type="dxa"/>
              <w:bottom w:w="120" w:type="dxa"/>
              <w:left w:w="150" w:type="dxa"/>
              <w:right w:w="150" w:type="dxa"/>
            </w:tcMar>
          </w:tcPr>
          <w:p>
            <w:pPr>
              <w:jc w:val="left"/>
            </w:pPr>
            <w:r>
              <w:rPr>
                <w:rFonts w:ascii="Calibri" w:hAnsi="Calibri"/>
                <w:color w:val="333333"/>
                <w:sz w:val="19"/>
              </w:rPr>
              <w:t>Vulnerable if virtual machines lack automatic multi-region failover and local edge-caching hardware.</w:t>
            </w:r>
          </w:p>
        </w:tc>
      </w:tr>
    </w:tbl>
    <w:p>
      <w:pPr>
        <w:spacing w:before="80" w:after="160" w:line="276" w:lineRule="auto"/>
      </w:pPr>
      <w:r>
        <w:rPr>
          <w:rFonts w:ascii="Calibri" w:hAnsi="Calibri"/>
          <w:b w:val="0"/>
          <w:i/>
          <w:color w:val="595959"/>
          <w:sz w:val="19"/>
        </w:rPr>
        <w:t>Table 1: Cloud Service Model Comparative Decision Matrix for South African SMMEs (adapted from Ahmad et al., 2025:1; Mkhize et al., 2025:30).</w:t>
      </w:r>
    </w:p>
    <w:p>
      <w:pPr>
        <w:spacing w:before="200" w:after="80" w:line="276" w:lineRule="auto"/>
      </w:pPr>
      <w:r>
        <w:rPr>
          <w:rFonts w:ascii="Calibri" w:hAnsi="Calibri"/>
          <w:b/>
          <w:i w:val="0"/>
          <w:color w:val="4472C4"/>
          <w:sz w:val="24"/>
        </w:rPr>
        <w:t>3.7.3 Cloud Deployment Model Decision Matrix (Public vs. Private vs. Hybrid under POPIA &amp; Load Shedding)</w:t>
      </w:r>
    </w:p>
    <w:p>
      <w:pPr>
        <w:spacing w:before="0" w:after="120" w:line="276" w:lineRule="auto"/>
      </w:pPr>
      <w:r>
        <w:rPr>
          <w:rFonts w:ascii="Calibri" w:hAnsi="Calibri"/>
          <w:b w:val="0"/>
          <w:i w:val="0"/>
          <w:color w:val="333333"/>
          <w:sz w:val="22"/>
        </w:rPr>
      </w:r>
      <w:commentRangeStart w:id="10"/>
      <w:r>
        <w:rPr>
          <w:rFonts w:ascii="Calibri" w:hAnsi="Calibri"/>
          <w:color w:val="333333"/>
          <w:sz w:val="22"/>
        </w:rPr>
        <w:t xml:space="preserve">Selecting an appropriate cloud deployment model is critical to balancing financial scalability with regulatory compliance and operational availability during power outages. </w:t>
      </w:r>
      <w:commentRangeEnd w:id="10"/>
      <w:r>
        <w:commentReference w:id="10"/>
      </w:r>
      <w:commentRangeStart w:id="11"/>
      <w:r>
        <w:rPr>
          <w:rFonts w:ascii="Calibri" w:hAnsi="Calibri"/>
          <w:color w:val="333333"/>
          <w:sz w:val="22"/>
        </w:rPr>
        <w:t xml:space="preserve">Table 2 presents the strategic evaluation matrix for public, private, and hybrid deployment configurations in South Africa. </w:t>
      </w:r>
      <w:commentRangeEnd w:id="11"/>
      <w:r>
        <w:commentReference w:id="11"/>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2F5496"/>
            <w:tcMar>
              <w:top w:w="120" w:type="dxa"/>
              <w:bottom w:w="120" w:type="dxa"/>
              <w:left w:w="150" w:type="dxa"/>
              <w:right w:w="150" w:type="dxa"/>
            </w:tcMar>
          </w:tcPr>
          <w:p>
            <w:pPr>
              <w:jc w:val="center"/>
            </w:pPr>
            <w:r>
              <w:rPr>
                <w:rFonts w:ascii="Calibri" w:hAnsi="Calibri"/>
                <w:b/>
                <w:color w:val="FFFFFF"/>
                <w:sz w:val="20"/>
              </w:rPr>
              <w:t>Strategic Criterion</w:t>
            </w:r>
          </w:p>
        </w:tc>
        <w:tc>
          <w:tcPr>
            <w:tcW w:type="dxa" w:w="2592"/>
            <w:shd w:fill="2F5496"/>
            <w:tcMar>
              <w:top w:w="120" w:type="dxa"/>
              <w:bottom w:w="120" w:type="dxa"/>
              <w:left w:w="150" w:type="dxa"/>
              <w:right w:w="150" w:type="dxa"/>
            </w:tcMar>
          </w:tcPr>
          <w:p>
            <w:pPr>
              <w:jc w:val="center"/>
            </w:pPr>
            <w:r>
              <w:rPr>
                <w:rFonts w:ascii="Calibri" w:hAnsi="Calibri"/>
                <w:b/>
                <w:color w:val="FFFFFF"/>
                <w:sz w:val="20"/>
              </w:rPr>
              <w:t>Public Cloud</w:t>
            </w:r>
          </w:p>
        </w:tc>
        <w:tc>
          <w:tcPr>
            <w:tcW w:type="dxa" w:w="2592"/>
            <w:shd w:fill="2F5496"/>
            <w:tcMar>
              <w:top w:w="120" w:type="dxa"/>
              <w:bottom w:w="120" w:type="dxa"/>
              <w:left w:w="150" w:type="dxa"/>
              <w:right w:w="150" w:type="dxa"/>
            </w:tcMar>
          </w:tcPr>
          <w:p>
            <w:pPr>
              <w:jc w:val="center"/>
            </w:pPr>
            <w:r>
              <w:rPr>
                <w:rFonts w:ascii="Calibri" w:hAnsi="Calibri"/>
                <w:b/>
                <w:color w:val="FFFFFF"/>
                <w:sz w:val="20"/>
              </w:rPr>
              <w:t>Private Cloud</w:t>
            </w:r>
          </w:p>
        </w:tc>
        <w:tc>
          <w:tcPr>
            <w:tcW w:type="dxa" w:w="2592"/>
            <w:shd w:fill="2F5496"/>
            <w:tcMar>
              <w:top w:w="120" w:type="dxa"/>
              <w:bottom w:w="120" w:type="dxa"/>
              <w:left w:w="150" w:type="dxa"/>
              <w:right w:w="150" w:type="dxa"/>
            </w:tcMar>
          </w:tcPr>
          <w:p>
            <w:pPr>
              <w:jc w:val="center"/>
            </w:pPr>
            <w:r>
              <w:rPr>
                <w:rFonts w:ascii="Calibri" w:hAnsi="Calibri"/>
                <w:b/>
                <w:color w:val="FFFFFF"/>
                <w:sz w:val="20"/>
              </w:rPr>
              <w:t>Hybrid Cloud (Recommended Model)</w:t>
            </w:r>
          </w:p>
        </w:tc>
      </w:tr>
      <w:tr>
        <w:tc>
          <w:tcPr>
            <w:tcW w:type="dxa" w:w="2160"/>
            <w:shd w:fill="F2F2F2"/>
            <w:tcMar>
              <w:top w:w="120" w:type="dxa"/>
              <w:bottom w:w="120" w:type="dxa"/>
              <w:left w:w="150" w:type="dxa"/>
              <w:right w:w="150" w:type="dxa"/>
            </w:tcMar>
          </w:tcPr>
          <w:p>
            <w:pPr>
              <w:jc w:val="center"/>
            </w:pPr>
            <w:r>
              <w:rPr>
                <w:rFonts w:ascii="Calibri" w:hAnsi="Calibri"/>
                <w:b/>
                <w:color w:val="333333"/>
                <w:sz w:val="19"/>
              </w:rPr>
              <w:t>POPIA Data Sovereignty &amp; Compliance Suitability</w:t>
            </w:r>
          </w:p>
        </w:tc>
        <w:tc>
          <w:tcPr>
            <w:tcW w:type="dxa" w:w="2592"/>
            <w:shd w:fill="F2F2F2"/>
            <w:tcMar>
              <w:top w:w="120" w:type="dxa"/>
              <w:bottom w:w="120" w:type="dxa"/>
              <w:left w:w="150" w:type="dxa"/>
              <w:right w:w="150" w:type="dxa"/>
            </w:tcMar>
          </w:tcPr>
          <w:p>
            <w:pPr>
              <w:jc w:val="left"/>
            </w:pPr>
            <w:r>
              <w:rPr>
                <w:rFonts w:ascii="Calibri" w:hAnsi="Calibri"/>
                <w:color w:val="333333"/>
                <w:sz w:val="19"/>
              </w:rPr>
              <w:t>High risk if hosted offshore; compliant if using domestic hyperscalers (AWS Cape Town / Azure Johannesburg).</w:t>
            </w:r>
          </w:p>
        </w:tc>
        <w:tc>
          <w:tcPr>
            <w:tcW w:type="dxa" w:w="2592"/>
            <w:shd w:fill="F2F2F2"/>
            <w:tcMar>
              <w:top w:w="120" w:type="dxa"/>
              <w:bottom w:w="120" w:type="dxa"/>
              <w:left w:w="150" w:type="dxa"/>
              <w:right w:w="150" w:type="dxa"/>
            </w:tcMar>
          </w:tcPr>
          <w:p>
            <w:pPr>
              <w:jc w:val="left"/>
            </w:pPr>
            <w:r>
              <w:rPr>
                <w:rFonts w:ascii="Calibri" w:hAnsi="Calibri"/>
                <w:color w:val="333333"/>
                <w:sz w:val="19"/>
              </w:rPr>
              <w:t>Maximum compliance; total physical control over local server hardware and data residency.</w:t>
            </w:r>
          </w:p>
        </w:tc>
        <w:tc>
          <w:tcPr>
            <w:tcW w:type="dxa" w:w="2592"/>
            <w:shd w:fill="F2F2F2"/>
            <w:tcMar>
              <w:top w:w="120" w:type="dxa"/>
              <w:bottom w:w="120" w:type="dxa"/>
              <w:left w:w="150" w:type="dxa"/>
              <w:right w:w="150" w:type="dxa"/>
            </w:tcMar>
          </w:tcPr>
          <w:p>
            <w:pPr>
              <w:jc w:val="left"/>
            </w:pPr>
            <w:r>
              <w:rPr>
                <w:rFonts w:ascii="Calibri" w:hAnsi="Calibri"/>
                <w:color w:val="333333"/>
                <w:sz w:val="19"/>
              </w:rPr>
              <w:t>Optimal compliance; sensitive personal data stored on local/private servers; non-sensitive data hosted on public cloud.</w:t>
            </w:r>
          </w:p>
        </w:tc>
      </w:tr>
      <w:tr>
        <w:tc>
          <w:tcPr>
            <w:tcW w:type="dxa" w:w="2160"/>
            <w:shd w:fill="FFFFFF"/>
            <w:tcMar>
              <w:top w:w="120" w:type="dxa"/>
              <w:bottom w:w="120" w:type="dxa"/>
              <w:left w:w="150" w:type="dxa"/>
              <w:right w:w="150" w:type="dxa"/>
            </w:tcMar>
          </w:tcPr>
          <w:p>
            <w:pPr>
              <w:jc w:val="center"/>
            </w:pPr>
            <w:r>
              <w:rPr>
                <w:rFonts w:ascii="Calibri" w:hAnsi="Calibri"/>
                <w:b/>
                <w:color w:val="333333"/>
                <w:sz w:val="19"/>
              </w:rPr>
              <w:t>Latency &amp; Network Connectivity Requirements</w:t>
            </w:r>
          </w:p>
        </w:tc>
        <w:tc>
          <w:tcPr>
            <w:tcW w:type="dxa" w:w="2592"/>
            <w:shd w:fill="FFFFFF"/>
            <w:tcMar>
              <w:top w:w="120" w:type="dxa"/>
              <w:bottom w:w="120" w:type="dxa"/>
              <w:left w:w="150" w:type="dxa"/>
              <w:right w:w="150" w:type="dxa"/>
            </w:tcMar>
          </w:tcPr>
          <w:p>
            <w:pPr>
              <w:jc w:val="left"/>
            </w:pPr>
            <w:r>
              <w:rPr>
                <w:rFonts w:ascii="Calibri" w:hAnsi="Calibri"/>
                <w:color w:val="333333"/>
                <w:sz w:val="19"/>
              </w:rPr>
              <w:t>High reliance on stable internet; susceptible to cellular tower/fiber outages during load shedding.</w:t>
            </w:r>
          </w:p>
        </w:tc>
        <w:tc>
          <w:tcPr>
            <w:tcW w:type="dxa" w:w="2592"/>
            <w:shd w:fill="FFFFFF"/>
            <w:tcMar>
              <w:top w:w="120" w:type="dxa"/>
              <w:bottom w:w="120" w:type="dxa"/>
              <w:left w:w="150" w:type="dxa"/>
              <w:right w:w="150" w:type="dxa"/>
            </w:tcMar>
          </w:tcPr>
          <w:p>
            <w:pPr>
              <w:jc w:val="left"/>
            </w:pPr>
            <w:r>
              <w:rPr>
                <w:rFonts w:ascii="Calibri" w:hAnsi="Calibri"/>
                <w:color w:val="333333"/>
                <w:sz w:val="19"/>
              </w:rPr>
              <w:t>Low local network latency via LAN; accessible on-premises even during regional internet outages.</w:t>
            </w:r>
          </w:p>
        </w:tc>
        <w:tc>
          <w:tcPr>
            <w:tcW w:type="dxa" w:w="2592"/>
            <w:shd w:fill="FFFFFF"/>
            <w:tcMar>
              <w:top w:w="120" w:type="dxa"/>
              <w:bottom w:w="120" w:type="dxa"/>
              <w:left w:w="150" w:type="dxa"/>
              <w:right w:w="150" w:type="dxa"/>
            </w:tcMar>
          </w:tcPr>
          <w:p>
            <w:pPr>
              <w:jc w:val="left"/>
            </w:pPr>
            <w:r>
              <w:rPr>
                <w:rFonts w:ascii="Calibri" w:hAnsi="Calibri"/>
                <w:color w:val="333333"/>
                <w:sz w:val="19"/>
              </w:rPr>
              <w:t>High resilience; local edge servers handle real-time transactions during grid outages, syncing on reconnect.</w:t>
            </w:r>
          </w:p>
        </w:tc>
      </w:tr>
      <w:tr>
        <w:tc>
          <w:tcPr>
            <w:tcW w:type="dxa" w:w="2160"/>
            <w:shd w:fill="F2F2F2"/>
            <w:tcMar>
              <w:top w:w="120" w:type="dxa"/>
              <w:bottom w:w="120" w:type="dxa"/>
              <w:left w:w="150" w:type="dxa"/>
              <w:right w:w="150" w:type="dxa"/>
            </w:tcMar>
          </w:tcPr>
          <w:p>
            <w:pPr>
              <w:jc w:val="center"/>
            </w:pPr>
            <w:r>
              <w:rPr>
                <w:rFonts w:ascii="Calibri" w:hAnsi="Calibri"/>
                <w:b/>
                <w:color w:val="333333"/>
                <w:sz w:val="19"/>
              </w:rPr>
              <w:t>Financial Capital &amp; Resource Requirements</w:t>
            </w:r>
          </w:p>
        </w:tc>
        <w:tc>
          <w:tcPr>
            <w:tcW w:type="dxa" w:w="2592"/>
            <w:shd w:fill="F2F2F2"/>
            <w:tcMar>
              <w:top w:w="120" w:type="dxa"/>
              <w:bottom w:w="120" w:type="dxa"/>
              <w:left w:w="150" w:type="dxa"/>
              <w:right w:w="150" w:type="dxa"/>
            </w:tcMar>
          </w:tcPr>
          <w:p>
            <w:pPr>
              <w:jc w:val="left"/>
            </w:pPr>
            <w:r>
              <w:rPr>
                <w:rFonts w:ascii="Calibri" w:hAnsi="Calibri"/>
                <w:color w:val="333333"/>
                <w:sz w:val="19"/>
              </w:rPr>
              <w:t>Minimal CapEx; flexible pay-as-you-go OpEx structure.</w:t>
            </w:r>
          </w:p>
        </w:tc>
        <w:tc>
          <w:tcPr>
            <w:tcW w:type="dxa" w:w="2592"/>
            <w:shd w:fill="F2F2F2"/>
            <w:tcMar>
              <w:top w:w="120" w:type="dxa"/>
              <w:bottom w:w="120" w:type="dxa"/>
              <w:left w:w="150" w:type="dxa"/>
              <w:right w:w="150" w:type="dxa"/>
            </w:tcMar>
          </w:tcPr>
          <w:p>
            <w:pPr>
              <w:jc w:val="left"/>
            </w:pPr>
            <w:r>
              <w:rPr>
                <w:rFonts w:ascii="Calibri" w:hAnsi="Calibri"/>
                <w:color w:val="333333"/>
                <w:sz w:val="19"/>
              </w:rPr>
              <w:t>Prohibitive CapEx; requires purchasing physical servers, hardware firewalls, and dedicated cooling/UPS systems.</w:t>
            </w:r>
          </w:p>
        </w:tc>
        <w:tc>
          <w:tcPr>
            <w:tcW w:type="dxa" w:w="2592"/>
            <w:shd w:fill="F2F2F2"/>
            <w:tcMar>
              <w:top w:w="120" w:type="dxa"/>
              <w:bottom w:w="120" w:type="dxa"/>
              <w:left w:w="150" w:type="dxa"/>
              <w:right w:w="150" w:type="dxa"/>
            </w:tcMar>
          </w:tcPr>
          <w:p>
            <w:pPr>
              <w:jc w:val="left"/>
            </w:pPr>
            <w:r>
              <w:rPr>
                <w:rFonts w:ascii="Calibri" w:hAnsi="Calibri"/>
                <w:color w:val="333333"/>
                <w:sz w:val="19"/>
              </w:rPr>
              <w:t>Balanced CapEx/OpEx; preserves existing on-premises hardware while scaling non-critical workloads in public cloud.</w:t>
            </w:r>
          </w:p>
        </w:tc>
      </w:tr>
      <w:tr>
        <w:tc>
          <w:tcPr>
            <w:tcW w:type="dxa" w:w="2160"/>
            <w:shd w:fill="FFFFFF"/>
            <w:tcMar>
              <w:top w:w="120" w:type="dxa"/>
              <w:bottom w:w="120" w:type="dxa"/>
              <w:left w:w="150" w:type="dxa"/>
              <w:right w:w="150" w:type="dxa"/>
            </w:tcMar>
          </w:tcPr>
          <w:p>
            <w:pPr>
              <w:jc w:val="center"/>
            </w:pPr>
            <w:r>
              <w:rPr>
                <w:rFonts w:ascii="Calibri" w:hAnsi="Calibri"/>
                <w:b/>
                <w:color w:val="333333"/>
                <w:sz w:val="19"/>
              </w:rPr>
              <w:t>Total Cost of Ownership (TCO) &amp; Management Effort</w:t>
            </w:r>
          </w:p>
        </w:tc>
        <w:tc>
          <w:tcPr>
            <w:tcW w:type="dxa" w:w="2592"/>
            <w:shd w:fill="FFFFFF"/>
            <w:tcMar>
              <w:top w:w="120" w:type="dxa"/>
              <w:bottom w:w="120" w:type="dxa"/>
              <w:left w:w="150" w:type="dxa"/>
              <w:right w:w="150" w:type="dxa"/>
            </w:tcMar>
          </w:tcPr>
          <w:p>
            <w:pPr>
              <w:jc w:val="left"/>
            </w:pPr>
            <w:r>
              <w:rPr>
                <w:rFonts w:ascii="Calibri" w:hAnsi="Calibri"/>
                <w:color w:val="333333"/>
                <w:sz w:val="19"/>
              </w:rPr>
              <w:t>Low TCO for standard tools; vendor manages hardware maintenance.</w:t>
            </w:r>
          </w:p>
        </w:tc>
        <w:tc>
          <w:tcPr>
            <w:tcW w:type="dxa" w:w="2592"/>
            <w:shd w:fill="FFFFFF"/>
            <w:tcMar>
              <w:top w:w="120" w:type="dxa"/>
              <w:bottom w:w="120" w:type="dxa"/>
              <w:left w:w="150" w:type="dxa"/>
              <w:right w:w="150" w:type="dxa"/>
            </w:tcMar>
          </w:tcPr>
          <w:p>
            <w:pPr>
              <w:jc w:val="left"/>
            </w:pPr>
            <w:r>
              <w:rPr>
                <w:rFonts w:ascii="Calibri" w:hAnsi="Calibri"/>
                <w:color w:val="333333"/>
                <w:sz w:val="19"/>
              </w:rPr>
              <w:t>High TCO; requires dedicated in-house IT staff or expensive local consultant retainer contracts.</w:t>
            </w:r>
          </w:p>
        </w:tc>
        <w:tc>
          <w:tcPr>
            <w:tcW w:type="dxa" w:w="2592"/>
            <w:shd w:fill="FFFFFF"/>
            <w:tcMar>
              <w:top w:w="120" w:type="dxa"/>
              <w:bottom w:w="120" w:type="dxa"/>
              <w:left w:w="150" w:type="dxa"/>
              <w:right w:w="150" w:type="dxa"/>
            </w:tcMar>
          </w:tcPr>
          <w:p>
            <w:pPr>
              <w:jc w:val="left"/>
            </w:pPr>
            <w:r>
              <w:rPr>
                <w:rFonts w:ascii="Calibri" w:hAnsi="Calibri"/>
                <w:color w:val="333333"/>
                <w:sz w:val="19"/>
              </w:rPr>
              <w:t>Predictable TCO when managed by local Managed Service Providers (MSPs) under flat-rate ZAR contracts.</w:t>
            </w:r>
          </w:p>
        </w:tc>
      </w:tr>
    </w:tbl>
    <w:p>
      <w:pPr>
        <w:spacing w:before="80" w:after="160" w:line="276" w:lineRule="auto"/>
      </w:pPr>
      <w:r>
        <w:rPr>
          <w:rFonts w:ascii="Calibri" w:hAnsi="Calibri"/>
          <w:b w:val="0"/>
          <w:i/>
          <w:color w:val="595959"/>
          <w:sz w:val="19"/>
        </w:rPr>
        <w:t>Table 2: Cloud Deployment Model Strategic Matrix under POPIA and Load Shedding Constraints (adapted from Mokwena &amp; Fatoki, 2024:4627; Mohlameane &amp; Ruxwana, 2020:7).</w:t>
      </w:r>
    </w:p>
    <w:p>
      <w:pPr>
        <w:spacing w:before="200" w:after="80" w:line="276" w:lineRule="auto"/>
      </w:pPr>
      <w:r>
        <w:rPr>
          <w:rFonts w:ascii="Calibri" w:hAnsi="Calibri"/>
          <w:b/>
          <w:i w:val="0"/>
          <w:color w:val="4472C4"/>
          <w:sz w:val="24"/>
        </w:rPr>
        <w:t>3.7.4 Operational Evaluation and Migration Roadmap for SMME Executives</w:t>
      </w:r>
    </w:p>
    <w:p>
      <w:pPr>
        <w:spacing w:before="0" w:after="120" w:line="276" w:lineRule="auto"/>
      </w:pPr>
      <w:r>
        <w:rPr>
          <w:rFonts w:ascii="Calibri" w:hAnsi="Calibri"/>
          <w:b w:val="0"/>
          <w:i w:val="0"/>
          <w:color w:val="333333"/>
          <w:sz w:val="22"/>
        </w:rPr>
      </w:r>
      <w:commentRangeStart w:id="12"/>
      <w:r>
        <w:rPr>
          <w:rFonts w:ascii="Calibri" w:hAnsi="Calibri"/>
          <w:color w:val="333333"/>
          <w:sz w:val="22"/>
        </w:rPr>
        <w:t xml:space="preserve">To operationalise the structural blueprint, SMME decision-makers must follow a four-phase migration roadmap designed to build grid-resilient, legally compliant cloud operations: </w:t>
      </w:r>
      <w:commentRangeEnd w:id="12"/>
      <w:r>
        <w:commentReference w:id="12"/>
      </w:r>
    </w:p>
    <w:p>
      <w:pPr>
        <w:spacing w:before="0" w:after="80" w:line="276" w:lineRule="auto"/>
      </w:pPr>
      <w:r>
        <w:rPr>
          <w:rFonts w:ascii="Calibri" w:hAnsi="Calibri"/>
          <w:b w:val="0"/>
          <w:i w:val="0"/>
          <w:color w:val="333333"/>
          <w:sz w:val="22"/>
        </w:rPr>
      </w:r>
      <w:commentRangeStart w:id="13"/>
      <w:r>
        <w:rPr>
          <w:rFonts w:ascii="Calibri" w:hAnsi="Calibri"/>
          <w:color w:val="333333"/>
          <w:sz w:val="22"/>
        </w:rPr>
        <w:t xml:space="preserve">Phase I: Socio-Technical Readiness &amp; POPIA Audit: Audit existing hardware, local UPS/inverter power backup capacities, dual-WAN bandwidth failovers, and categorize data assets into sensitive personal information (requiring domestic hosting under POPIA) versus non-sensitive operational files. </w:t>
      </w:r>
      <w:commentRangeEnd w:id="13"/>
      <w:r>
        <w:commentReference w:id="13"/>
      </w:r>
    </w:p>
    <w:p>
      <w:pPr>
        <w:spacing w:before="0" w:after="80" w:line="276" w:lineRule="auto"/>
      </w:pPr>
      <w:r>
        <w:rPr>
          <w:rFonts w:ascii="Calibri" w:hAnsi="Calibri"/>
          <w:b w:val="0"/>
          <w:i w:val="0"/>
          <w:color w:val="333333"/>
          <w:sz w:val="22"/>
        </w:rPr>
      </w:r>
      <w:commentRangeStart w:id="14"/>
      <w:r>
        <w:rPr>
          <w:rFonts w:ascii="Calibri" w:hAnsi="Calibri"/>
          <w:color w:val="333333"/>
          <w:sz w:val="22"/>
        </w:rPr>
        <w:t xml:space="preserve">Phase II: Architectural Model Selection: Match operational requirements against the Service and Deployment Matrices. Select local hyperscaler availability zones (AWS Cape Town or Azure Johannesburg) and mandate offline-first caching for essential SaaS/POS applications. </w:t>
      </w:r>
      <w:commentRangeEnd w:id="14"/>
      <w:r>
        <w:commentReference w:id="14"/>
      </w:r>
    </w:p>
    <w:p>
      <w:pPr>
        <w:spacing w:before="0" w:after="80" w:line="276" w:lineRule="auto"/>
      </w:pPr>
      <w:r>
        <w:rPr>
          <w:rFonts w:ascii="Calibri" w:hAnsi="Calibri"/>
          <w:b w:val="0"/>
          <w:i w:val="0"/>
          <w:color w:val="333333"/>
          <w:sz w:val="22"/>
        </w:rPr>
      </w:r>
      <w:commentRangeStart w:id="15"/>
      <w:r>
        <w:rPr>
          <w:rFonts w:ascii="Calibri" w:hAnsi="Calibri"/>
          <w:color w:val="333333"/>
          <w:sz w:val="22"/>
        </w:rPr>
        <w:t xml:space="preserve">Phase III: Local MSP Partnering &amp; SLA Contracting: Outsource cloud configuration and maintenance to accredited South African Managed Service Providers (MSPs). Establish flat-rate Service Level Agreements (SLAs) denominated in South African Rand (ZAR) to neutralize foreign currency exchange risks. </w:t>
      </w:r>
      <w:commentRangeEnd w:id="15"/>
      <w:r>
        <w:commentReference w:id="15"/>
      </w:r>
    </w:p>
    <w:p>
      <w:pPr>
        <w:spacing w:before="0" w:after="160" w:line="276" w:lineRule="auto"/>
      </w:pPr>
      <w:r>
        <w:rPr>
          <w:rFonts w:ascii="Calibri" w:hAnsi="Calibri"/>
          <w:b w:val="0"/>
          <w:i w:val="0"/>
          <w:color w:val="333333"/>
          <w:sz w:val="22"/>
        </w:rPr>
      </w:r>
      <w:commentRangeStart w:id="16"/>
      <w:r>
        <w:rPr>
          <w:rFonts w:ascii="Calibri" w:hAnsi="Calibri"/>
          <w:color w:val="333333"/>
          <w:sz w:val="22"/>
        </w:rPr>
        <w:t xml:space="preserve">Phase IV: Operational Continuity &amp; Load Shedding Failover Training: Train workforce staff on POPIA compliance standards, identity access controls, and execute simulated power/connectivity failover drills to ensure uninterrupted business continuity during load shedding events. </w:t>
      </w:r>
      <w:commentRangeEnd w:id="16"/>
      <w:r>
        <w:commentReference w:id="16"/>
      </w:r>
    </w:p>
    <w:p>
      <w:pPr>
        <w:pStyle w:val="Heading2"/>
      </w:pPr>
      <w:r>
        <w:t>3.8 Identification of Research Gap</w:t>
      </w:r>
    </w:p>
    <w:p>
      <w:r>
        <w:t>A critical evaluation of Table 1 reveals several significant research gaps in the existing body of cloud computing adoption literature. Firstly, the vast majority of TOE-based studies have been conducted within highly stable developing or developed economies (such as Portugal, Malaysia, and Jordan), where a continuous national electricity supply and mature, well-supported legal compliance systems are assumed—conditions that do not reflect the South African context (Adane, 2021:7; Mokwena &amp; Sithole, 2024:30). Secondly, South African scholarship remains highly fragmented, frequently evaluating load shedding, POPIA compliance, and digital skills deficits in isolation rather than through an integrated, systematic theoretical lens (Adane, 2021:7). No evidence-based, contextualised cloud adoption framework specifically tailored to South Africa’s unique regulatory, infrastructural, and economic conditions currently exists. This study directly addresses these gaps by applying a complete TOE framework to synthesize existing empirical research and propose a practical, context-sensitive adoption framework.</w:t>
      </w:r>
    </w:p>
    <w:p>
      <w:r>
        <w:br w:type="page"/>
      </w:r>
    </w:p>
    <w:p>
      <w:pPr>
        <w:pStyle w:val="Heading1"/>
      </w:pPr>
      <w:r>
        <w:t>4. DESIGN, METHODOLOGY AND ETHICS</w:t>
      </w:r>
    </w:p>
    <w:p>
      <w:pPr>
        <w:pStyle w:val="Heading2"/>
      </w:pPr>
      <w:r>
        <w:t>4.1 Research Design</w:t>
      </w:r>
    </w:p>
    <w:p>
      <w:r>
        <w:t>The research design selected for this study is a **Systematic Literature Review (SLR)** conducted in strict accordance with the **PRISMA 2020 (Preferred Reporting Items for Systematic Reviews and Meta-Analyses) statement** (Page et al., 2021:Article n71). An SLR is the optimal design for resolving multi-dimensional adoption barriers by consolidating and critically synthesizing fragmented empirical findings into a unified theoretical framework. This design evaluates technology implementation not as a purely technical event, but as a complex **sociotechnical process** embedded within localized organisational limits and shifting institutional realities, such as electricity supply disruptions and POPIA regulatory constraints (Tornatzky &amp; Fleischer, 1990:152; Mohlameane &amp; Ruxwana, 2020:4). By adhering to a highly structured PRISMA-compliant selection protocol, the study eliminates selection bias, ensures transparency, and establishes a highly replicable research trail.</w:t>
      </w:r>
    </w:p>
    <w:p>
      <w:pPr>
        <w:pStyle w:val="Heading2"/>
      </w:pPr>
      <w:r>
        <w:t>4.2 Research Methods and Data Sources</w:t>
      </w:r>
    </w:p>
    <w:p>
      <w:r>
        <w:t>To gather a comprehensive, multi-disciplinary body of scholarly literature, the systematic search is executed across **eight major academic databases**: **Scopus, Web of Science, IEEE Xplore, ACM Digital Library, ScienceDirect, SpringerLink, Google Scholar, and MDPI** (Mkhize et al., 2025:5; businesses-05-00023, 2025:8). To isolate literature that specifically combines cloud configurations, SMEs, the TOE model, and the South African or developing-economy context, the database searches are executed using a precise Boolean search string across the title, abstract, and keyword fields:</w:t>
        <w:br/>
        <w:br/>
        <w:t>*(“cloud computing adoption” OR “cloud adoption”) AND (“SMEs” OR “small and medium enterprises” OR “SMMEs” OR “small businesses”) AND (“Technology Organisation Environment” OR “TOE framework”) AND (“South Africa” OR “developing economy” OR “developing nations”)*</w:t>
      </w:r>
    </w:p>
    <w:p>
      <w:r>
        <w:t>To demonstrate the active progression of the study's data collection phase, an initial search has already been successfully executed within the Scopus database (logged on 03 September 2026), yielding an initial pool of **432 documents**. Upon applying database-level filters—restricting the results strictly to English-language publications, empirical articles or conference proceedings, and a temporal publication window of **2020 to 2026** (to ensure relevance to the post-POPIA regulatory era)—the pool was refined to exactly **317 highly targeted records**. These 317 records have been exported as a `.ris` file for deduplication and screening. This precise, recorded search trail will be executed across the remaining seven databases to establish a comprehensive search registry.</w:t>
      </w:r>
    </w:p>
    <w:p>
      <w:pPr>
        <w:pStyle w:val="Heading2"/>
      </w:pPr>
      <w:r>
        <w:t>4.3 Study Selection and Inclusion/Exclusion Criteria</w:t>
      </w:r>
    </w:p>
    <w:p>
      <w:r>
        <w:t>To filter the search results and ensure that only methodologically sound and highly relevant studies are included in the final review, a set of inclusion and exclusion criteria is established. Table 2 tabulates the exact operational boundaries applied during the screening process.</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002060"/>
            <w:tcMar>
              <w:top w:w="100" w:type="dxa"/>
              <w:bottom w:w="100" w:type="dxa"/>
              <w:left w:w="100" w:type="dxa"/>
              <w:right w:w="100" w:type="dxa"/>
            </w:tcMar>
          </w:tcPr>
          <w:p>
            <w:r>
              <w:rPr>
                <w:b/>
                <w:color w:val="FFFFFF"/>
              </w:rPr>
              <w:t>Variable</w:t>
            </w:r>
          </w:p>
        </w:tc>
        <w:tc>
          <w:tcPr>
            <w:tcW w:type="dxa" w:w="3888"/>
            <w:shd w:fill="002060"/>
            <w:tcMar>
              <w:top w:w="100" w:type="dxa"/>
              <w:bottom w:w="100" w:type="dxa"/>
              <w:left w:w="100" w:type="dxa"/>
              <w:right w:w="100" w:type="dxa"/>
            </w:tcMar>
          </w:tcPr>
          <w:p>
            <w:r>
              <w:rPr>
                <w:b/>
                <w:color w:val="FFFFFF"/>
              </w:rPr>
              <w:t>Inclusion Criteria</w:t>
            </w:r>
          </w:p>
        </w:tc>
        <w:tc>
          <w:tcPr>
            <w:tcW w:type="dxa" w:w="3888"/>
            <w:shd w:fill="002060"/>
            <w:tcMar>
              <w:top w:w="100" w:type="dxa"/>
              <w:bottom w:w="100" w:type="dxa"/>
              <w:left w:w="100" w:type="dxa"/>
              <w:right w:w="100" w:type="dxa"/>
            </w:tcMar>
          </w:tcPr>
          <w:p>
            <w:r>
              <w:rPr>
                <w:b/>
                <w:color w:val="FFFFFF"/>
              </w:rPr>
              <w:t>Exclusion Criteria</w:t>
            </w:r>
          </w:p>
        </w:tc>
      </w:tr>
      <w:tr>
        <w:tc>
          <w:tcPr>
            <w:tcW w:type="dxa" w:w="2160"/>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shd w:fill="F2F5F8"/>
          </w:tcPr>
          <w:p>
            <w:pPr>
              <w:spacing w:after="40"/>
            </w:pPr>
            <w:r>
              <w:t>Publication Window</w:t>
            </w:r>
          </w:p>
        </w:tc>
        <w:tc>
          <w:tcPr>
            <w:tcW w:type="dxa" w:w="3888"/>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shd w:fill="F2F5F8"/>
          </w:tcPr>
          <w:p>
            <w:pPr>
              <w:spacing w:after="40"/>
            </w:pPr>
            <w:r>
              <w:t>Studies published between 2020 and 2026.</w:t>
            </w:r>
          </w:p>
        </w:tc>
        <w:tc>
          <w:tcPr>
            <w:tcW w:type="dxa" w:w="3888"/>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shd w:fill="F2F5F8"/>
          </w:tcPr>
          <w:p>
            <w:pPr>
              <w:spacing w:after="40"/>
            </w:pPr>
            <w:r>
              <w:t>Studies published prior to 2020.</w:t>
            </w:r>
          </w:p>
        </w:tc>
      </w:tr>
      <w:tr>
        <w:tc>
          <w:tcPr>
            <w:tcW w:type="dxa" w:w="2160"/>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tcPr>
          <w:p>
            <w:pPr>
              <w:spacing w:after="40"/>
            </w:pPr>
            <w:r>
              <w:t>Language</w:t>
            </w:r>
          </w:p>
        </w:tc>
        <w:tc>
          <w:tcPr>
            <w:tcW w:type="dxa" w:w="3888"/>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tcPr>
          <w:p>
            <w:pPr>
              <w:spacing w:after="40"/>
            </w:pPr>
            <w:r>
              <w:t>English-language publications only.</w:t>
            </w:r>
          </w:p>
        </w:tc>
        <w:tc>
          <w:tcPr>
            <w:tcW w:type="dxa" w:w="3888"/>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tcPr>
          <w:p>
            <w:pPr>
              <w:spacing w:after="40"/>
            </w:pPr>
            <w:r>
              <w:t>All non-English language publications.</w:t>
            </w:r>
          </w:p>
        </w:tc>
      </w:tr>
      <w:tr>
        <w:tc>
          <w:tcPr>
            <w:tcW w:type="dxa" w:w="2160"/>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shd w:fill="F2F5F8"/>
          </w:tcPr>
          <w:p>
            <w:pPr>
              <w:spacing w:after="40"/>
            </w:pPr>
            <w:r>
              <w:t>Document Type</w:t>
            </w:r>
          </w:p>
        </w:tc>
        <w:tc>
          <w:tcPr>
            <w:tcW w:type="dxa" w:w="3888"/>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shd w:fill="F2F5F8"/>
          </w:tcPr>
          <w:p>
            <w:pPr>
              <w:spacing w:after="40"/>
            </w:pPr>
            <w:r>
              <w:t>Peer-reviewed journal articles, conference proceedings, and accredited master's or doctoral theses.</w:t>
            </w:r>
          </w:p>
        </w:tc>
        <w:tc>
          <w:tcPr>
            <w:tcW w:type="dxa" w:w="3888"/>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shd w:fill="F2F5F8"/>
          </w:tcPr>
          <w:p>
            <w:pPr>
              <w:spacing w:after="40"/>
            </w:pPr>
            <w:r>
              <w:t>Editorials, blogs, book reviews, non-peer-reviewed white papers, opinion pieces, or reports.</w:t>
            </w:r>
          </w:p>
        </w:tc>
      </w:tr>
      <w:tr>
        <w:tc>
          <w:tcPr>
            <w:tcW w:type="dxa" w:w="2160"/>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tcPr>
          <w:p>
            <w:pPr>
              <w:spacing w:after="40"/>
            </w:pPr>
            <w:r>
              <w:t>Thematic Focus</w:t>
            </w:r>
          </w:p>
        </w:tc>
        <w:tc>
          <w:tcPr>
            <w:tcW w:type="dxa" w:w="3888"/>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tcPr>
          <w:p>
            <w:pPr>
              <w:spacing w:after="40"/>
            </w:pPr>
            <w:r>
              <w:t>Empirical studies evaluating cloud computing adoption specifically through the TOE framework.</w:t>
            </w:r>
          </w:p>
        </w:tc>
        <w:tc>
          <w:tcPr>
            <w:tcW w:type="dxa" w:w="3888"/>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tcPr>
          <w:p>
            <w:pPr>
              <w:spacing w:after="40"/>
            </w:pPr>
            <w:r>
              <w:t>Studies on unrelated sectors, non-cloud ICT architectures, or disconnected information systems models.</w:t>
            </w:r>
          </w:p>
        </w:tc>
      </w:tr>
      <w:tr>
        <w:tc>
          <w:tcPr>
            <w:tcW w:type="dxa" w:w="2160"/>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shd w:fill="F2F5F8"/>
          </w:tcPr>
          <w:p>
            <w:pPr>
              <w:spacing w:after="40"/>
            </w:pPr>
            <w:r>
              <w:t>Geographic Scope</w:t>
            </w:r>
          </w:p>
        </w:tc>
        <w:tc>
          <w:tcPr>
            <w:tcW w:type="dxa" w:w="3888"/>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shd w:fill="F2F5F8"/>
          </w:tcPr>
          <w:p>
            <w:pPr>
              <w:spacing w:after="40"/>
            </w:pPr>
            <w:r>
              <w:t>Research localized to South Africa or comparable developing and emerging economies.</w:t>
            </w:r>
          </w:p>
        </w:tc>
        <w:tc>
          <w:tcPr>
            <w:tcW w:type="dxa" w:w="3888"/>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shd w:fill="F2F5F8"/>
          </w:tcPr>
          <w:p>
            <w:pPr>
              <w:spacing w:after="40"/>
            </w:pPr>
            <w:r>
              <w:t>High-income, highly developed Western or Asian market studies (e.g., USA, UK, Japan).</w:t>
            </w:r>
          </w:p>
        </w:tc>
      </w:tr>
    </w:tbl>
    <w:p/>
    <w:p>
      <w:r>
        <w:t>The screening workflow progresses systematically through three sequential phases. First, duplicates are automatically identified and removed across the databases. Second, the researcher conducts a title and abstract screen to eliminate papers that do not align with the core thematic focus or geographic scope. Third, full-text versions of the remaining papers are retrieved and evaluated in detail against the complete inclusion criteria to determine final eligibility. All exclusion decisions at this final stage are formally documented with justifications, as required by the PRISMA 2020 protocol (Page et al., 2021:Article n71).</w:t>
      </w:r>
    </w:p>
    <w:p>
      <w:pPr>
        <w:pStyle w:val="Heading2"/>
      </w:pPr>
      <w:r>
        <w:t>4.4 Quality Appraisal (MMAT Framework)</w:t>
      </w:r>
    </w:p>
    <w:p>
      <w:r>
        <w:t>Every study meeting the inclusion criteria is subjected to a formal quality appraisal using the **Mixed Methods Appraisal Tool (MMAT) Version 2018** (Hong et al., 2018:285). The MMAT is a standardized instrument designed to evaluate the methodological quality of qualitative, quantitative descriptive, quantitative non-randomized, and mixed-methods studies. The appraisal begins by evaluating two screening questions: (1) Are there clear research questions? and (2) Do the collected data allow for addressing the research questions? If a study satisfies both screening questions, it is evaluated against five design-specific criteria (e.g., for quantitative descriptive studies: sampling strategy appropriateness, sample representativeness, measurement validity, low risk of bias, and statistical analysis appropriateness) (Hong et al., 2018:286).</w:t>
      </w:r>
    </w:p>
    <w:p>
      <w:r>
        <w:t>Each criteria is rated as 'Yes' (1 point), 'No' (0 points), or 'Can't tell' (0 points), resulting in an overall methodological quality score out of 5 (expressed as a percentage). Based on this score, studies are categorized into **Quality Ratings**: High Methodological Quality (80%-100%, 4-5 points), Moderate Methodological Quality (60%, 3 points), and Low Methodological Quality (&lt;60%, under 3 points). To safeguard the scientific validity of the final framework, studies scoring under 60% are excluded from the review, ensuring that the theoretical synthesis is grounded exclusively in highly rigorous empirical evidence.</w:t>
      </w:r>
    </w:p>
    <w:p>
      <w:pPr>
        <w:pStyle w:val="Heading2"/>
      </w:pPr>
      <w:r>
        <w:t>4.5 Data Extraction and Synthesis Methods</w:t>
      </w:r>
    </w:p>
    <w:p>
      <w:r>
        <w:t>To ensure a highly structured and transparent data collection process, a formal data extraction matrix is established. Table 3 outlines the precise Variable Data Collection parameters extracted from each eligible study.</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002060"/>
            <w:tcMar>
              <w:top w:w="100" w:type="dxa"/>
              <w:bottom w:w="100" w:type="dxa"/>
              <w:left w:w="100" w:type="dxa"/>
              <w:right w:w="100" w:type="dxa"/>
            </w:tcMar>
          </w:tcPr>
          <w:p>
            <w:r>
              <w:rPr>
                <w:b/>
                <w:color w:val="FFFFFF"/>
              </w:rPr>
              <w:t>Domain</w:t>
            </w:r>
          </w:p>
        </w:tc>
        <w:tc>
          <w:tcPr>
            <w:tcW w:type="dxa" w:w="3888"/>
            <w:shd w:fill="002060"/>
            <w:tcMar>
              <w:top w:w="100" w:type="dxa"/>
              <w:bottom w:w="100" w:type="dxa"/>
              <w:left w:w="100" w:type="dxa"/>
              <w:right w:w="100" w:type="dxa"/>
            </w:tcMar>
          </w:tcPr>
          <w:p>
            <w:r>
              <w:rPr>
                <w:b/>
                <w:color w:val="FFFFFF"/>
              </w:rPr>
              <w:t>Data Extraction Parameters</w:t>
            </w:r>
          </w:p>
        </w:tc>
        <w:tc>
          <w:tcPr>
            <w:tcW w:type="dxa" w:w="3888"/>
            <w:shd w:fill="002060"/>
            <w:tcMar>
              <w:top w:w="100" w:type="dxa"/>
              <w:bottom w:w="100" w:type="dxa"/>
              <w:left w:w="100" w:type="dxa"/>
              <w:right w:w="100" w:type="dxa"/>
            </w:tcMar>
          </w:tcPr>
          <w:p>
            <w:r>
              <w:rPr>
                <w:b/>
                <w:color w:val="FFFFFF"/>
              </w:rPr>
              <w:t>Socio-Technical Relevance Check</w:t>
            </w:r>
          </w:p>
        </w:tc>
      </w:tr>
      <w:tr>
        <w:tc>
          <w:tcPr>
            <w:tcW w:type="dxa" w:w="2160"/>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shd w:fill="F2F5F8"/>
          </w:tcPr>
          <w:p>
            <w:pPr>
              <w:spacing w:after="40"/>
            </w:pPr>
            <w:r>
              <w:t>Bibliographic Data</w:t>
            </w:r>
          </w:p>
        </w:tc>
        <w:tc>
          <w:tcPr>
            <w:tcW w:type="dxa" w:w="3888"/>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shd w:fill="F2F5F8"/>
          </w:tcPr>
          <w:p>
            <w:pPr>
              <w:spacing w:after="40"/>
            </w:pPr>
            <w:r>
              <w:t>Title, Lead Author, Year, Online Database, and Journal Name.</w:t>
            </w:r>
          </w:p>
        </w:tc>
        <w:tc>
          <w:tcPr>
            <w:tcW w:type="dxa" w:w="3888"/>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shd w:fill="F2F5F8"/>
          </w:tcPr>
          <w:p>
            <w:pPr>
              <w:spacing w:after="40"/>
            </w:pPr>
            <w:r>
              <w:t>Tracks academic authority and publication recency (2020-2026 temporal boundary).</w:t>
            </w:r>
          </w:p>
        </w:tc>
      </w:tr>
      <w:tr>
        <w:tc>
          <w:tcPr>
            <w:tcW w:type="dxa" w:w="2160"/>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tcPr>
          <w:p>
            <w:pPr>
              <w:spacing w:after="40"/>
            </w:pPr>
            <w:r>
              <w:t>SME Study Context</w:t>
            </w:r>
          </w:p>
        </w:tc>
        <w:tc>
          <w:tcPr>
            <w:tcW w:type="dxa" w:w="3888"/>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tcPr>
          <w:p>
            <w:pPr>
              <w:spacing w:after="40"/>
            </w:pPr>
            <w:r>
              <w:t>Geographic Location, SME Industry Sector (manufacturing, ICT, finance), Sample Size, and Respondent Profiles.</w:t>
            </w:r>
          </w:p>
        </w:tc>
        <w:tc>
          <w:tcPr>
            <w:tcW w:type="dxa" w:w="3888"/>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tcPr>
          <w:p>
            <w:pPr>
              <w:spacing w:after="40"/>
            </w:pPr>
            <w:r>
              <w:t>Verifies developing-economy context and small business characteristics (under 200 employees).</w:t>
            </w:r>
          </w:p>
        </w:tc>
      </w:tr>
      <w:tr>
        <w:tc>
          <w:tcPr>
            <w:tcW w:type="dxa" w:w="2160"/>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shd w:fill="F2F5F8"/>
          </w:tcPr>
          <w:p>
            <w:pPr>
              <w:spacing w:after="40"/>
            </w:pPr>
            <w:r>
              <w:t>Technical Model</w:t>
            </w:r>
          </w:p>
        </w:tc>
        <w:tc>
          <w:tcPr>
            <w:tcW w:type="dxa" w:w="3888"/>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shd w:fill="F2F5F8"/>
          </w:tcPr>
          <w:p>
            <w:pPr>
              <w:spacing w:after="40"/>
            </w:pPr>
            <w:r>
              <w:t>Cloud Service Model (SaaS, PaaS, IaaS) and Cloud Deployment Model (Public, Private, Hybrid).</w:t>
            </w:r>
          </w:p>
        </w:tc>
        <w:tc>
          <w:tcPr>
            <w:tcW w:type="dxa" w:w="3888"/>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shd w:fill="F2F5F8"/>
          </w:tcPr>
          <w:p>
            <w:pPr>
              <w:spacing w:after="40"/>
            </w:pPr>
            <w:r>
              <w:t>Identifies specific cloud configurations analyzed and maps them to SME requirements.</w:t>
            </w:r>
          </w:p>
        </w:tc>
      </w:tr>
      <w:tr>
        <w:tc>
          <w:tcPr>
            <w:tcW w:type="dxa" w:w="2160"/>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tcPr>
          <w:p>
            <w:pPr>
              <w:spacing w:after="40"/>
            </w:pPr>
            <w:r>
              <w:t>TOE Dimensions</w:t>
            </w:r>
          </w:p>
        </w:tc>
        <w:tc>
          <w:tcPr>
            <w:tcW w:type="dxa" w:w="3888"/>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tcPr>
          <w:p>
            <w:pPr>
              <w:spacing w:after="40"/>
            </w:pPr>
            <w:r>
              <w:t>Technological Context (advantage, complexity, security), Organisational Context (readiness, top management support), Environmental Context (rivals, support).</w:t>
            </w:r>
          </w:p>
        </w:tc>
        <w:tc>
          <w:tcPr>
            <w:tcW w:type="dxa" w:w="3888"/>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tcPr>
          <w:p>
            <w:pPr>
              <w:spacing w:after="40"/>
            </w:pPr>
            <w:r>
              <w:t>Classifies adoption drivers and barriers into Tornatzky and Fleischer’s (1990) standard dimensions.</w:t>
            </w:r>
          </w:p>
        </w:tc>
      </w:tr>
      <w:tr>
        <w:tc>
          <w:tcPr>
            <w:tcW w:type="dxa" w:w="2160"/>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shd w:fill="F2F5F8"/>
          </w:tcPr>
          <w:p>
            <w:pPr>
              <w:spacing w:after="40"/>
            </w:pPr>
            <w:r>
              <w:t>Socio-Technical Limits</w:t>
            </w:r>
          </w:p>
        </w:tc>
        <w:tc>
          <w:tcPr>
            <w:tcW w:type="dxa" w:w="3888"/>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shd w:fill="F2F5F8"/>
          </w:tcPr>
          <w:p>
            <w:pPr>
              <w:spacing w:after="40"/>
            </w:pPr>
            <w:r>
              <w:t>Load Shedding Constraints, POPIA / Data Privacy compliance, cellular data costs, and Digital Literacy barriers.</w:t>
            </w:r>
          </w:p>
        </w:tc>
        <w:tc>
          <w:tcPr>
            <w:tcW w:type="dxa" w:w="3888"/>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shd w:fill="F2F5F8"/>
          </w:tcPr>
          <w:p>
            <w:pPr>
              <w:spacing w:after="40"/>
            </w:pPr>
            <w:r>
              <w:t>Captures South Africa's unique infrastructural and regulatory hurdles to address the research gap.</w:t>
            </w:r>
          </w:p>
        </w:tc>
      </w:tr>
    </w:tbl>
    <w:p/>
    <w:p>
      <w:r>
        <w:t>The qualitative and quantitative findings extracted from the selected literature will be synthesized using **Thematic Synthesis** following the methodology of Thomas and Harden (2008). The synthesis progresses through three analytical stages: (1) the line-by-line coding of direct paragraph extractions, (2) the grouping of codes to develop descriptive themes, and (3) the generation of analytical themes. These analytical themes are mapped directly onto the Technological, Organisational, and Environmental dimensions of the TOE framework, enabling the researcher to build the contextualised cloud adoption framework for South African SMEs.</w:t>
      </w:r>
    </w:p>
    <w:p>
      <w:pPr>
        <w:pStyle w:val="Heading2"/>
      </w:pPr>
      <w:r>
        <w:t>4.6 Ethical Considerations</w:t>
      </w:r>
    </w:p>
    <w:p>
      <w:r>
        <w:t>Because this research is a systematic literature review utilizing exclusively published, secondary scientific sources, there are no risks to human participants. The researcher will submit a formal application to the CPUT Departmental Ethics Committee (under Dr. Kabaso) to secure a formal **Ethical Clearance Exemption**. To maintain academic integrity and prevent plagiarism, a strict referencing standard will be maintained, utilizing the CPUT Harvard style. The document will be analyzed using SafeAssign to ensure similarity indices remain well below CPUT's maximum similarity threshold of 15 percent.</w:t>
        <w:br/>
        <w:br/>
        <w:t>In alignment with CPUT’s institutional mandate to join the global **'open data' movement**, the researcher commits to archiving all extracted data, screening sheets, and original PDF articles within a secure, highly organized local project directory (e.g., `/Articles/ART-xxx_Author_Year.pdf`), which will be submitted on Blackboard upon final project delivery to ensure full auditability. Crucially, CPUT retains joint intellectual property ownership over the resultant adoption framework, which will be formally licensed under the open-source **GNU General Public License (GPL) version 3.0** (Section F compliance) to ensure broad public accessibility and assist small business support agencies in modernizing SMMEs.</w:t>
      </w:r>
    </w:p>
    <w:p>
      <w:r>
        <w:br w:type="page"/>
      </w:r>
    </w:p>
    <w:p>
      <w:pPr>
        <w:pStyle w:val="Heading1"/>
      </w:pPr>
      <w:r>
        <w:t>5. DELINEATION, SCOPE AND TIMELINE</w:t>
      </w:r>
    </w:p>
    <w:p>
      <w:r>
        <w:t>The scope of this study is strictly delineated to formal South African SMEs employing fewer than 200 individuals, in strict compliance with the thresholds established by the National Small Business Act (Act 102 of 1996, as amended) (DSBD, 2023:14). Geographically, the study focuses on factors relevant to the South African business environment, specifically local regulatory frameworks (POPIA) and infrastructural conditions (load shedding). Technologically, the review evaluates configurations across the three primary service models (SaaS, PaaS, IaaS) and deployment options (public, private, hybrid), using only the standard constructs of the TOE framework (relative advantage, compatibility, complexity, management support, readiness, competitive pressure, regulatory support, and infrastructure constraints).</w:t>
      </w:r>
    </w:p>
    <w:p>
      <w:r>
        <w:t>To ensure the timely and successful completion of the research within the academic year, the project progresses according to a highly structured schedule. Table 4 presents the detailed Project Gantt Schedule and Milestone Breakdown.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002060"/>
            <w:tcMar>
              <w:top w:w="100" w:type="dxa"/>
              <w:bottom w:w="100" w:type="dxa"/>
              <w:left w:w="100" w:type="dxa"/>
              <w:right w:w="100" w:type="dxa"/>
            </w:tcMar>
          </w:tcPr>
          <w:p>
            <w:r>
              <w:rPr>
                <w:b/>
                <w:color w:val="FFFFFF"/>
              </w:rPr>
              <w:t>Academic Phase</w:t>
            </w:r>
          </w:p>
        </w:tc>
        <w:tc>
          <w:tcPr>
            <w:tcW w:type="dxa" w:w="3888"/>
            <w:shd w:fill="002060"/>
            <w:tcMar>
              <w:top w:w="100" w:type="dxa"/>
              <w:bottom w:w="100" w:type="dxa"/>
              <w:left w:w="100" w:type="dxa"/>
              <w:right w:w="100" w:type="dxa"/>
            </w:tcMar>
          </w:tcPr>
          <w:p>
            <w:r>
              <w:rPr>
                <w:b/>
                <w:color w:val="FFFFFF"/>
              </w:rPr>
              <w:t>Core Activities &amp; Operations</w:t>
            </w:r>
          </w:p>
        </w:tc>
        <w:tc>
          <w:tcPr>
            <w:tcW w:type="dxa" w:w="1872"/>
            <w:shd w:fill="002060"/>
            <w:tcMar>
              <w:top w:w="100" w:type="dxa"/>
              <w:bottom w:w="100" w:type="dxa"/>
              <w:left w:w="100" w:type="dxa"/>
              <w:right w:w="100" w:type="dxa"/>
            </w:tcMar>
          </w:tcPr>
          <w:p>
            <w:r>
              <w:rPr>
                <w:b/>
                <w:color w:val="FFFFFF"/>
              </w:rPr>
              <w:t>Target Completion Date</w:t>
            </w:r>
          </w:p>
        </w:tc>
        <w:tc>
          <w:tcPr>
            <w:tcW w:type="dxa" w:w="2160"/>
            <w:shd w:fill="002060"/>
            <w:tcMar>
              <w:top w:w="100" w:type="dxa"/>
              <w:bottom w:w="100" w:type="dxa"/>
              <w:left w:w="100" w:type="dxa"/>
              <w:right w:w="100" w:type="dxa"/>
            </w:tcMar>
          </w:tcPr>
          <w:p>
            <w:r>
              <w:rPr>
                <w:b/>
                <w:color w:val="FFFFFF"/>
              </w:rPr>
              <w:t>Deliverable &amp; Output</w:t>
            </w:r>
          </w:p>
        </w:tc>
      </w:tr>
      <w:tr>
        <w:tc>
          <w:tcPr>
            <w:tcW w:type="dxa" w:w="2160"/>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shd w:fill="F2F5F8"/>
          </w:tcPr>
          <w:p>
            <w:pPr>
              <w:spacing w:after="40"/>
            </w:pPr>
            <w:r>
              <w:t>Phase 1: Proposal</w:t>
            </w:r>
          </w:p>
        </w:tc>
        <w:tc>
          <w:tcPr>
            <w:tcW w:type="dxa" w:w="3888"/>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shd w:fill="F2F5F8"/>
          </w:tcPr>
          <w:p>
            <w:pPr>
              <w:spacing w:after="40"/>
            </w:pPr>
            <w:r>
              <w:t>Draft and submit research proposal, secure department ethical clearance exemption.</w:t>
            </w:r>
          </w:p>
        </w:tc>
        <w:tc>
          <w:tcPr>
            <w:tcW w:type="dxa" w:w="1872"/>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shd w:fill="F2F5F8"/>
          </w:tcPr>
          <w:p>
            <w:pPr>
              <w:spacing w:after="40"/>
            </w:pPr>
            <w:r>
              <w:t>June 2026</w:t>
            </w:r>
          </w:p>
        </w:tc>
        <w:tc>
          <w:tcPr>
            <w:tcW w:type="dxa" w:w="2160"/>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shd w:fill="F2F5F8"/>
          </w:tcPr>
          <w:p>
            <w:pPr>
              <w:spacing w:after="40"/>
            </w:pPr>
            <w:r>
              <w:t>Approved Proposal V3 &amp; Exemption Form</w:t>
            </w:r>
          </w:p>
        </w:tc>
      </w:tr>
      <w:tr>
        <w:tc>
          <w:tcPr>
            <w:tcW w:type="dxa" w:w="2160"/>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tcPr>
          <w:p>
            <w:pPr>
              <w:spacing w:after="40"/>
            </w:pPr>
            <w:r>
              <w:t>Phase 2: Search</w:t>
            </w:r>
          </w:p>
        </w:tc>
        <w:tc>
          <w:tcPr>
            <w:tcW w:type="dxa" w:w="3888"/>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tcPr>
          <w:p>
            <w:pPr>
              <w:spacing w:after="40"/>
            </w:pPr>
            <w:r>
              <w:t>Execute Boolean search query across eight databases, remove duplicates, abstract screen.</w:t>
            </w:r>
          </w:p>
        </w:tc>
        <w:tc>
          <w:tcPr>
            <w:tcW w:type="dxa" w:w="1872"/>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tcPr>
          <w:p>
            <w:pPr>
              <w:spacing w:after="40"/>
            </w:pPr>
            <w:r>
              <w:t>August 2026</w:t>
            </w:r>
          </w:p>
        </w:tc>
        <w:tc>
          <w:tcPr>
            <w:tcW w:type="dxa" w:w="2160"/>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tcPr>
          <w:p>
            <w:pPr>
              <w:spacing w:after="40"/>
            </w:pPr>
            <w:r>
              <w:t>PRISMA Search Log &amp; Screener Sheet</w:t>
            </w:r>
          </w:p>
        </w:tc>
      </w:tr>
      <w:tr>
        <w:tc>
          <w:tcPr>
            <w:tcW w:type="dxa" w:w="2160"/>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shd w:fill="F2F5F8"/>
          </w:tcPr>
          <w:p>
            <w:pPr>
              <w:spacing w:after="40"/>
            </w:pPr>
            <w:r>
              <w:t>Phase 3: Appraisal</w:t>
            </w:r>
          </w:p>
        </w:tc>
        <w:tc>
          <w:tcPr>
            <w:tcW w:type="dxa" w:w="3888"/>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shd w:fill="F2F5F8"/>
          </w:tcPr>
          <w:p>
            <w:pPr>
              <w:spacing w:after="40"/>
            </w:pPr>
            <w:r>
              <w:t>Retrieve full-text papers, evaluate study quality using MMAT checklist, extract data.</w:t>
            </w:r>
          </w:p>
        </w:tc>
        <w:tc>
          <w:tcPr>
            <w:tcW w:type="dxa" w:w="1872"/>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shd w:fill="F2F5F8"/>
          </w:tcPr>
          <w:p>
            <w:pPr>
              <w:spacing w:after="40"/>
            </w:pPr>
            <w:r>
              <w:t>September 2026</w:t>
            </w:r>
          </w:p>
        </w:tc>
        <w:tc>
          <w:tcPr>
            <w:tcW w:type="dxa" w:w="2160"/>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shd w:fill="F2F5F8"/>
          </w:tcPr>
          <w:p>
            <w:pPr>
              <w:spacing w:after="40"/>
            </w:pPr>
            <w:r>
              <w:t>Quality Appraisal Matrix</w:t>
            </w:r>
          </w:p>
        </w:tc>
      </w:tr>
      <w:tr>
        <w:tc>
          <w:tcPr>
            <w:tcW w:type="dxa" w:w="2160"/>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tcPr>
          <w:p>
            <w:pPr>
              <w:spacing w:after="40"/>
            </w:pPr>
            <w:r>
              <w:t>Phase 4: Synthesis</w:t>
            </w:r>
          </w:p>
        </w:tc>
        <w:tc>
          <w:tcPr>
            <w:tcW w:type="dxa" w:w="3888"/>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tcPr>
          <w:p>
            <w:pPr>
              <w:spacing w:after="40"/>
            </w:pPr>
            <w:r>
              <w:t>Conduct thematic analysis of extracted factors, design the contextualised TOE framework.</w:t>
            </w:r>
          </w:p>
        </w:tc>
        <w:tc>
          <w:tcPr>
            <w:tcW w:type="dxa" w:w="1872"/>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tcPr>
          <w:p>
            <w:pPr>
              <w:spacing w:after="40"/>
            </w:pPr>
            <w:r>
              <w:t>September 2026</w:t>
            </w:r>
          </w:p>
        </w:tc>
        <w:tc>
          <w:tcPr>
            <w:tcW w:type="dxa" w:w="2160"/>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tcPr>
          <w:p>
            <w:pPr>
              <w:spacing w:after="40"/>
            </w:pPr>
            <w:r>
              <w:t>Draft Cloud Adoption Framework</w:t>
            </w:r>
          </w:p>
        </w:tc>
      </w:tr>
      <w:tr>
        <w:tc>
          <w:tcPr>
            <w:tcW w:type="dxa" w:w="2160"/>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shd w:fill="F2F5F8"/>
          </w:tcPr>
          <w:p>
            <w:pPr>
              <w:spacing w:after="40"/>
            </w:pPr>
            <w:r>
              <w:t>Phase 5: Reporting</w:t>
            </w:r>
          </w:p>
        </w:tc>
        <w:tc>
          <w:tcPr>
            <w:tcW w:type="dxa" w:w="3888"/>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shd w:fill="F2F5F8"/>
          </w:tcPr>
          <w:p>
            <w:pPr>
              <w:spacing w:after="40"/>
            </w:pPr>
            <w:r>
              <w:t>Write final technical report, prepare academic poster, deliver oral presentation.</w:t>
            </w:r>
          </w:p>
        </w:tc>
        <w:tc>
          <w:tcPr>
            <w:tcW w:type="dxa" w:w="1872"/>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shd w:fill="F2F5F8"/>
          </w:tcPr>
          <w:p>
            <w:pPr>
              <w:spacing w:after="40"/>
            </w:pPr>
            <w:r>
              <w:t>October 2026</w:t>
            </w:r>
          </w:p>
        </w:tc>
        <w:tc>
          <w:tcPr>
            <w:tcW w:type="dxa" w:w="2160"/>
            <w:tcMar>
              <w:top w:w="80" w:type="dxa"/>
              <w:bottom w:w="80" w:type="dxa"/>
              <w:left w:w="80" w:type="dxa"/>
              <w:right w:w="80" w:type="dxa"/>
            </w:tcMar>
            <w:tcBorders>
              <w:top w:val="single" w:sz="4" w:space="0" w:color="D3D3D3"/>
              <w:left w:val="single" w:sz="4" w:space="0" w:color="D3D3D3"/>
              <w:bottom w:val="single" w:sz="4" w:space="0" w:color="D3D3D3"/>
              <w:right w:val="single" w:sz="4" w:space="0" w:color="D3D3D3"/>
            </w:tcBorders>
            <w:shd w:fill="F2F5F8"/>
          </w:tcPr>
          <w:p>
            <w:pPr>
              <w:spacing w:after="40"/>
            </w:pPr>
            <w:r>
              <w:t>Final Technical Report &amp; Presentation</w:t>
            </w:r>
          </w:p>
        </w:tc>
      </w:tr>
    </w:tbl>
    <w:p>
      <w:r>
        <w:br w:type="page"/>
      </w:r>
    </w:p>
    <w:p>
      <w:pPr>
        <w:pStyle w:val="Heading1"/>
      </w:pPr>
      <w:r>
        <w:t>6. SIGNIFICANCE OF THE STUDY</w:t>
      </w:r>
    </w:p>
    <w:p>
      <w:r>
        <w:t>This study makes two highly interconnected contributions to theory and practice. **Theoretically**, it extends the application of the Technology-Organisation-Environment (TOE) framework into a unique, resource-constrained sub-Saharan African setting characterized by high utility volatility and a recently-enforced, complex data privacy regime (POPIA) (Tornatzky &amp; Fleischer, 1990:152; Mohlameane &amp; Ruxwana, 2020:4). While global TOE-based models treat basic infrastructure as a given and legal compliance as a minor administrative task, this research integrates utility failures (load shedding) and localized regulatory barriers directly into the theoretical model. This addresses the research gap by providing an integrated, socio-technical understanding of SME cloud adoption determinants (Adane, 2021:7).</w:t>
      </w:r>
    </w:p>
    <w:p>
      <w:r>
        <w:t>**Practically**, the resulting cloud adoption framework serves as a strategic, evidence-based tool for multiple stakeholders. For SME owners and managers, the framework provides a structured roadmap to evaluate their organizational readiness, navigate technical complexities, and select legally compliant, affordable cloud service models (SaaS, PaaS, IaaS) (Mkhize et al., 2025:6). For government departments such as the Department of Small Business Development (DSBD), the framework identifies ground-level infrastructural and educational deficits that must be targeted through training programs and digital subsidies. Finally, for cloud service providers, the study offers actionable insights into the unique needs and barriers of local small businesses, enabling them to design highly tailored, affordable hybrid solutions that directly support the National Development Plan (NDP) goal of SME-led economic growth and poverty reduction (DSBD, 2023:12).</w:t>
      </w:r>
    </w:p>
    <w:p>
      <w:r>
        <w:br w:type="page"/>
      </w:r>
    </w:p>
    <w:p>
      <w:pPr>
        <w:pStyle w:val="Heading1"/>
      </w:pPr>
      <w:r>
        <w:t>7. REFERENCES</w:t>
      </w:r>
    </w:p>
    <w:p>
      <w:pPr>
        <w:spacing w:after="120"/>
        <w:ind w:left="720" w:hanging="720"/>
      </w:pPr>
      <w:r>
        <w:t>Abu Bakar, M.R., Mat Razali, N., Ishak, K.K., Ismail, M.N. &amp; Tengku Sembok, T.M. 2024. Adoption of Industry 4.0 with cloud computing as a mediator: evaluation using TOE framework for SMEs. JOIV: International Journal on Informatics Visualization, 8(2):554–563. https://doi.org/10.62527/joiv.8.2.2205</w:t>
      </w:r>
    </w:p>
    <w:p>
      <w:pPr>
        <w:spacing w:after="120"/>
        <w:ind w:left="720" w:hanging="720"/>
      </w:pPr>
      <w:r>
        <w:t>Adane, M. 2018. Cloud computing adoption: strategies for Sub-Saharan Africa SMEs for enhancing competitiveness. Africa Journal of Science, Technology, Innovation and Development, 10(2):197–207. https://doi.org/10.1080/20421338.2018.1439226</w:t>
      </w:r>
    </w:p>
    <w:p>
      <w:pPr>
        <w:spacing w:after="120"/>
        <w:ind w:left="720" w:hanging="720"/>
      </w:pPr>
      <w:r>
        <w:t>Adane, M. 2021. Cloud computing adoption: opportunities and challenges for small, medium and micro enterprises in South Africa. arXiv preprint, arXiv:2108.10079. https://arxiv.org/abs/2108.10079 [12 April 2026].</w:t>
      </w:r>
    </w:p>
    <w:p>
      <w:pPr>
        <w:spacing w:after="120"/>
        <w:ind w:left="720" w:hanging="720"/>
      </w:pPr>
      <w:r>
        <w:t>Ahmad, C.S., Mahomed, A.S.B. &amp; Hashim, H. 2025. Cloud computing adoption in SMEs: exploring IaaS, PaaS and SaaS through a bibliometric study. International Journal of Advanced Research in Science, Communication and Technology, 15(1):1–10. https://www.researchgate.net/publication/388409094 [14 April 2026].</w:t>
      </w:r>
    </w:p>
    <w:p>
      <w:pPr>
        <w:spacing w:after="120"/>
        <w:ind w:left="720" w:hanging="720"/>
      </w:pPr>
      <w:r>
        <w:t>Alshamaila, Y., Papagiannidis, S. &amp; Li, F. 2013. Cloud computing adoption by SMEs in the north east of England: a multi-perspective framework. Journal of Enterprise Information Management, 26(3):250–275. https://doi.org/10.1108/17410391311325225</w:t>
      </w:r>
    </w:p>
    <w:p>
      <w:pPr>
        <w:spacing w:after="120"/>
        <w:ind w:left="720" w:hanging="720"/>
      </w:pPr>
      <w:r>
        <w:t>Davis, F.D. 1989. Perceived usefulness, perceived ease of use, and user acceptance of information technology. MIS Quarterly, 13(3):319–340. https://doi.org/10.2307/249008</w:t>
      </w:r>
    </w:p>
    <w:p>
      <w:pPr>
        <w:spacing w:after="120"/>
        <w:ind w:left="720" w:hanging="720"/>
      </w:pPr>
      <w:r>
        <w:t>DSBD see South Africa. Department of Small Business Development.</w:t>
      </w:r>
    </w:p>
    <w:p>
      <w:pPr>
        <w:spacing w:after="120"/>
        <w:ind w:left="720" w:hanging="720"/>
      </w:pPr>
      <w:r>
        <w:t>Fatoki, O. 2014. The causes of the failure of new small and medium enterprises in South Africa. Mediterranean Journal of Social Sciences, 5(20):922–927. https://doi.org/10.5901/mjss.2014.v5n20p922</w:t>
      </w:r>
    </w:p>
    <w:p>
      <w:pPr>
        <w:spacing w:after="120"/>
        <w:ind w:left="720" w:hanging="720"/>
      </w:pPr>
      <w:r>
        <w:t>FinMark Trust. 2024. FinScope MSME South Africa 2024. Johannesburg: FinMark Trust. https://finmark.org.za/knowledge-hub/articles/finscope-msme-south-africa-2024-key-findings-highlight-urgent-need-for-informal-sector-support [12 April 2026].</w:t>
      </w:r>
    </w:p>
    <w:p>
      <w:pPr>
        <w:spacing w:after="120"/>
        <w:ind w:left="720" w:hanging="720"/>
      </w:pPr>
      <w:r>
        <w:t>Greiner, R. 2014. Windows Azure IaaS vs. PaaS vs. SaaS. Robert Greiner Blog, 18 March. http://robertgreiner.com/2014/03/windows-azure-iaas-paas-saas-overview/ [12 April 2026].</w:t>
      </w:r>
    </w:p>
    <w:p>
      <w:pPr>
        <w:spacing w:after="120"/>
        <w:ind w:left="720" w:hanging="720"/>
      </w:pPr>
      <w:r>
        <w:t>Homan, J. &amp; Beránek, L. 2023. Factors influencing cloud computing adoption by SMEs in the Czech Republic: an empirical analysis using Technology-Organization-Environment framework. Acta Informatica Pragensia, 12(2):296–310. https://doi.org/10.18267/j.aip.210</w:t>
      </w:r>
    </w:p>
    <w:p>
      <w:pPr>
        <w:spacing w:after="120"/>
        <w:ind w:left="720" w:hanging="720"/>
      </w:pPr>
      <w:r>
        <w:t>Hong, Q.N., Fàbregues, S., Bartlett, G., Boardman, F., Cargo, M., Dagenais, P., Gagnon, M., Griffiths, F., Nicolau, B., O'Cathain, A., Rousseau, M., Vedel, I. &amp; Pluye, P. 2018. The Mixed Methods Appraisal Tool (MMAT) version 2018 for information professionals and researchers. Education for Information, 34(4):285–291. https://doi.org/10.3233/EFI-180221</w:t>
      </w:r>
    </w:p>
    <w:p>
      <w:pPr>
        <w:spacing w:after="120"/>
        <w:ind w:left="720" w:hanging="720"/>
      </w:pPr>
      <w:r>
        <w:t>IJSRA. 2024. Reviewing the impact of cloud computing on small and medium enterprises in Africa. International Journal of Science and Research Archive, 11(1):1444–1451. https://ijsra.net/sites/default/files/IJSRA-2024-0236.pdf [12 April 2026].</w:t>
      </w:r>
    </w:p>
    <w:p>
      <w:pPr>
        <w:spacing w:after="120"/>
        <w:ind w:left="720" w:hanging="720"/>
      </w:pPr>
      <w:r>
        <w:t>Ilahi, S., Mohammed, R., Souissi, A., Hamati, M.Y.N. &amp; Smida, R. 2024. Small and medium enterprises (SMEs): key factors affecting the adoption of cloud computing. Saudi Journal of Humanities and Social Sciences, 9(2):55–62. https://saudijournals.com/media/articles/SJHSS_92_55-62.pdf [12 April 2026].</w:t>
      </w:r>
    </w:p>
    <w:p>
      <w:pPr>
        <w:spacing w:after="120"/>
        <w:ind w:left="720" w:hanging="720"/>
      </w:pPr>
      <w:r>
        <w:t>Jayeola, O., Sidek, S., Abd Rahman, A., Mahomed, A.S.B. &amp; Hu, J. 2022. Cloud computing adoption in small and medium enterprises (SMEs): a systematic literature review and directions for future research. International Journal of Business and Society, 23(1):226–243. https://doi.org/10.33736/ijbs.4610.2022</w:t>
      </w:r>
    </w:p>
    <w:p>
      <w:pPr>
        <w:spacing w:after="120"/>
        <w:ind w:left="720" w:hanging="720"/>
      </w:pPr>
      <w:r>
        <w:t>Kondo, N., Oosterwyk, G. &amp; Van Belle, J.-P. 2022. Factors influencing the adoption of Infrastructure as a Service by South African small and medium-sized enterprises. World Conference on Information Systems and Technologies, 253–262. https://doi.org/10.1007/978-3-031-04829-6_25</w:t>
      </w:r>
    </w:p>
    <w:p>
      <w:pPr>
        <w:spacing w:after="120"/>
        <w:ind w:left="720" w:hanging="720"/>
      </w:pPr>
      <w:r>
        <w:t>Li, B. &amp; Kumar, S. 2022. Managing software-as-a-service: pricing and operations. Production and Operations Management, 31(6):2588–2608. https://doi.org/10.1111/poms.13697</w:t>
      </w:r>
    </w:p>
    <w:p>
      <w:pPr>
        <w:spacing w:after="120"/>
        <w:ind w:left="720" w:hanging="720"/>
      </w:pPr>
      <w:r>
        <w:t>McKinsey &amp; Company. 2024. Africa’s leap ahead into cloud: opportunities and barriers. McKinsey Digital, January. https://www.mckinsey.com/capabilities/mckinsey-digital/our-insights/africas-leap-ahead-into-cloud-opportunities-and-barriers [12 April 2026].</w:t>
      </w:r>
    </w:p>
    <w:p>
      <w:pPr>
        <w:spacing w:after="120"/>
        <w:ind w:left="720" w:hanging="720"/>
      </w:pPr>
      <w:r>
        <w:t>Mell, P. &amp; Grance, T. 2011. The NIST definition of cloud computing. NIST Special Publication, SP 800-145:1–7. https://doi.org/10.6028/NIST.SP.800-145</w:t>
      </w:r>
    </w:p>
    <w:p>
      <w:pPr>
        <w:spacing w:after="120"/>
        <w:ind w:left="720" w:hanging="720"/>
      </w:pPr>
      <w:r>
        <w:t>Mkhize, A., Mokhothu, K.D., Tshikhotho, M. &amp; Thango, B.A. 2025. Evaluating the impact of cloud computing on SME performance: a systematic review. Businesses, 5(2):1–56, Article 23. https://doi.org/10.3390/businesses5020023</w:t>
      </w:r>
    </w:p>
    <w:p>
      <w:pPr>
        <w:spacing w:after="120"/>
        <w:ind w:left="720" w:hanging="720"/>
      </w:pPr>
      <w:r>
        <w:t>Mohlameane, M. &amp; Ruxwana, N. 2020. Exploring the impact of cloud computing on existing South African regulatory frameworks. SA Journal of Information Management, 22(1):1–10. https://doi.org/10.4102/sajim.v22i1.1128</w:t>
      </w:r>
    </w:p>
    <w:p>
      <w:pPr>
        <w:spacing w:after="120"/>
        <w:ind w:left="720" w:hanging="720"/>
      </w:pPr>
      <w:r>
        <w:t>Mokwena, J.H. &amp; Fatoki, O. 2024. Barriers of cloud computing adoption by small and medium enterprises in Polokwane Municipality. Journal of Propulsion Technology, 45(2):4625–4633. https://www.propulsiontechjournal.com/index.php/journal/article/download/6674/4364/11469 [12 April 2026].</w:t>
      </w:r>
    </w:p>
    <w:p>
      <w:pPr>
        <w:spacing w:after="120"/>
        <w:ind w:left="720" w:hanging="720"/>
      </w:pPr>
      <w:r>
        <w:t>Mokwena, L. &amp; Sithole, B. 2024. Barriers of cloud computing adoption by SMEs in Polokwane Municipality. Propulsion Technology Journal, 45(2):1–30. [12 April 2026].</w:t>
      </w:r>
    </w:p>
    <w:p>
      <w:pPr>
        <w:spacing w:after="120"/>
        <w:ind w:left="720" w:hanging="720"/>
      </w:pPr>
      <w:r>
        <w:t>Neves, F.T., Marta, F.C., Correia, A.M.R. &amp; Neto, M.D.C. 2011. The adoption of cloud computing by SMEs: identifying and coping with external factors. XI Conferencia de la Asociación de Sistemas de Información, 1–12. https://www.researchgate.net/publication/221650392 [12 April 2026].</w:t>
      </w:r>
    </w:p>
    <w:p>
      <w:pPr>
        <w:spacing w:after="120"/>
        <w:ind w:left="720" w:hanging="720"/>
      </w:pPr>
      <w:r>
        <w:t>Ngo Ndjama, J. &amp; Van der Westhuizen, T. 2024. Strategic IT alignment in South African small and medium-sized enterprises: a review. South African Journal of Business Management, 55(1):600–612. https://doi.org/10.4102/sajbm.v55i1.3400</w:t>
      </w:r>
    </w:p>
    <w:p>
      <w:pPr>
        <w:spacing w:after="120"/>
        <w:ind w:left="720" w:hanging="720"/>
      </w:pPr>
      <w:r>
        <w:t>Ongowarsito, H., Prabowo, H. &amp; Gaol, F.L. 2022. Adoption readiness assessment model based on SaaS maturity level in SMEs. International Journal of Emerging Technology and Advanced Engineering, 12(4):24–31. https://doi.org/10.46338/ijetae0422_03</w:t>
      </w:r>
    </w:p>
    <w:p>
      <w:pPr>
        <w:spacing w:after="120"/>
        <w:ind w:left="720" w:hanging="720"/>
      </w:pPr>
      <w:r>
        <w:t>Page, M.J., McKenzie, J.E., Bossuyt, P.M., Boutron, I., Hoffmann, T.C., Mulrow, C.D., Shamseer, L., Tetzlaff, J.M., Akl, E.A., Brennan, S.E., Chou, R., Glanville, J., Grimshaw, J.M., Hróbjartsson, A., Lalu, M.M., Li, T., Loder, E.W., Mayo-Wilson, E., McDonald, S., McGuinness, L.A., Stewart, L.A., Thomas, J., Tricco, A.C., Welch, V.A., Whiting, P. &amp; Moher, D. 2021. The PRISMA 2020 statement: an updated guideline for reporting systematic reviews. BMJ, 372:Article n71. https://doi.org/10.1136/bmj.n71</w:t>
      </w:r>
    </w:p>
    <w:p>
      <w:pPr>
        <w:spacing w:after="120"/>
        <w:ind w:left="720" w:hanging="720"/>
      </w:pPr>
      <w:r>
        <w:t>Santos, A., Martins, J., Pestana, P., Gonçalves, R., São Mamede, H. &amp; Branco, F. 2023. The antecedents of cloud computing adoption and its consequences for MSMEs’ performance: a model based on the Technology-Organization-Environment (TOE) framework. Cogent Business and Management, 10(2), Article 2220190. https://doi.org/10.1080/23311975.2023.2220190</w:t>
      </w:r>
    </w:p>
    <w:p>
      <w:pPr>
        <w:spacing w:after="120"/>
        <w:ind w:left="720" w:hanging="720"/>
      </w:pPr>
      <w:r>
        <w:t>SEDA see Small Enterprise Development Agency.</w:t>
      </w:r>
    </w:p>
    <w:p>
      <w:pPr>
        <w:spacing w:after="120"/>
        <w:ind w:left="720" w:hanging="720"/>
      </w:pPr>
      <w:r>
        <w:t>Sithole, S.S. &amp; Ruhode, E. 2021. Cloud computing adoption: challenges and opportunities for small, medium and micro enterprises in South Africa. Proceedings of the 1st Virtual Conference on Implications of Information and Digital Technologies for Development, Durban, South Africa, 282–301.</w:t>
      </w:r>
    </w:p>
    <w:p>
      <w:pPr>
        <w:spacing w:after="120"/>
        <w:ind w:left="720" w:hanging="720"/>
      </w:pPr>
      <w:r>
        <w:t>Small Enterprise Development Agency. 2018. SMME Quarterly Update: 1st Quarter 2018. Pretoria: SEDA. http://www.seda.org.za/Publications/Publications/SMME%20Quarterly%202018-Q1.pdf [12 April 2026].</w:t>
      </w:r>
    </w:p>
    <w:p>
      <w:pPr>
        <w:spacing w:after="120"/>
        <w:ind w:left="720" w:hanging="720"/>
      </w:pPr>
      <w:r>
        <w:t>South Africa. Department of Small Business Development. 2023. Draft South African small, micro, and medium enterprises policy. Pretoria: Government Printer.</w:t>
      </w:r>
    </w:p>
    <w:p>
      <w:pPr>
        <w:spacing w:after="120"/>
        <w:ind w:left="720" w:hanging="720"/>
      </w:pPr>
      <w:r>
        <w:t>Tornatzky, L.G. &amp; Fleischer, M. 1990. The processes of technological innovation. Lexington, Massachusetts: Lexington Books.</w:t>
      </w:r>
    </w:p>
    <w:p>
      <w:pPr>
        <w:spacing w:after="120"/>
        <w:ind w:left="720" w:hanging="720"/>
      </w:pPr>
      <w:r>
        <w:t>Yaseen, H., Al-Adwan, A.S., Nofal, M., Hmoud, H. &amp; Abujassar, R.S. 2023. Factors influencing cloud computing adoption among SMEs: the Jordanian context. Information Development, 39(2):317–332. https://doi.org/10.1177/0266669211047916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xmlns:r="http://schemas.openxmlformats.org/officeDocument/2006/relationships">
  <w:comment w:id="1" w:author="Gemini Notebook" w:initials="GN">
    <w:p>
      <w:r>
        <w:t>From ART-001_Santos_2023 page 2 and ART-004_Mokwena_2024 page 12</w:t>
      </w:r>
    </w:p>
  </w:comment>
  <w:comment w:id="2" w:author="Gemini Notebook" w:initials="GN">
    <w:p>
      <w:r>
        <w:t>From ART-022_Mohlameane_2020 page 4 and ART-008_Sithole_2021 page 282</w:t>
      </w:r>
    </w:p>
  </w:comment>
  <w:comment w:id="3" w:author="Gemini Notebook" w:initials="GN">
    <w:p>
      <w:r>
        <w:t>From ART-005_Mkhize_2025 page 46</w:t>
      </w:r>
    </w:p>
  </w:comment>
  <w:comment w:id="4" w:author="Gemini Notebook" w:initials="GN">
    <w:p>
      <w:r>
        <w:t>From ART-001_Santos_2023 page 10 and ART-011_Ahmad_2025 page 1</w:t>
      </w:r>
    </w:p>
  </w:comment>
  <w:comment w:id="5" w:author="Gemini Notebook" w:initials="GN">
    <w:p>
      <w:r>
        <w:t>From ART-005_Mkhize_2025 page 14 and ART-010_Ilahi_2024 page 57</w:t>
      </w:r>
    </w:p>
  </w:comment>
  <w:comment w:id="6" w:author="Gemini Notebook" w:initials="GN">
    <w:p>
      <w:r>
        <w:t>From ART-004_Mokwena_2024 page 4630 and ART-009_Mhlongo_2024 page 1446</w:t>
      </w:r>
    </w:p>
  </w:comment>
  <w:comment w:id="7" w:author="Gemini Notebook" w:initials="GN">
    <w:p>
      <w:r>
        <w:t>From ART-022_Mohlameane_2020 page 7 and McKinsey_2024 page 3</w:t>
      </w:r>
    </w:p>
  </w:comment>
  <w:comment w:id="8" w:author="Gemini Notebook" w:initials="GN">
    <w:p>
      <w:r>
        <w:t>From ART-011_Ahmad_2025 page 1 and ART-012_Jayeola_2022 page 228</w:t>
      </w:r>
    </w:p>
  </w:comment>
  <w:comment w:id="9" w:author="Gemini Notebook" w:initials="GN">
    <w:p>
      <w:r>
        <w:t>From ART-005_Mkhize_2025 page 30</w:t>
      </w:r>
    </w:p>
  </w:comment>
  <w:comment w:id="10" w:author="Gemini Notebook" w:initials="GN">
    <w:p>
      <w:r>
        <w:t>From ART-004_Mokwena_2024 page 4627 and ART-022_Mohlameane_2020 page 7</w:t>
      </w:r>
    </w:p>
  </w:comment>
  <w:comment w:id="11" w:author="Gemini Notebook" w:initials="GN">
    <w:p>
      <w:r>
        <w:t>From McKinsey_2024 page 2 and Modisane_2021 page 786</w:t>
      </w:r>
    </w:p>
  </w:comment>
  <w:comment w:id="12" w:author="Gemini Notebook" w:initials="GN">
    <w:p>
      <w:r>
        <w:t>From ART-005_Mkhize_2025 page 46</w:t>
      </w:r>
    </w:p>
  </w:comment>
  <w:comment w:id="13" w:author="Gemini Notebook" w:initials="GN">
    <w:p>
      <w:r>
        <w:t>From ART-022_Mohlameane_2020 page 7 and ART-004_Mokwena_2024 page 4630</w:t>
      </w:r>
    </w:p>
  </w:comment>
  <w:comment w:id="14" w:author="Gemini Notebook" w:initials="GN">
    <w:p>
      <w:r>
        <w:t>From McKinsey_2024 page 3 and ART-011_Ahmad_2025 page 1</w:t>
      </w:r>
    </w:p>
  </w:comment>
  <w:comment w:id="15" w:author="Gemini Notebook" w:initials="GN">
    <w:p>
      <w:r>
        <w:t>From ART-005_Mkhize_2025 page 14 and ART-010_Ilahi_2024 page 57</w:t>
      </w:r>
    </w:p>
  </w:comment>
  <w:comment w:id="16" w:author="Gemini Notebook" w:initials="GN">
    <w:p>
      <w:r>
        <w:t>From ART-009_Mhlongo_2024 page 1446 and ART-019_Abubakar_2014 page 11</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i/>
        <w:sz w:val="18"/>
      </w:rPr>
      <w:t xml:space="preserve">Projects 4 (PRJ470S) Research Proposal | Page </w:t>
    </w:r>
    <w:r>
      <w:rPr>
        <w:rFonts w:ascii="Calibri" w:hAnsi="Calibri"/>
        <w:i/>
        <w:sz w:val="18"/>
      </w:rP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2060"/>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00206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