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/>
        <w:drawing>
          <wp:inline distB="114300" distT="114300" distL="114300" distR="114300">
            <wp:extent cx="862013" cy="862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NeuroPrint Teacher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Bringing the Brain to Life in the Classroom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📋 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Learning 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Materials Included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Suggested Pacing Guide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Classroom Activities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Assessment Ideas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Extensions &amp; Enrichment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Standards Alignment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FAQs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Contact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Welcome to the NeuroPrint Teacher Guide! This resource is designed to help you integrate neuroscience concepts into your classroom using 3D-printed brain models, interactive activities, and student-friendly worksheets. Whether you're teaching biology, psychology, or health science, NeuroPrint makes complex brain anatomy engaging and accessible.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2. Learning Objectives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Identify major regions of the brain (e.g., frontal lobe, occipital lobe, cerebellum).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Explain the basic function of each brain region.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Understand how brain anatomy relates to behavior and cognitive function.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Explore careers in neuroscience and healthcare.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Engage with 3D models and digital tools for multimodal learning.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3. Materials Included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🧠 3D-printed Brain Model (available via request)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🖼 Printable Brain Diagram Worksheet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📝 Label-the-Brain Worksheet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📄 Editable Quiz Template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📲 Website with Interactive Brain Map and Explanations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🔗 QR Codes linked to model sections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4. Suggested Pacing Guide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the Brain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Brain diagram worksheet, intro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Brain Regions &amp; Functions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3D model walkthrough, label worksheet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Sensory/Motor Systems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Class discussion + brain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Quiz &amp; Project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Student quiz + group presentations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5. Classroom Activities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**Model Exploration**: Hand out the 3D model. Students scan QR codes linked to simple &amp; advanced explanations of each brain region.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**Label-the-Brain Relay**: Teams race to label printed brain diagrams from memory. Bonus points for naming functions!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**Brain Function Charades**: Students act out behaviors related to specific lobes—others guess the region!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**Career Corner**: Assign each student a neuroscience-related career to research and present.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6. Assessment Ideas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**Formative**: Exit tickets, diagram labeling, Kahoot!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**Summative**: Brain quiz (editable), short answer explanations, group presentations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**Project Option**: “Design Your Own Brain Region” – Students invent a new brain lobe with a unique function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7. Extensions &amp; Enrichment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Guest speaker (e.g., local neurologist, med student)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Field trip to a neuroscience lab or virtual tour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Introduce brain-related case studies or real-world neurological conditions (e.g., stroke, epilepsy)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8. Standards Alignment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 your local/state/national standards here.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 (for NGSS):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HS-LS1-2: Develop and use a model to illustrate the hierarchical organization of interacting systems within multicellular organisms.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9. FAQs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**Q: How do I get the 3D brain model?**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A: Visit “neuroprint.info” and fill out the 'Request a Model' form.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**Q: Can I modify the worksheets?**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A: Yes! All printable resources are editable and teacher-friendly.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**Q: Do students need devices?**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A: Only for QR code scanning or optional site activities. Everything can also be printed.</w:t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10. Contact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📧 Email: shaunhafez@gmail.com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🌐 Website: neuroprint.info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📦 Model Request Form: neuroprint.info/request_model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5jIOUyyiVQdBPh2KfEpYA+Pc5Q==">CgMxLjA4AHIhMXM2SWlqTmV0a1hMT25CZkhtSHo0Tjgwek40Y25nUGFZ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