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000"/>
        <w:jc w:val="center"/>
      </w:pPr>
      <w:r>
        <w:drawing>
          <wp:inline distT="0" distB="0" distL="0" distR="0">
            <wp:extent cx="4953000" cy="714375"/>
            <wp:effectExtent t="0" r="0" b="0" l="0"/>
            <wp:docPr id="1" name="logo" descr="logo" title="FastLocation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714375"/>
                    </a:xfrm>
                    <a:prstGeom prst="rect">
                      <a:avLst/>
                    </a:prstGeom>
                  </pic:spPr>
                </pic:pic>
              </a:graphicData>
            </a:graphic>
          </wp:inline>
        </w:drawing>
      </w:r>
    </w:p>
    <w:p>
      <w:pPr>
        <w:spacing w:after="60" w:before="200"/>
      </w:pPr>
      <w:r>
        <w:rPr>
          <w:b/>
          <w:bCs/>
          <w:color w:val="143F78"/>
          <w:sz w:val="52"/>
          <w:szCs w:val="52"/>
        </w:rPr>
        <w:t xml:space="preserve">Site-Matching Engine</w:t>
      </w:r>
    </w:p>
    <w:p>
      <w:pPr>
        <w:spacing w:after="240"/>
      </w:pPr>
      <w:r>
        <w:rPr>
          <w:color w:val="1A54A0"/>
          <w:sz w:val="32"/>
          <w:szCs w:val="32"/>
        </w:rPr>
        <w:t xml:space="preserve">Technical &amp; Scoring Methodology Guide</w:t>
      </w:r>
    </w:p>
    <w:p>
      <w:pPr>
        <w:pBdr>
          <w:top w:val="single" w:color="CC2020" w:sz="6" w:space="6"/>
        </w:pBdr>
        <w:spacing w:after="120" w:before="120"/>
      </w:pPr>
      <w:r>
        <w:t xml:space="preserve"/>
      </w:r>
    </w:p>
    <w:p>
      <w:pPr>
        <w:spacing w:after="120" w:line="276"/>
      </w:pPr>
      <w:r>
        <w:rPr>
          <w:b/>
          <w:bCs/>
        </w:rPr>
        <w:t xml:space="preserve">Audience: </w:t>
      </w:r>
      <w:r>
        <w:t xml:space="preserve">Technical maintainer / developer, and anyone who needs to understand exactly how the FastLocations Score is computed.</w:t>
      </w:r>
    </w:p>
    <w:p>
      <w:pPr>
        <w:spacing w:after="120" w:line="276"/>
      </w:pPr>
      <w:r>
        <w:rPr>
          <w:b/>
          <w:bCs/>
        </w:rPr>
        <w:t xml:space="preserve">Scope: </w:t>
      </w:r>
      <w:r>
        <w:t xml:space="preserve">How the deterministic matching engine turns a project's requirements into ranked locations and a serving EDO, with the scoring algorithm documented step by step.</w:t>
      </w:r>
    </w:p>
    <w:p>
      <w:pPr>
        <w:spacing w:after="120" w:line="276"/>
      </w:pPr>
      <w:r>
        <w:rPr>
          <w:color w:val="6B7787"/>
        </w:rPr>
        <w:t xml:space="preserve">Version 2.6  </w:t>
      </w:r>
      <w:r>
        <w:rPr>
          <w:color w:val="6B7787"/>
        </w:rPr>
        <w:t xml:space="preserve">· Generated 2026-07-06, updated 2026-09-10 (DAI folded into Workforce; Top 5 spread across regions; cost and safety read the metro labor market; cost tiers and damping use the metro, not the catchment; Office preset led by talent)</w:t>
      </w:r>
    </w:p>
    <w:p>
      <w:r>
        <w:br w:type="page"/>
      </w:r>
    </w:p>
    <w:p>
      <w:pPr>
        <w:pStyle w:val="Heading1"/>
        <w:spacing w:after="140" w:before="280"/>
      </w:pPr>
      <w:r>
        <w:t xml:space="preserve">1. System Overview</w:t>
      </w:r>
    </w:p>
    <w:p>
      <w:pPr>
        <w:spacing w:after="120" w:line="276"/>
      </w:pPr>
      <w:r>
        <w:t xml:space="preserve">A site consultant fills out an intake form describing a location project. The engine compares those requirements against demographic, workforce, infrastructure, cost, incentive, safety, livability, innovation, and water-risk data across the United States and Canada, and returns the strongest matches - each with a FastLocations Score (0-100), the economic-development organization (EDO) that serves it, an MSA label, a locator-map pin, and a written rationale.</w:t>
      </w:r>
    </w:p>
    <w:p>
      <w:pPr>
        <w:spacing w:after="120" w:line="276"/>
      </w:pPr>
      <w:r>
        <w:rPr>
          <w:b/>
          <w:bCs/>
        </w:rPr>
        <w:t xml:space="preserve">Two core principles: </w:t>
      </w:r>
      <w:r>
        <w:t xml:space="preserve">(1) The score is </w:t>
      </w:r>
      <w:r>
        <w:rPr>
          <w:b/>
          <w:bCs/>
        </w:rPr>
        <w:t xml:space="preserve">fully deterministic</w:t>
      </w:r>
      <w:r>
        <w:t xml:space="preserve"> - identical inputs always produce identical outputs, and every number traces to source data, not to a model. The written rationale is generated from a fixed template, not an LLM. (2) Where data is missing for a candidate, that dimension scores </w:t>
      </w:r>
      <w:r>
        <w:rPr>
          <w:rFonts w:ascii="Consolas" w:cs="Consolas" w:eastAsia="Consolas" w:hAnsi="Consolas"/>
          <w:color w:val="39455A"/>
          <w:sz w:val="19"/>
          <w:szCs w:val="19"/>
        </w:rPr>
        <w:t xml:space="preserve">null</w:t>
      </w:r>
      <w:r>
        <w:t xml:space="preserve"> and is dropped from the weighted total - gaps are stated honestly, never scored as zero.</w:t>
      </w:r>
    </w:p>
    <w:p>
      <w:pPr>
        <w:pStyle w:val="Heading2"/>
        <w:spacing w:after="100" w:before="220"/>
      </w:pPr>
      <w:r>
        <w:t xml:space="preserve">Architecture</w:t>
      </w:r>
    </w:p>
    <w:p>
      <w:pPr>
        <w:spacing w:after="120" w:line="276"/>
      </w:pPr>
      <w:r>
        <w:rPr>
          <w:rFonts w:ascii="Consolas" w:cs="Consolas" w:eastAsia="Consolas" w:hAnsi="Consolas"/>
          <w:color w:val="39455A"/>
          <w:sz w:val="19"/>
          <w:szCs w:val="19"/>
        </w:rPr>
        <w:t xml:space="preserve">Intake form</w:t>
      </w:r>
      <w:r>
        <w:t xml:space="preserve">  -&gt;  </w:t>
      </w:r>
      <w:r>
        <w:rPr>
          <w:rFonts w:ascii="Consolas" w:cs="Consolas" w:eastAsia="Consolas" w:hAnsi="Consolas"/>
          <w:color w:val="39455A"/>
          <w:sz w:val="19"/>
          <w:szCs w:val="19"/>
        </w:rPr>
        <w:t xml:space="preserve">ProjectCriteria JSON</w:t>
      </w:r>
      <w:r>
        <w:t xml:space="preserve">  -&gt;  </w:t>
      </w:r>
      <w:r>
        <w:rPr>
          <w:rFonts w:ascii="Consolas" w:cs="Consolas" w:eastAsia="Consolas" w:hAnsi="Consolas"/>
          <w:color w:val="39455A"/>
          <w:sz w:val="19"/>
          <w:szCs w:val="19"/>
        </w:rPr>
        <w:t xml:space="preserve">POST /match (Flask on Railway)</w:t>
      </w:r>
      <w:r>
        <w:t xml:space="preserve">  -&gt;  </w:t>
      </w:r>
      <w:r>
        <w:rPr>
          <w:rFonts w:ascii="Consolas" w:cs="Consolas" w:eastAsia="Consolas" w:hAnsi="Consolas"/>
          <w:color w:val="39455A"/>
          <w:sz w:val="19"/>
          <w:szCs w:val="19"/>
        </w:rPr>
        <w:t xml:space="preserve">scorer.py</w:t>
      </w:r>
      <w:r>
        <w:t xml:space="preserve">  -&gt;  ranked results + Other Notable + serving EDO, rendered on the page with a Leaflet map and emailed on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Layer</w:t>
            </w:r>
          </w:p>
        </w:tc>
        <w:tc>
          <w:tcPr>
            <w:tcW w:type="dxa" w:w="250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Technology</w:t>
            </w:r>
          </w:p>
        </w:tc>
        <w:tc>
          <w:tcPr>
            <w:tcW w:type="dxa" w:w="466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Notes</w:t>
            </w:r>
          </w:p>
        </w:tc>
      </w:tr>
      <w:tr>
        <w:tc>
          <w:tcPr>
            <w:tcW w:type="dxa" w:w="22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Intake form</w:t>
            </w:r>
          </w:p>
        </w:tc>
        <w:tc>
          <w:tcPr>
            <w:tcW w:type="dxa" w:w="25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HTML + external JS + Leaflet</w:t>
            </w:r>
          </w:p>
        </w:tc>
        <w:tc>
          <w:tcPr>
            <w:tcW w:type="dxa" w:w="46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fastlocations.ai; ASCII-only, JS externalised</w:t>
            </w:r>
          </w:p>
        </w:tc>
      </w:tr>
      <w:tr>
        <w:tc>
          <w:tcPr>
            <w:tcW w:type="dxa" w:w="220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Scoring API</w:t>
            </w:r>
          </w:p>
        </w:tc>
        <w:tc>
          <w:tcPr>
            <w:tcW w:type="dxa" w:w="250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Python 3 / Flask / gunicorn</w:t>
            </w:r>
          </w:p>
        </w:tc>
        <w:tc>
          <w:tcPr>
            <w:tcW w:type="dxa" w:w="46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Railway; auto-deploys from GitHub</w:t>
            </w:r>
          </w:p>
        </w:tc>
      </w:tr>
      <w:tr>
        <w:tc>
          <w:tcPr>
            <w:tcW w:type="dxa" w:w="22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Scoring engine</w:t>
            </w:r>
          </w:p>
        </w:tc>
        <w:tc>
          <w:tcPr>
            <w:tcW w:type="dxa" w:w="25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scorer.py (deterministic)</w:t>
            </w:r>
          </w:p>
        </w:tc>
        <w:tc>
          <w:tcPr>
            <w:tcW w:type="dxa" w:w="46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Loads ~19 precomputed JSON files at startup</w:t>
            </w:r>
          </w:p>
        </w:tc>
      </w:tr>
      <w:tr>
        <w:tc>
          <w:tcPr>
            <w:tcW w:type="dxa" w:w="220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Data</w:t>
            </w:r>
          </w:p>
        </w:tc>
        <w:tc>
          <w:tcPr>
            <w:tcW w:type="dxa" w:w="250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Precomputed JSON</w:t>
            </w:r>
          </w:p>
        </w:tc>
        <w:tc>
          <w:tcPr>
            <w:tcW w:type="dxa" w:w="46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Derived from raw sources; deployed with the API</w:t>
            </w:r>
          </w:p>
        </w:tc>
      </w:tr>
    </w:tbl>
    <w:p>
      <w:pPr>
        <w:spacing w:after="120" w:line="276"/>
      </w:pPr>
      <w:r>
        <w:rPr>
          <w:b/>
          <w:bCs/>
        </w:rPr>
        <w:t xml:space="preserve">Dual-spine. </w:t>
      </w:r>
      <w:r>
        <w:t xml:space="preserve">US candidates are counties keyed by 5-digit FIPS; Canadian candidates are Census Divisions keyed by 4-digit CDUID. The country selector picks one spine. Each candidate is rolled up to the EDO customer whose territory contains it.</w:t>
      </w:r>
    </w:p>
    <w:p>
      <w:r>
        <w:br w:type="page"/>
      </w:r>
    </w:p>
    <w:p>
      <w:pPr>
        <w:pStyle w:val="Heading1"/>
        <w:spacing w:after="140" w:before="280"/>
      </w:pPr>
      <w:r>
        <w:t xml:space="preserve">2. Managing &amp; Updating</w:t>
      </w:r>
    </w:p>
    <w:p>
      <w:pPr>
        <w:spacing w:after="120" w:line="276"/>
      </w:pPr>
      <w:r>
        <w:t xml:space="preserve">Deploy the engine by pushing to the GitHub repo - Railway rebuilds automatically. The intake form (</w:t>
      </w:r>
      <w:r>
        <w:rPr>
          <w:rFonts w:ascii="Consolas" w:cs="Consolas" w:eastAsia="Consolas" w:hAnsi="Consolas"/>
          <w:color w:val="39455A"/>
          <w:sz w:val="19"/>
          <w:szCs w:val="19"/>
        </w:rPr>
        <w:t xml:space="preserve">site_selection_intake.html</w:t>
      </w:r>
      <w:r>
        <w:t xml:space="preserve"> + </w:t>
      </w:r>
      <w:r>
        <w:rPr>
          <w:rFonts w:ascii="Consolas" w:cs="Consolas" w:eastAsia="Consolas" w:hAnsi="Consolas"/>
          <w:color w:val="39455A"/>
          <w:sz w:val="19"/>
          <w:szCs w:val="19"/>
        </w:rPr>
        <w:t xml:space="preserve">intake.js</w:t>
      </w:r>
      <w:r>
        <w:t xml:space="preserve">) is uploaded to the web host separately, in Binary mode, ASCII-only.</w:t>
      </w:r>
    </w:p>
    <w:p>
      <w:pPr>
        <w:spacing w:after="120" w:line="276"/>
      </w:pPr>
      <w:r>
        <w:t xml:space="preserve">Data lives in precomputed JSON that the engine loads at startup. Raw sources (Census/ArcGIS/StatCan/USGS exports, often hundreds of MB) are processed once into these small files and are NOT committed - </w:t>
      </w:r>
      <w:r>
        <w:rPr>
          <w:rFonts w:ascii="Consolas" w:cs="Consolas" w:eastAsia="Consolas" w:hAnsi="Consolas"/>
          <w:color w:val="39455A"/>
          <w:sz w:val="19"/>
          <w:szCs w:val="19"/>
        </w:rPr>
        <w:t xml:space="preserve">.gitignore</w:t>
      </w:r>
      <w:r>
        <w:t xml:space="preserve"> is a whitelist that keeps only the runtime JSON. To refresh a metric: rebuild its JSON from the new source, keep the same file name, commit, push.</w:t>
      </w:r>
    </w:p>
    <w:p>
      <w:pPr>
        <w:spacing w:after="120" w:line="276"/>
      </w:pPr>
      <w:r>
        <w:t xml:space="preserve">Regression tests: </w:t>
      </w:r>
      <w:r>
        <w:rPr>
          <w:rFonts w:ascii="Consolas" w:cs="Consolas" w:eastAsia="Consolas" w:hAnsi="Consolas"/>
          <w:color w:val="39455A"/>
          <w:sz w:val="19"/>
          <w:szCs w:val="19"/>
        </w:rPr>
        <w:t xml:space="preserve">python test_scorer.py</w:t>
      </w:r>
      <w:r>
        <w:t xml:space="preserve"> runs 52 invariant checks (determinism within and across processes, score bounds, tie handling, national anchoring, filters, staffability, right-to-work, coverage bonus, Canadian null handling, the DAI score's fixed share of Workforce, the regional spread of the Top 5, metro labor-market blending, metro-based cost tiers and damping, the Office preset's talent weighting, and more). Run it after any change to the engine.</w:t>
      </w:r>
    </w:p>
    <w:p>
      <w:pPr>
        <w:spacing w:after="120" w:line="276"/>
      </w:pPr>
      <w:r>
        <w:t xml:space="preserve">Regional balance: </w:t>
      </w:r>
      <w:r>
        <w:rPr>
          <w:rFonts w:ascii="Consolas" w:cs="Consolas" w:eastAsia="Consolas" w:hAnsi="Consolas"/>
          <w:color w:val="39455A"/>
          <w:sz w:val="19"/>
          <w:szCs w:val="19"/>
        </w:rPr>
        <w:t xml:space="preserve">python check_regional_balance.py</w:t>
      </w:r>
      <w:r>
        <w:t xml:space="preserve"> reports how evenly the Top 5 spreads across US regions and where customer-EDO coverage is thin. Re-run it whenever the EDO list changes (see 3.11).</w:t>
      </w:r>
    </w:p>
    <w:p>
      <w:r>
        <w:br w:type="page"/>
      </w:r>
    </w:p>
    <w:p>
      <w:pPr>
        <w:pStyle w:val="Heading1"/>
        <w:spacing w:after="140" w:before="280"/>
      </w:pPr>
      <w:r>
        <w:t xml:space="preserve">3. The Scoring Algorithm</w:t>
      </w:r>
    </w:p>
    <w:p>
      <w:pPr>
        <w:pStyle w:val="Heading2"/>
        <w:spacing w:after="100" w:before="220"/>
      </w:pPr>
      <w:r>
        <w:t xml:space="preserve">3.1 Design principles</w:t>
      </w:r>
    </w:p>
    <w:p>
      <w:pPr>
        <w:pStyle w:val="ListParagraph"/>
        <w:numPr>
          <w:ilvl w:val="0"/>
          <w:numId w:val="2"/>
        </w:numPr>
        <w:spacing w:after="60"/>
      </w:pPr>
      <w:r>
        <w:rPr>
          <w:b/>
          <w:bCs/>
        </w:rPr>
        <w:t xml:space="preserve">Deterministic. </w:t>
      </w:r>
      <w:r>
        <w:t xml:space="preserve">No randomness, no model in the loop. The same criteria always yield the same ranking and scores.</w:t>
      </w:r>
    </w:p>
    <w:p>
      <w:pPr>
        <w:pStyle w:val="ListParagraph"/>
        <w:numPr>
          <w:ilvl w:val="0"/>
          <w:numId w:val="2"/>
        </w:numPr>
        <w:spacing w:after="60"/>
      </w:pPr>
      <w:r>
        <w:rPr>
          <w:b/>
          <w:bCs/>
        </w:rPr>
        <w:t xml:space="preserve">Absolute, nationally anchored. </w:t>
      </w:r>
      <w:r>
        <w:t xml:space="preserve">Every metric is percentile-ranked against the WHOLE selected-country set (cost against markets of its own size, see 3.3) - not just the candidates that pass the query's filters. So a FastLocations Score means the same thing in a nationwide search and a single-state search: it is the county's standing against the country, not against whatever survived the filter.</w:t>
      </w:r>
    </w:p>
    <w:p>
      <w:pPr>
        <w:pStyle w:val="ListParagraph"/>
        <w:numPr>
          <w:ilvl w:val="0"/>
          <w:numId w:val="2"/>
        </w:numPr>
        <w:spacing w:after="60"/>
      </w:pPr>
      <w:r>
        <w:rPr>
          <w:b/>
          <w:bCs/>
        </w:rPr>
        <w:t xml:space="preserve">Gaps never penalise. </w:t>
      </w:r>
      <w:r>
        <w:t xml:space="preserve">A missing metric is </w:t>
      </w:r>
      <w:r>
        <w:rPr>
          <w:rFonts w:ascii="Consolas" w:cs="Consolas" w:eastAsia="Consolas" w:hAnsi="Consolas"/>
          <w:color w:val="39455A"/>
          <w:sz w:val="19"/>
          <w:szCs w:val="19"/>
        </w:rPr>
        <w:t xml:space="preserve">null</w:t>
      </w:r>
      <w:r>
        <w:t xml:space="preserve">, and weights renormalise over the dimensions that have data.</w:t>
      </w:r>
    </w:p>
    <w:p>
      <w:pPr>
        <w:pStyle w:val="ListParagraph"/>
        <w:numPr>
          <w:ilvl w:val="0"/>
          <w:numId w:val="2"/>
        </w:numPr>
        <w:spacing w:after="60"/>
      </w:pPr>
      <w:r>
        <w:rPr>
          <w:b/>
          <w:bCs/>
        </w:rPr>
        <w:t xml:space="preserve">Quality over quantity. </w:t>
      </w:r>
      <w:r>
        <w:t xml:space="preserve">Where a naive count would mislead (e.g. incentive programs), the score uses value and diversity instead of raw counts.</w:t>
      </w:r>
    </w:p>
    <w:p>
      <w:pPr>
        <w:pStyle w:val="ListParagraph"/>
        <w:numPr>
          <w:ilvl w:val="0"/>
          <w:numId w:val="2"/>
        </w:numPr>
        <w:spacing w:after="60"/>
      </w:pPr>
      <w:r>
        <w:rPr>
          <w:b/>
          <w:bCs/>
        </w:rPr>
        <w:t xml:space="preserve">Customer-routable, plus honest alternatives. </w:t>
      </w:r>
      <w:r>
        <w:t xml:space="preserve">Primary results are counties served by an EDO customer; the best non-customer counties are surfaced separately as Other Notable Matches.</w:t>
      </w:r>
    </w:p>
    <w:p>
      <w:pPr>
        <w:pStyle w:val="Heading2"/>
        <w:spacing w:after="100" w:before="220"/>
      </w:pPr>
      <w:r>
        <w:t xml:space="preserve">3.2 The pipeline</w:t>
      </w:r>
    </w:p>
    <w:p>
      <w:pPr>
        <w:pStyle w:val="ListParagraph"/>
        <w:numPr>
          <w:ilvl w:val="0"/>
          <w:numId w:val="3"/>
        </w:numPr>
        <w:spacing w:after="60"/>
      </w:pPr>
      <w:r>
        <w:t xml:space="preserve">Parse the ProjectCriteria object (weights, filters, priorities, controls).</w:t>
      </w:r>
    </w:p>
    <w:p>
      <w:pPr>
        <w:pStyle w:val="ListParagraph"/>
        <w:numPr>
          <w:ilvl w:val="0"/>
          <w:numId w:val="3"/>
        </w:numPr>
        <w:spacing w:after="60"/>
      </w:pPr>
      <w:r>
        <w:t xml:space="preserve">Build the reference set = every county/CD in the selected countries.</w:t>
      </w:r>
    </w:p>
    <w:p>
      <w:pPr>
        <w:pStyle w:val="ListParagraph"/>
        <w:numPr>
          <w:ilvl w:val="0"/>
          <w:numId w:val="3"/>
        </w:numPr>
        <w:spacing w:after="60"/>
      </w:pPr>
      <w:r>
        <w:t xml:space="preserve">Score all eleven dimensions over the reference set (national anchor).</w:t>
      </w:r>
    </w:p>
    <w:p>
      <w:pPr>
        <w:pStyle w:val="ListParagraph"/>
        <w:numPr>
          <w:ilvl w:val="0"/>
          <w:numId w:val="3"/>
        </w:numPr>
        <w:spacing w:after="60"/>
      </w:pPr>
      <w:r>
        <w:t xml:space="preserve">Apply hard filters (region, market proximity, thresholds, right-to-work, water, port/airport) to get the display candidates.</w:t>
      </w:r>
    </w:p>
    <w:p>
      <w:pPr>
        <w:pStyle w:val="ListParagraph"/>
        <w:numPr>
          <w:ilvl w:val="0"/>
          <w:numId w:val="3"/>
        </w:numPr>
        <w:spacing w:after="60"/>
      </w:pPr>
      <w:r>
        <w:t xml:space="preserve">For each candidate: weighted total -&gt; reliability damping -&gt; preferred, coverage and property bonuses -&gt; FastLocations Score.</w:t>
      </w:r>
    </w:p>
    <w:p>
      <w:pPr>
        <w:pStyle w:val="ListParagraph"/>
        <w:numPr>
          <w:ilvl w:val="0"/>
          <w:numId w:val="3"/>
        </w:numPr>
        <w:spacing w:after="60"/>
      </w:pPr>
      <w:r>
        <w:t xml:space="preserve">Roll up to serving EDO; split into Primary (distinct customers, with backfill) and Other Notable (top non-customers). The Top-N takes at most two results per state or province and, first, one per region (see 3.11).</w:t>
      </w:r>
    </w:p>
    <w:p>
      <w:pPr>
        <w:pStyle w:val="ListParagraph"/>
        <w:numPr>
          <w:ilvl w:val="0"/>
          <w:numId w:val="3"/>
        </w:numPr>
        <w:spacing w:after="60"/>
      </w:pPr>
      <w:r>
        <w:t xml:space="preserve">Attach MSA label, map coordinates, and a templated rationale.</w:t>
      </w:r>
    </w:p>
    <w:p>
      <w:pPr>
        <w:pStyle w:val="Heading2"/>
        <w:spacing w:after="100" w:before="220"/>
      </w:pPr>
      <w:r>
        <w:t xml:space="preserve">3.3 Scoring one dimension</w:t>
      </w:r>
    </w:p>
    <w:p>
      <w:pPr>
        <w:spacing w:after="120" w:line="276"/>
      </w:pPr>
      <w:r>
        <w:t xml:space="preserve">Each dimension is computed by one extractor that returns a small set of raw metrics for a candidate (higher is always better; cost- and risk-like metrics are negated so lower values score higher). For each metric, across the reference set:</w:t>
      </w:r>
    </w:p>
    <w:p>
      <w:pPr>
        <w:pStyle w:val="ListParagraph"/>
        <w:numPr>
          <w:ilvl w:val="0"/>
          <w:numId w:val="3"/>
        </w:numPr>
        <w:spacing w:after="60"/>
      </w:pPr>
      <w:r>
        <w:t xml:space="preserve">Rank all candidates by the raw value and convert to a </w:t>
      </w:r>
      <w:r>
        <w:rPr>
          <w:b/>
          <w:bCs/>
        </w:rPr>
        <w:t xml:space="preserve">percentile (0-100)</w:t>
      </w:r>
      <w:r>
        <w:t xml:space="preserve">.</w:t>
      </w:r>
    </w:p>
    <w:p>
      <w:pPr>
        <w:pStyle w:val="ListParagraph"/>
        <w:numPr>
          <w:ilvl w:val="0"/>
          <w:numId w:val="3"/>
        </w:numPr>
        <w:spacing w:after="60"/>
      </w:pPr>
      <w:r>
        <w:t xml:space="preserve">Ties get the </w:t>
      </w:r>
      <w:r>
        <w:rPr>
          <w:b/>
          <w:bCs/>
        </w:rPr>
        <w:t xml:space="preserve">average rank</w:t>
      </w:r>
      <w:r>
        <w:t xml:space="preserve"> - every candidate sharing a value receives the same percentile. This matters for state-broadcast metrics (incentives) and low-cardinality ones, so two identical counties never out-rank each other on sort-order noise.</w:t>
      </w:r>
    </w:p>
    <w:p>
      <w:pPr>
        <w:pStyle w:val="ListParagraph"/>
        <w:numPr>
          <w:ilvl w:val="0"/>
          <w:numId w:val="3"/>
        </w:numPr>
        <w:spacing w:after="60"/>
      </w:pPr>
      <w:r>
        <w:t xml:space="preserve">The dimension sub-score is the </w:t>
      </w:r>
      <w:r>
        <w:rPr>
          <w:b/>
          <w:bCs/>
        </w:rPr>
        <w:t xml:space="preserve">weighted average</w:t>
      </w:r>
      <w:r>
        <w:t xml:space="preserve"> of its metrics' percentiles. Most metrics weigh 1; a few carry a different weight (see 3.5). Metrics that are </w:t>
      </w:r>
      <w:r>
        <w:rPr>
          <w:rFonts w:ascii="Consolas" w:cs="Consolas" w:eastAsia="Consolas" w:hAnsi="Consolas"/>
          <w:color w:val="39455A"/>
          <w:sz w:val="19"/>
          <w:szCs w:val="19"/>
        </w:rPr>
        <w:t xml:space="preserve">null</w:t>
      </w:r>
      <w:r>
        <w:t xml:space="preserve"> for a candidate are skipped and the average renormalises over the rest.</w:t>
      </w:r>
    </w:p>
    <w:p>
      <w:pPr>
        <w:spacing w:after="120" w:line="276"/>
      </w:pPr>
      <w:r>
        <w:t xml:space="preserve">One exception: the Cost dimension is percentile-ranked within four market-size tiers rather than against the whole country. The tiers are by market population - the population of the county's Census metro, or the county's own outside a metro, the same measure the reliability damping uses (see 3.6): under 100,000; 100,000 to 500,000; 500,000 to 2 million; and 2 million or more (about 1,970, 550, 310 and 320 US counties respectively; the first is essentially every county outside a metro). A cost sub-score therefore means "how expensive is this market for one of its size", and every tier averages about 50, so no size class is systematically cheap or dear. Canada is a single tier: its catchments are an order of magnitude smaller and tiers would leave two or three census divisions ranking against each other. The tiers and the set of tiered dimensions are COST_TIERS and TIERED_DIMS in scorer.py.</w:t>
      </w:r>
    </w:p>
    <w:p>
      <w:pPr>
        <w:spacing w:after="120" w:line="276"/>
      </w:pPr>
      <w:r>
        <w:t xml:space="preserve">Why: ranked nationally, every large metro sat in the bottom decile on cost simply because wages rise with market size (Seattle 1, Santa Clara 0, Phoenix 10, San Diego 5, Las Vegas 25), and with cost, real estate and safety carrying 28% of the default weight that stack cost the big western markets 7 to 11 points of weighted total - the gap between rank 200 and the top 10. Measured before adopting in 2.2: Phoenix 10 to 49, Las Vegas 25 to 72, Riverside 22 to 63, San Diego 5 to 31; the losers are small Midwest counties that had been credited for cheapness against the whole country. It does not lift the dearest coastal metros (Seattle 1 to 12, Santa Clara 0 to 3), which are the most expensive markets even among big ones - that is a weighting question (the R&amp;D preset runs cost at 5), not a ranking one. Real estate was measured too and stays national.</w:t>
      </w:r>
    </w:p>
    <w:p>
      <w:pPr>
        <w:spacing w:after="120" w:line="276"/>
      </w:pPr>
      <w:r>
        <w:rPr>
          <w:b/>
          <w:bCs/>
        </w:rPr>
        <w:t xml:space="preserve">The metro labor market. </w:t>
      </w:r>
      <w:r>
        <w:t xml:space="preserve">Market size already reaches across the metro (the regional catchment), but cost and safety used to be read from the county alone, so a cheap, low-crime county on a big metro's edge got the metro's people at its own prices. Henry and Paulding outranked Fulton in Atlanta, and Alexandria and Arlington, inside the DC metro, ranked #3 and #5 on an Office search. Wages are set by the labor market, which is the metro, and BEA earnings by place of work per resident is misleading inside one: it measures where the jobs sit, not what they pay (Paulding $12k, Fulton $128k, one labor market). So within a multi-county MSA (Census CBSA delineation, fips_to_msa.json):</w:t>
      </w:r>
    </w:p>
    <w:p>
      <w:pPr>
        <w:pStyle w:val="ListParagraph"/>
        <w:numPr>
          <w:ilvl w:val="0"/>
          <w:numId w:val="2"/>
        </w:numPr>
        <w:spacing w:after="60"/>
      </w:pPr>
      <w:r>
        <w:rPr>
          <w:b/>
          <w:bCs/>
        </w:rPr>
        <w:t xml:space="preserve">Employer wages </w:t>
      </w:r>
      <w:r>
        <w:t xml:space="preserve">use the metro's value - its total earnings over its residents - for every county in it.</w:t>
      </w:r>
    </w:p>
    <w:p>
      <w:pPr>
        <w:pStyle w:val="ListParagraph"/>
        <w:numPr>
          <w:ilvl w:val="0"/>
          <w:numId w:val="2"/>
        </w:numPr>
        <w:spacing w:after="60"/>
      </w:pPr>
      <w:r>
        <w:rPr>
          <w:b/>
          <w:bCs/>
        </w:rPr>
        <w:t xml:space="preserve">Resident income, cost of living and crime </w:t>
      </w:r>
      <w:r>
        <w:t xml:space="preserve">are half the metro's population-weighted value and half the county's own (METRO_BLEND = 0.5), so an outer county still gets credit for being cheaper or safer than its core, but is no longer judged as if it were rural.</w:t>
      </w:r>
    </w:p>
    <w:p>
      <w:pPr>
        <w:pStyle w:val="ListParagraph"/>
        <w:numPr>
          <w:ilvl w:val="0"/>
          <w:numId w:val="2"/>
        </w:numPr>
        <w:spacing w:after="60"/>
      </w:pPr>
      <w:r>
        <w:rPr>
          <w:b/>
          <w:bCs/>
        </w:rPr>
        <w:t xml:space="preserve">Real estate </w:t>
      </w:r>
      <w:r>
        <w:t xml:space="preserve">stays county-level: the land price and tax rate are the site's own, a genuine local advantage. Counties outside a multi-county MSA, and Canada (whose crime index is already CMA-level), are unchanged.</w:t>
      </w:r>
    </w:p>
    <w:p>
      <w:pPr>
        <w:spacing w:after="120" w:line="276"/>
      </w:pPr>
      <w:r>
        <w:t xml:space="preserve">Measured when adopted in 2.4 (rank among counties with a customer EDO, default weights and all seven presets): Henry County, GA fell from #6 to #27 on the default search while Fulton rose from #36 to #16 (#50 to #19 on Office); Mecklenburg, NC moved from between #31 and #62 to between #13 and #21; on Office, Alexandria fell from #3 to #17 and Arlington from #5 to #12. Canada did not move. Counties that are their own Census metro but sit within reach of a big one were not affected by this; their lift came through the catchment, and is dealt with next. The Southeast's share of the Top 5 rose (35% on scores alone, from 30%), as its metro cores - Orlando, Charlotte, Atlanta - replaced its outer counties.</w:t>
      </w:r>
    </w:p>
    <w:p>
      <w:pPr>
        <w:spacing w:after="120" w:line="276"/>
      </w:pPr>
      <w:r>
        <w:rPr>
          <w:b/>
          <w:bCs/>
        </w:rPr>
        <w:t xml:space="preserve">Which market a county belongs to. </w:t>
      </w:r>
      <w:r>
        <w:t xml:space="preserve">The cost tiers and the reliability damping (3.6) both ask how big a county's market is. Until 2.5 they used the regional catchment - everyone within 110 km, distance-decayed, whatever metro they live in - so a small county near a big metro borrowed that metro's size. LaPorte, IN is its own Census metro (Michigan City-La Porte, 110,000 people) about 60 miles from Chicago, but its 2.1 million catchment had its costs ranked against Chicago-sized markets, where it looked very cheap, and its score barely damped; it was the #7 default result. Bloomington, IN (Monroe) was #5 and the Lehigh Valley (Northampton, PA) #12 the same way.</w:t>
      </w:r>
    </w:p>
    <w:p>
      <w:pPr>
        <w:spacing w:after="120" w:line="276"/>
      </w:pPr>
      <w:r>
        <w:t xml:space="preserve">As of 2.5 both use market_pop(): the population of the county's Census metro (MSA), or the county's own outside a metro. That is the Census commuting-based definition of a labor market, and as a fixed definition it does not push metros across a tier line when a distance setting changes - tightening the catchment's decay instead was tried and did (Austin and Charlotte fell 40-plus places for reasons unrelated to borrowing). The catchment still measures reach where distance is the point: the market_size dimension (customers within 110 km are real customers) and the labor-draw thresholds. Canada keeps its catchment for all three.</w:t>
      </w:r>
    </w:p>
    <w:p>
      <w:pPr>
        <w:spacing w:after="120" w:line="276"/>
      </w:pPr>
      <w:r>
        <w:t xml:space="preserve">Measured when adopted: LaPorte fell from #7 to #182 on the default search, Bloomington from #5 to #33 and Northampton from #12 to #37, while metro cores rose - Cincinnati (Hamilton, OH) #97 to #13, Arapahoe, CO (Denver) #11 to #5 - and Maricopa stayed #1. Canada did not move. The Northeast lost its one default Top-5 slot, which Northampton had held on the borrowed catchment; its gap is customer-EDO coverage (3.11).</w:t>
      </w:r>
    </w:p>
    <w:p>
      <w:pPr>
        <w:pStyle w:val="Heading2"/>
        <w:spacing w:after="100" w:before="220"/>
      </w:pPr>
      <w:r>
        <w:t xml:space="preserve">3.4 The weighted total</w:t>
      </w:r>
    </w:p>
    <w:p>
      <w:pPr>
        <w:spacing w:after="120" w:line="276"/>
      </w:pPr>
      <w:r>
        <w:t xml:space="preserve">The eleven dimension sub-scores are combined using the project's weight sliders (which the form normalises to sum 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CE6" w:sz="1"/>
              <w:left w:val="single" w:color="D5DCE6" w:sz="1"/>
              <w:bottom w:val="single" w:color="D5DCE6" w:sz="1"/>
              <w:right w:val="single" w:color="D5DCE6" w:sz="1"/>
            </w:tcBorders>
            <w:shd w:fill="F4F7FB" w:val="clear"/>
            <w:tcMar>
              <w:top w:type="dxa" w:w="120"/>
              <w:left w:type="dxa" w:w="160"/>
              <w:bottom w:type="dxa" w:w="120"/>
              <w:right w:type="dxa" w:w="160"/>
            </w:tcMar>
          </w:tcPr>
          <w:p>
            <w:r>
              <w:rPr>
                <w:rFonts w:ascii="Consolas" w:cs="Consolas" w:eastAsia="Consolas" w:hAnsi="Consolas"/>
                <w:color w:val="39455A"/>
                <w:sz w:val="19"/>
                <w:szCs w:val="19"/>
              </w:rPr>
              <w:t xml:space="preserve">weighted_total = sum( sub_score[dim] x weight[dim] ) / sum( weight[dim] )</w:t>
            </w:r>
          </w:p>
          <w:p>
            <w:pPr>
              <w:spacing w:before="60"/>
            </w:pPr>
            <w:r>
              <w:rPr>
                <w:i/>
                <w:iCs/>
                <w:color w:val="5A6B86"/>
                <w:sz w:val="18"/>
                <w:szCs w:val="18"/>
              </w:rPr>
              <w:t xml:space="preserve">summed only over dimensions whose sub-score is not null (weights renormalise).</w:t>
            </w:r>
          </w:p>
        </w:tc>
      </w:tr>
    </w:tbl>
    <w:p>
      <w:pPr>
        <w:spacing w:after="120" w:line="276"/>
      </w:pPr>
      <w:r>
        <w:t xml:space="preserve">Because percentiles average to ~50 across the population, the weighted total is centred near 50 regardless of the weighting. Canada raises the market-size weight to at least 0.20 so metro-catchment access carries appropriately (see 3.9).</w:t>
      </w:r>
    </w:p>
    <w:p>
      <w:pPr>
        <w:pStyle w:val="Heading2"/>
        <w:spacing w:after="100" w:before="220"/>
      </w:pPr>
      <w:r>
        <w:t xml:space="preserve">3.5 Metric-level weighting</w:t>
      </w:r>
    </w:p>
    <w:p>
      <w:pPr>
        <w:spacing w:after="120" w:line="276"/>
      </w:pPr>
      <w:r>
        <w:t xml:space="preserve">A few metrics carry a different weight within their dimension, so an important signal dominates without needing a separate slider: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Metric (weight)</w:t>
            </w:r>
          </w:p>
        </w:tc>
        <w:tc>
          <w:tcPr>
            <w:tcW w:type="dxa" w:w="596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Effect</w:t>
            </w:r>
          </w:p>
        </w:tc>
      </w:tr>
      <w:tr>
        <w:tc>
          <w:tcPr>
            <w:tcW w:type="dxa" w:w="34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education_attainment (x2)</w:t>
            </w:r>
          </w:p>
        </w:tc>
        <w:tc>
          <w:tcPr>
            <w:tcW w:type="dxa" w:w="59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Education dominates Demographics (lifts mature, highly-educated regions).</w:t>
            </w:r>
          </w:p>
        </w:tc>
      </w:tr>
      <w:tr>
        <w:tc>
          <w:tcPr>
            <w:tcW w:type="dxa" w:w="340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incentive_value (x2)</w:t>
            </w:r>
          </w:p>
        </w:tc>
        <w:tc>
          <w:tcPr>
            <w:tcW w:type="dxa" w:w="59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Program value (largest $) leads the Incentives score, over breadth.</w:t>
            </w:r>
          </w:p>
        </w:tc>
      </w:tr>
      <w:tr>
        <w:tc>
          <w:tcPr>
            <w:tcW w:type="dxa" w:w="34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priority_match (x3)</w:t>
            </w:r>
          </w:p>
        </w:tc>
        <w:tc>
          <w:tcPr>
            <w:tcW w:type="dxa" w:w="59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The only Incentives metric that responds to the project's ranked priorities, so it outweighs the generic value tier.</w:t>
            </w:r>
          </w:p>
        </w:tc>
      </w:tr>
      <w:tr>
        <w:tc>
          <w:tcPr>
            <w:tcW w:type="dxa" w:w="340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skill_supply (x1.5)</w:t>
            </w:r>
          </w:p>
        </w:tc>
        <w:tc>
          <w:tcPr>
            <w:tcW w:type="dxa" w:w="59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Supply of the selected skill profiles leads Workforce whenever profiles are chosen; null (skipped) when none are.</w:t>
            </w:r>
          </w:p>
        </w:tc>
      </w:tr>
      <w:tr>
        <w:tc>
          <w:tcPr>
            <w:tcW w:type="dxa" w:w="34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low_land_cost (x2)</w:t>
            </w:r>
          </w:p>
        </w:tc>
        <w:tc>
          <w:tcPr>
            <w:tcW w:type="dxa" w:w="59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Land purchase price outweighs the annual property-tax rate within Real estate - except for office projects, where it counts x0.5 (USE_METRIC_WEIGHTS): an office leases or buys built space, so the per-acre raw-land price says little about its cost and the property tax that leases pass through carries the score.</w:t>
            </w:r>
          </w:p>
        </w:tc>
      </w:tr>
      <w:tr>
        <w:tc>
          <w:tcPr>
            <w:tcW w:type="dxa" w:w="340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rd_intensity (x0.75)</w:t>
            </w:r>
          </w:p>
        </w:tc>
        <w:tc>
          <w:tcPr>
            <w:tcW w:type="dxa" w:w="59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About 81% of US counties tie at zero R&amp;D establishments, so it counts for less than the other Innovation metrics.</w:t>
            </w:r>
          </w:p>
        </w:tc>
      </w:tr>
    </w:tbl>
    <w:p>
      <w:pPr>
        <w:spacing w:after="120" w:line="276"/>
      </w:pPr>
      <w:r>
        <w:t xml:space="preserve">critical_thinking no longer appears here. It is the DAI score: until version 2.0 it counted double inside Workforce as an ordinary metric, in 2.1 and 2.2 it was a dimension of its own, and as of 2.3 it is back inside Workforce at a fixed share of the dimension rather than as a metric weight (see 3.9).</w:t>
      </w:r>
    </w:p>
    <w:p>
      <w:pPr>
        <w:pStyle w:val="Heading2"/>
        <w:spacing w:after="100" w:before="220"/>
      </w:pPr>
      <w:r>
        <w:t xml:space="preserve">3.6 Reliability damping (small-market shrinkage)</w:t>
      </w:r>
    </w:p>
    <w:p>
      <w:pPr>
        <w:spacing w:after="120" w:line="276"/>
      </w:pPr>
      <w:r>
        <w:t xml:space="preserve">Percentile metrics are noisy in thin markets, and a tiny county can rarely host a project. Each candidate's total is shrunk toward the national centre (50) by a reliability factor based on its MARKET - the population of its Census metro, or its own outside a metro (market_pop) - not just its own county headcount, so a small county inside a large metro (e.g. Arlington, VA in the DC metro) is treated as a reliable, deep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CE6" w:sz="1"/>
              <w:left w:val="single" w:color="D5DCE6" w:sz="1"/>
              <w:bottom w:val="single" w:color="D5DCE6" w:sz="1"/>
              <w:right w:val="single" w:color="D5DCE6" w:sz="1"/>
            </w:tcBorders>
            <w:shd w:fill="F4F7FB" w:val="clear"/>
            <w:tcMar>
              <w:top w:type="dxa" w:w="120"/>
              <w:left w:type="dxa" w:w="160"/>
              <w:bottom w:type="dxa" w:w="120"/>
              <w:right w:type="dxa" w:w="160"/>
            </w:tcMar>
          </w:tcPr>
          <w:p>
            <w:r>
              <w:rPr>
                <w:rFonts w:ascii="Consolas" w:cs="Consolas" w:eastAsia="Consolas" w:hAnsi="Consolas"/>
                <w:color w:val="39455A"/>
                <w:sz w:val="19"/>
                <w:szCs w:val="19"/>
              </w:rPr>
              <w:t xml:space="preserve">rel = market_pop / (market_pop + 100,000)</w:t>
            </w:r>
          </w:p>
          <w:p>
            <w:pPr>
              <w:spacing w:before="40"/>
            </w:pPr>
            <w:r>
              <w:rPr>
                <w:rFonts w:ascii="Consolas" w:cs="Consolas" w:eastAsia="Consolas" w:hAnsi="Consolas"/>
                <w:color w:val="39455A"/>
                <w:sz w:val="19"/>
                <w:szCs w:val="19"/>
              </w:rPr>
              <w:t xml:space="preserve">damped = 50 + (weighted_total - 50) x rel</w:t>
            </w:r>
          </w:p>
        </w:tc>
      </w:tr>
    </w:tbl>
    <w:p>
      <w:pPr>
        <w:spacing w:after="120" w:line="276"/>
      </w:pPr>
      <w:r>
        <w:t xml:space="preserve">Counties outside any metro, and small metros, are pulled toward the middle; metro-embedded counties keep their score. Until 2.5 this used the distance catchment, which let a small metro near a big one borrow its size (see 3.3). Canada still uses its catchment.</w:t>
      </w:r>
    </w:p>
    <w:p>
      <w:pPr>
        <w:pStyle w:val="Heading2"/>
        <w:spacing w:after="100" w:before="220"/>
      </w:pPr>
      <w:r>
        <w:t xml:space="preserve">3.7 Preferred, coverage &amp; property bonuses (applied to headroom)</w:t>
      </w:r>
    </w:p>
    <w:p>
      <w:pPr>
        <w:spacing w:after="120" w:line="276"/>
      </w:pPr>
      <w:r>
        <w:t xml:space="preserve">Three additive bonuses reward a match without letting a strong county pin at 100 (which would tie the top results and hide their true order). They are applied to the REMAINING headroom above the damped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CE6" w:sz="1"/>
              <w:left w:val="single" w:color="D5DCE6" w:sz="1"/>
              <w:bottom w:val="single" w:color="D5DCE6" w:sz="1"/>
              <w:right w:val="single" w:color="D5DCE6" w:sz="1"/>
            </w:tcBorders>
            <w:shd w:fill="F4F7FB" w:val="clear"/>
            <w:tcMar>
              <w:top w:type="dxa" w:w="120"/>
              <w:left w:type="dxa" w:w="160"/>
              <w:bottom w:type="dxa" w:w="120"/>
              <w:right w:type="dxa" w:w="160"/>
            </w:tcMar>
          </w:tcPr>
          <w:p>
            <w:r>
              <w:rPr>
                <w:rFonts w:ascii="Consolas" w:cs="Consolas" w:eastAsia="Consolas" w:hAnsi="Consolas"/>
                <w:color w:val="39455A"/>
                <w:sz w:val="19"/>
                <w:szCs w:val="19"/>
              </w:rPr>
              <w:t xml:space="preserve">FastLocations Score = damped + (100 - damped) x min( (preferred + coverage + property) / 40, 1 )</w:t>
            </w:r>
          </w:p>
        </w:tc>
      </w:tr>
    </w:tbl>
    <w:p>
      <w:pPr>
        <w:pStyle w:val="ListParagraph"/>
        <w:numPr>
          <w:ilvl w:val="0"/>
          <w:numId w:val="2"/>
        </w:numPr>
        <w:spacing w:after="60"/>
      </w:pPr>
      <w:r>
        <w:rPr>
          <w:b/>
          <w:bCs/>
        </w:rPr>
        <w:t xml:space="preserve">Preferred bonus (+8) </w:t>
      </w:r>
      <w:r>
        <w:t xml:space="preserve">if the county is in a preferred region (or, when right-to-work is set to “preferred”, a right-to-work state).</w:t>
      </w:r>
    </w:p>
    <w:p>
      <w:pPr>
        <w:pStyle w:val="ListParagraph"/>
        <w:numPr>
          <w:ilvl w:val="0"/>
          <w:numId w:val="2"/>
        </w:numPr>
        <w:spacing w:after="60"/>
      </w:pPr>
      <w:r>
        <w:rPr>
          <w:b/>
          <w:bCs/>
        </w:rPr>
        <w:t xml:space="preserve">Coverage bonus </w:t>
      </w:r>
      <w:r>
        <w:t xml:space="preserve">over-indexes counties served by a specific LOCAL or REGIONAL EDO customer over those covered only by a broad state/provincial agency - a more actionable lead. By the serving EDO's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EDO category</w:t>
            </w:r>
          </w:p>
        </w:tc>
        <w:tc>
          <w:tcPr>
            <w:tcW w:type="dxa" w:w="468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Coverage bonus</w:t>
            </w:r>
          </w:p>
        </w:tc>
      </w:tr>
      <w:tr>
        <w:tc>
          <w:tcPr>
            <w:tcW w:type="dxa" w:w="468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Local Development Agency / Chamber / Megasite / Industrial Park</w:t>
            </w:r>
          </w:p>
        </w:tc>
        <w:tc>
          <w:tcPr>
            <w:tcW w:type="dxa" w:w="468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+10</w:t>
            </w:r>
          </w:p>
        </w:tc>
      </w:tr>
      <w:tr>
        <w:tc>
          <w:tcPr>
            <w:tcW w:type="dxa" w:w="468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Utility / Port-Airport Authority</w:t>
            </w:r>
          </w:p>
        </w:tc>
        <w:tc>
          <w:tcPr>
            <w:tcW w:type="dxa" w:w="468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+9</w:t>
            </w:r>
          </w:p>
        </w:tc>
      </w:tr>
      <w:tr>
        <w:tc>
          <w:tcPr>
            <w:tcW w:type="dxa" w:w="468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Regional Development Agency</w:t>
            </w:r>
          </w:p>
        </w:tc>
        <w:tc>
          <w:tcPr>
            <w:tcW w:type="dxa" w:w="468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+7</w:t>
            </w:r>
          </w:p>
        </w:tc>
      </w:tr>
      <w:tr>
        <w:tc>
          <w:tcPr>
            <w:tcW w:type="dxa" w:w="468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State / Provincial Agency</w:t>
            </w:r>
          </w:p>
        </w:tc>
        <w:tc>
          <w:tcPr>
            <w:tcW w:type="dxa" w:w="468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0</w:t>
            </w:r>
          </w:p>
        </w:tc>
      </w:tr>
    </w:tbl>
    <w:p>
      <w:pPr>
        <w:pStyle w:val="ListParagraph"/>
        <w:numPr>
          <w:ilvl w:val="0"/>
          <w:numId w:val="2"/>
        </w:numPr>
        <w:spacing w:after="60"/>
      </w:pPr>
      <w:r>
        <w:rPr>
          <w:b/>
          <w:bCs/>
        </w:rPr>
        <w:t xml:space="preserve">Property bonus </w:t>
      </w:r>
      <w:r>
        <w:t xml:space="preserve">(up to +5) when a serving EDO has live property listings, scaled by how specific that EDO is: factor = 1 / (1 + territory counties / 25), so a single-county EDO's listings count almost in full and a statewide agency's barely register. The most specific property-holding EDO sets the bonus (PROPERTY_BONUS and PROPERTY_SCOPE_K in scorer.py).</w:t>
      </w:r>
    </w:p>
    <w:p>
      <w:pPr>
        <w:spacing w:after="120" w:line="276"/>
      </w:pPr>
      <w:r>
        <w:t xml:space="preserve">At typical scores each bonus adds roughly its face value; near the top it tapers so ordering is preserved and nothing clamps at 100.</w:t>
      </w:r>
    </w:p>
    <w:p>
      <w:pPr>
        <w:spacing w:after="120" w:line="276"/>
      </w:pPr>
      <w:r>
        <w:t xml:space="preserve">Together the coverage and property bonuses can add 10 to 14 points to a strong market - more than the spread between the top markets' weighted totals - so where customer EDOs are strongly shapes which regions reach the Top 5 (see 3.11).</w:t>
      </w:r>
    </w:p>
    <w:p>
      <w:pPr>
        <w:pStyle w:val="Heading2"/>
        <w:spacing w:after="100" w:before="220"/>
      </w:pPr>
      <w:r>
        <w:t xml:space="preserve">3.8 The full formula,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DCE6" w:sz="1"/>
              <w:left w:val="single" w:color="D5DCE6" w:sz="1"/>
              <w:bottom w:val="single" w:color="D5DCE6" w:sz="1"/>
              <w:right w:val="single" w:color="D5DCE6" w:sz="1"/>
            </w:tcBorders>
            <w:shd w:fill="F4F7FB" w:val="clear"/>
            <w:tcMar>
              <w:top w:type="dxa" w:w="120"/>
              <w:left w:type="dxa" w:w="160"/>
              <w:bottom w:type="dxa" w:w="120"/>
              <w:right w:type="dxa" w:w="160"/>
            </w:tcMar>
          </w:tcPr>
          <w:p>
            <w:r>
              <w:rPr>
                <w:rFonts w:ascii="Consolas" w:cs="Consolas" w:eastAsia="Consolas" w:hAnsi="Consolas"/>
                <w:color w:val="39455A"/>
                <w:sz w:val="19"/>
                <w:szCs w:val="19"/>
              </w:rPr>
              <w:t xml:space="preserve">sub[dim] = weighted avg of metric percentiles (average-rank ties), over the reference set</w:t>
            </w:r>
          </w:p>
          <w:p>
            <w:pPr>
              <w:spacing w:before="30"/>
            </w:pPr>
            <w:r>
              <w:rPr>
                <w:rFonts w:ascii="Consolas" w:cs="Consolas" w:eastAsia="Consolas" w:hAnsi="Consolas"/>
                <w:color w:val="39455A"/>
                <w:sz w:val="19"/>
                <w:szCs w:val="19"/>
              </w:rPr>
              <w:t xml:space="preserve">total    = sum( sub[dim]*w[dim] ) / sum( w[dim] )     (non-null dims only)</w:t>
            </w:r>
          </w:p>
          <w:p>
            <w:pPr>
              <w:spacing w:before="30"/>
            </w:pPr>
            <w:r>
              <w:rPr>
                <w:rFonts w:ascii="Consolas" w:cs="Consolas" w:eastAsia="Consolas" w:hAnsi="Consolas"/>
                <w:color w:val="39455A"/>
                <w:sz w:val="19"/>
                <w:szCs w:val="19"/>
              </w:rPr>
              <w:t xml:space="preserve">rel      = market_pop / (market_pop + 100000)     (metro population)</w:t>
            </w:r>
          </w:p>
          <w:p>
            <w:pPr>
              <w:spacing w:before="30"/>
            </w:pPr>
            <w:r>
              <w:rPr>
                <w:rFonts w:ascii="Consolas" w:cs="Consolas" w:eastAsia="Consolas" w:hAnsi="Consolas"/>
                <w:color w:val="39455A"/>
                <w:sz w:val="19"/>
                <w:szCs w:val="19"/>
              </w:rPr>
              <w:t xml:space="preserve">damped   = 50 + (total - 50)*rel</w:t>
            </w:r>
          </w:p>
          <w:p>
            <w:pPr>
              <w:spacing w:before="30"/>
            </w:pPr>
            <w:r>
              <w:rPr>
                <w:rFonts w:ascii="Consolas" w:cs="Consolas" w:eastAsia="Consolas" w:hAnsi="Consolas"/>
                <w:color w:val="39455A"/>
                <w:sz w:val="19"/>
                <w:szCs w:val="19"/>
              </w:rPr>
              <w:t xml:space="preserve">SCORE    = damped + (100 - damped)*min( (pref+cov+prop)/40, 1 )</w:t>
            </w:r>
          </w:p>
        </w:tc>
      </w:tr>
    </w:tbl>
    <w:p>
      <w:r>
        <w:br w:type="page"/>
      </w:r>
    </w:p>
    <w:p>
      <w:pPr>
        <w:pStyle w:val="Heading2"/>
        <w:spacing w:after="100" w:before="220"/>
      </w:pPr>
      <w:r>
        <w:t xml:space="preserve">3.9 The eleven dimensions</w:t>
      </w:r>
    </w:p>
    <w:p>
      <w:pPr>
        <w:spacing w:after="120" w:line="276"/>
      </w:pPr>
      <w:r>
        <w:t xml:space="preserve">Default weights shown (they sum to 100); the form's sliders and use-type presets override them. Each dimension is scored differently for the US and Canadian spines because the available data differs.</w:t>
      </w:r>
    </w:p>
    <w:p>
      <w:pPr>
        <w:spacing w:after="120" w:line="276"/>
      </w:pPr>
      <w:r>
        <w:rPr>
          <w:b/>
          <w:bCs/>
        </w:rPr>
        <w:t xml:space="preserve">The Office preset </w:t>
      </w:r>
      <w:r>
        <w:t xml:space="preserve">is led by talent: workforce 26, demographics (education) 12 and innovation (knowledge economy) 10, with market size 14 and livability 10 for scale and staff attraction; cost 8, real estate 4, safety 4, logistics 6, incentives 4 and infrastructure 2. Until 2.6 it gave cost, real estate and safety 30% against 32% for talent, which put affordable logistics counties in the Office Top 5. Measured when adopted: the Office Top 5 went from Maricopa, AZ; Seminole, FL; King, WA; Wood, OH; Platte, MO to Seminole, FL (Lake Mary); King, WA; Arapahoe, CO (Denver Tech Center); Johnson, KS (Overland Park); Suffolk, MA (Boston), with Dane, WI, Collin, TX and Williamson, TN in the top 10. King rose from #8 to #2, Suffolk #35 to #18 and Travis, TX #62 to #31; Wood, OH fell from #17 to #28. test_scorer.py holds the preset to talent at least twice cheapness, and cheapness at no more than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320"/>
        <w:gridCol w:w="5180"/>
        <w:gridCol w:w="2410"/>
      </w:tblGrid>
      <w:tr>
        <w:trPr>
          <w:tblHeader/>
        </w:trPr>
        <w:tc>
          <w:tcPr>
            <w:tcW w:type="dxa" w:w="145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Dimension</w:t>
            </w:r>
          </w:p>
        </w:tc>
        <w:tc>
          <w:tcPr>
            <w:tcW w:type="dxa" w:w="32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Wt</w:t>
            </w:r>
          </w:p>
        </w:tc>
        <w:tc>
          <w:tcPr>
            <w:tcW w:type="dxa" w:w="518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Metrics (US / Canada)</w:t>
            </w:r>
          </w:p>
        </w:tc>
        <w:tc>
          <w:tcPr>
            <w:tcW w:type="dxa" w:w="241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Direction</w:t>
            </w:r>
          </w:p>
        </w:tc>
      </w:tr>
      <w:tr>
        <w:tc>
          <w:tcPr>
            <w:tcW w:type="dxa" w:w="14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Workforce</w:t>
            </w:r>
          </w:p>
        </w:tc>
        <w:tc>
          <w:tcPr>
            <w:tcW w:type="dxa" w:w="32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23</w:t>
            </w:r>
          </w:p>
        </w:tc>
        <w:tc>
          <w:tcPr>
            <w:tcW w:type="dxa" w:w="518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US: labor availability (low unemployment), staffability (can the market supply the start-up headcount, from labor force + population + recruitable pool), employee availability (recruitable slack), shift fit (mean hours worked - only when 2/3/continuous shifts), prime working-age share, skill supply (x1.5, only when skill profiles are selected); blended with the county DAI score at a fixed 7/23 of the dimension (see below).  CA: unemployment + staffability + skill supply (no DAI).</w:t>
            </w:r>
          </w:p>
        </w:tc>
        <w:tc>
          <w:tcPr>
            <w:tcW w:type="dxa" w:w="241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higher / inverted</w:t>
            </w:r>
          </w:p>
        </w:tc>
      </w:tr>
      <w:tr>
        <w:tc>
          <w:tcPr>
            <w:tcW w:type="dxa" w:w="14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Cost</w:t>
            </w:r>
          </w:p>
        </w:tc>
        <w:tc>
          <w:tcPr>
            <w:tcW w:type="dxa" w:w="32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13</w:t>
            </w:r>
          </w:p>
        </w:tc>
        <w:tc>
          <w:tcPr>
            <w:tcW w:type="dxa" w:w="518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US: median household income + BEA employer earnings + wealth/cost-of-living index, plus wage headroom against the project's target wage when one is given; ranked within market-size tiers, and within a multi-county MSA employer wages are the metro's and income and cost of living half the metro's (see 3.3).  CA: median household income.</w:t>
            </w:r>
          </w:p>
        </w:tc>
        <w:tc>
          <w:tcPr>
            <w:tcW w:type="dxa" w:w="241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inverted (cheaper better)</w:t>
            </w:r>
          </w:p>
        </w:tc>
      </w:tr>
      <w:tr>
        <w:tc>
          <w:tcPr>
            <w:tcW w:type="dxa" w:w="14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Real estate</w:t>
            </w:r>
          </w:p>
        </w:tc>
        <w:tc>
          <w:tcPr>
            <w:tcW w:type="dxa" w:w="32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10</w:t>
            </w:r>
          </w:p>
        </w:tc>
        <w:tc>
          <w:tcPr>
            <w:tcW w:type="dxa" w:w="518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US: land purchase price (x2, or x0.5 for office projects; USDA farm real estate per acre as a raw-land proxy) + effective property-tax rate. County-level, never metro-blended.  CA: median dwelling value.</w:t>
            </w:r>
          </w:p>
        </w:tc>
        <w:tc>
          <w:tcPr>
            <w:tcW w:type="dxa" w:w="241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inverted</w:t>
            </w:r>
          </w:p>
        </w:tc>
      </w:tr>
      <w:tr>
        <w:tc>
          <w:tcPr>
            <w:tcW w:type="dxa" w:w="14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Incentives</w:t>
            </w:r>
          </w:p>
        </w:tc>
        <w:tc>
          <w:tcPr>
            <w:tcW w:type="dxa" w:w="32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9</w:t>
            </w:r>
          </w:p>
        </w:tc>
        <w:tc>
          <w:tcPr>
            <w:tcW w:type="dxa" w:w="518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Value tier (largest program $, x2) + type diversity + depth-weighted match to the project's ranked priorities. State/province-keyed (identical for all counties in a state).</w:t>
            </w:r>
          </w:p>
        </w:tc>
        <w:tc>
          <w:tcPr>
            <w:tcW w:type="dxa" w:w="241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higher</w:t>
            </w:r>
          </w:p>
        </w:tc>
      </w:tr>
      <w:tr>
        <w:tc>
          <w:tcPr>
            <w:tcW w:type="dxa" w:w="14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Infrastructure</w:t>
            </w:r>
          </w:p>
        </w:tc>
        <w:tc>
          <w:tcPr>
            <w:tcW w:type="dxa" w:w="32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9</w:t>
            </w:r>
          </w:p>
        </w:tc>
        <w:tc>
          <w:tcPr>
            <w:tcW w:type="dxa" w:w="518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US: ASCE state grade blended with local power-generation capacity (plants &gt;=100 MW within ~60 mi); optionally renewable share, water resilience, and groundwater health.  CA: CMA = high, mid elsewhere.</w:t>
            </w:r>
          </w:p>
        </w:tc>
        <w:tc>
          <w:tcPr>
            <w:tcW w:type="dxa" w:w="241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higher</w:t>
            </w:r>
          </w:p>
        </w:tc>
      </w:tr>
      <w:tr>
        <w:tc>
          <w:tcPr>
            <w:tcW w:type="dxa" w:w="14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Logistics</w:t>
            </w:r>
          </w:p>
        </w:tc>
        <w:tc>
          <w:tcPr>
            <w:tcW w:type="dxa" w:w="32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8</w:t>
            </w:r>
          </w:p>
        </w:tc>
        <w:tc>
          <w:tcPr>
            <w:tcW w:type="dxa" w:w="518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US: airport capacity + enplanements + port tonnage + commute time.  CA: airport / port / grid-node counts.</w:t>
            </w:r>
          </w:p>
        </w:tc>
        <w:tc>
          <w:tcPr>
            <w:tcW w:type="dxa" w:w="241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higher / inverted</w:t>
            </w:r>
          </w:p>
        </w:tc>
      </w:tr>
      <w:tr>
        <w:tc>
          <w:tcPr>
            <w:tcW w:type="dxa" w:w="14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Market size</w:t>
            </w:r>
          </w:p>
        </w:tc>
        <w:tc>
          <w:tcPr>
            <w:tcW w:type="dxa" w:w="32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9*</w:t>
            </w:r>
          </w:p>
        </w:tc>
        <w:tc>
          <w:tcPr>
            <w:tcW w:type="dxa" w:w="518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Regional catchment population - people reachable within ~110 km (US) / 250 km (CA), distance-decayed. The cost tiers and damping use the metro population instead (3.3, 3.6).  *Canada floors this weight at 0.20.</w:t>
            </w:r>
          </w:p>
        </w:tc>
        <w:tc>
          <w:tcPr>
            <w:tcW w:type="dxa" w:w="241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higher</w:t>
            </w:r>
          </w:p>
        </w:tc>
      </w:tr>
      <w:tr>
        <w:tc>
          <w:tcPr>
            <w:tcW w:type="dxa" w:w="14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Livability</w:t>
            </w:r>
          </w:p>
        </w:tc>
        <w:tc>
          <w:tcPr>
            <w:tcW w:type="dxa" w:w="32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5</w:t>
            </w:r>
          </w:p>
        </w:tc>
        <w:tc>
          <w:tcPr>
            <w:tcW w:type="dxa" w:w="518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US: County Health Rankings - premature death, poor/fair health, unhealthy physical &amp; mental days, life expectancy.  CA: Numbeo most-livable-city ranks (ranked CDs only).</w:t>
            </w:r>
          </w:p>
        </w:tc>
        <w:tc>
          <w:tcPr>
            <w:tcW w:type="dxa" w:w="241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higher / inverted</w:t>
            </w:r>
          </w:p>
        </w:tc>
      </w:tr>
      <w:tr>
        <w:tc>
          <w:tcPr>
            <w:tcW w:type="dxa" w:w="14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Safety</w:t>
            </w:r>
          </w:p>
        </w:tc>
        <w:tc>
          <w:tcPr>
            <w:tcW w:type="dxa" w:w="32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5</w:t>
            </w:r>
          </w:p>
        </w:tc>
        <w:tc>
          <w:tcPr>
            <w:tcW w:type="dxa" w:w="518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US: crime rate, half the metro's within a multi-county MSA (see 3.3).  CA: StatCan Crime Severity Index (CMA-precise where mapped, else provincial).</w:t>
            </w:r>
          </w:p>
        </w:tc>
        <w:tc>
          <w:tcPr>
            <w:tcW w:type="dxa" w:w="241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inverted</w:t>
            </w:r>
          </w:p>
        </w:tc>
      </w:tr>
      <w:tr>
        <w:tc>
          <w:tcPr>
            <w:tcW w:type="dxa" w:w="14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Demographics</w:t>
            </w:r>
          </w:p>
        </w:tc>
        <w:tc>
          <w:tcPr>
            <w:tcW w:type="dxa" w:w="32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4</w:t>
            </w:r>
          </w:p>
        </w:tc>
        <w:tc>
          <w:tcPr>
            <w:tcW w:type="dxa" w:w="518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US: educational attainment (x2, priority-configurable: HS+/some-college/bachelor's+), 2016-21 growth, labor-force participation.  CA: bachelor's share, growth, participation.</w:t>
            </w:r>
          </w:p>
        </w:tc>
        <w:tc>
          <w:tcPr>
            <w:tcW w:type="dxa" w:w="241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higher</w:t>
            </w:r>
          </w:p>
        </w:tc>
      </w:tr>
      <w:tr>
        <w:tc>
          <w:tcPr>
            <w:tcW w:type="dxa" w:w="14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Innovation</w:t>
            </w:r>
          </w:p>
        </w:tc>
        <w:tc>
          <w:tcPr>
            <w:tcW w:type="dxa" w:w="32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5</w:t>
            </w:r>
          </w:p>
        </w:tc>
        <w:tc>
          <w:tcPr>
            <w:tcW w:type="dxa" w:w="518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US: technical employment (knowledge economy), R&amp;D establishment presence (x0.75), patenting and venture activity (innovation output), business dynamism.  CA: provincial innovation index.</w:t>
            </w:r>
          </w:p>
        </w:tc>
        <w:tc>
          <w:tcPr>
            <w:tcW w:type="dxa" w:w="241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higher</w:t>
            </w:r>
          </w:p>
        </w:tc>
      </w:tr>
    </w:tbl>
    <w:p>
      <w:pPr>
        <w:pStyle w:val="Heading3"/>
        <w:spacing w:after="80" w:before="180"/>
      </w:pPr>
      <w:r>
        <w:t xml:space="preserve">The DAI score inside Workforce</w:t>
      </w:r>
    </w:p>
    <w:p>
      <w:pPr>
        <w:spacing w:after="120" w:line="276"/>
      </w:pPr>
      <w:r>
        <w:t xml:space="preserve">The DAI score is a 0-100 county index (higher is better) supplied as a hand-maintained table, DAI.csv (NAME, STATE, FIPS, DAI Score). build_county_dai.py reads it into county_dai.json, which the engine overlays onto the US county features at startup. Until version 2.0 the same numbers travelled inside county_features.json as the critical_thinking metric and counted double within Workforce, where their share of the final score drifted with how many Workforce metrics a query populated (roughly 4-6%). In 2.1 and 2.2 DAI was a twelfth dimension with its own slider, held at 7 in every use-type preset.</w:t>
      </w:r>
    </w:p>
    <w:p>
      <w:pPr>
        <w:spacing w:after="120" w:line="276"/>
      </w:pPr>
      <w:r>
        <w:t xml:space="preserve">As of 2.3 the DAI slider is folded into the Workforce slider, and the form no longer names DAI. The engine still scores DAI on its own - the county's national percentile on the single DAI metric - and then blends it into the Workforce sub-score at a fixed share:</w:t>
      </w:r>
    </w:p>
    <w:p>
      <w:r>
        <w:rPr>
          <w:rFonts w:ascii="Consolas" w:cs="Consolas" w:eastAsia="Consolas" w:hAnsi="Consolas"/>
          <w:color w:val="39455A"/>
          <w:sz w:val="19"/>
          <w:szCs w:val="19"/>
        </w:rPr>
        <w:t xml:space="preserve">workforce = other workforce metrics x 16/23 + DAI x 7/23      (DAI_WORKFORCE_SHARE = 7/23)</w:t>
      </w:r>
    </w:p>
    <w:p>
      <w:pPr>
        <w:spacing w:after="120" w:line="276"/>
      </w:pPr>
      <w:r>
        <w:t xml:space="preserve">The Workforce default weight is 23 - the old 16 plus DAI's 7 - and every use-type preset gained the same 7 points on Workforce. At the default weights a US county therefore scores as it did in 2.2 (to rounding), while DAI's pull now moves with the Workforce slider. A fixed share, rather than a metric weight, stops that pull drifting with how many other Workforce metrics a query populates. Scenarios saved under 2.1 or 2.2 carry a separate dai weight; the form and the engine both add it to Workforce.</w:t>
      </w:r>
    </w:p>
    <w:p>
      <w:pPr>
        <w:spacing w:after="120" w:line="276"/>
      </w:pPr>
      <w:r>
        <w:t xml:space="preserve">Coverage: 3,113 of 3,144 US counties. The source is still keyed by the eight pre-2022 Connecticut counties, so the nine 2022 planning regions the engine uses are carried forward from the values derived in the 2022 geography migration; Alaska is absent from the source and scores null; the Puerto Rico and USVI rows are not counties in the model and are skipped. Where there is no DAI (Canada, Alaska) Workforce is scored on its other metrics alone - a gap, never a penalty. Because Workforce there now carries its full weight, rather than DAI's 7 points renormalising away, Canadian scores moved by up to 0.3 points in 2.3. If county_dai.json is missing at startup the engine falls back to the critical_thinking field, so DAI is still scored.</w:t>
      </w:r>
    </w:p>
    <w:p>
      <w:pPr>
        <w:spacing w:after="120" w:line="276"/>
      </w:pPr>
      <w:r>
        <w:t xml:space="preserve">To refresh: replace DAI.csv and run python build_county_dai.py DAI.csv, or drop the CSV into tool/staging/county_dai/ and use the Data Refresh tool; then commit county_dai.json and push. test_scorer.py checks that DAI is neither a dimension nor a Workforce metric, that it holds 7/23 of Workforce and actually moves the Workforce score, that an old dai weight folds into Workforce, and that the presets and the form's sliders match the engine's dimensions with no DAI slider.</w:t>
      </w:r>
    </w:p>
    <w:p>
      <w:pPr>
        <w:pStyle w:val="Heading2"/>
        <w:spacing w:after="100" w:before="220"/>
      </w:pPr>
      <w:r>
        <w:t xml:space="preserve">3.10 Hard filters vs scoring</w:t>
      </w:r>
    </w:p>
    <w:p>
      <w:pPr>
        <w:spacing w:after="120" w:line="276"/>
      </w:pPr>
      <w:r>
        <w:t xml:space="preserve">Filters remove candidates before ranking; they never change a survivor's score. Scoring ranks the survivors. Filters only apply where the datum exists, so absent data never excludes.</w:t>
      </w:r>
    </w:p>
    <w:p>
      <w:pPr>
        <w:pStyle w:val="ListParagraph"/>
        <w:numPr>
          <w:ilvl w:val="0"/>
          <w:numId w:val="2"/>
        </w:numPr>
        <w:spacing w:after="60"/>
      </w:pPr>
      <w:r>
        <w:rPr>
          <w:b/>
          <w:bCs/>
        </w:rPr>
        <w:t xml:space="preserve">Region: </w:t>
      </w:r>
      <w:r>
        <w:t xml:space="preserve">required (keep only), excluded (remove). Preferred is a bonus, not a filter.</w:t>
      </w:r>
    </w:p>
    <w:p>
      <w:pPr>
        <w:pStyle w:val="ListParagraph"/>
        <w:numPr>
          <w:ilvl w:val="0"/>
          <w:numId w:val="2"/>
        </w:numPr>
        <w:spacing w:after="60"/>
      </w:pPr>
      <w:r>
        <w:rPr>
          <w:b/>
          <w:bCs/>
        </w:rPr>
        <w:t xml:space="preserve">Market proximity: </w:t>
      </w:r>
      <w:r>
        <w:t xml:space="preserve">keep counties whose centroid is within X miles of a named place (bundled offline geocoder; km auto-converted for Canada).</w:t>
      </w:r>
    </w:p>
    <w:p>
      <w:pPr>
        <w:pStyle w:val="ListParagraph"/>
        <w:numPr>
          <w:ilvl w:val="0"/>
          <w:numId w:val="2"/>
        </w:numPr>
        <w:spacing w:after="60"/>
      </w:pPr>
      <w:r>
        <w:rPr>
          <w:b/>
          <w:bCs/>
        </w:rPr>
        <w:t xml:space="preserve">Thresholds: </w:t>
      </w:r>
      <w:r>
        <w:t xml:space="preserve">minimum population / labor force are tested against the regional CATCHMENT (“within the draw radius”), not the single county.</w:t>
      </w:r>
    </w:p>
    <w:p>
      <w:pPr>
        <w:pStyle w:val="ListParagraph"/>
        <w:numPr>
          <w:ilvl w:val="0"/>
          <w:numId w:val="2"/>
        </w:numPr>
        <w:spacing w:after="60"/>
      </w:pPr>
      <w:r>
        <w:rPr>
          <w:b/>
          <w:bCs/>
        </w:rPr>
        <w:t xml:space="preserve">Right-to-work: </w:t>
      </w:r>
      <w:r>
        <w:t xml:space="preserve">“required” keeps only the 26 right-to-work states; “preferred” adds the +8 bonus.</w:t>
      </w:r>
    </w:p>
    <w:p>
      <w:pPr>
        <w:pStyle w:val="ListParagraph"/>
        <w:numPr>
          <w:ilvl w:val="0"/>
          <w:numId w:val="2"/>
        </w:numPr>
        <w:spacing w:after="60"/>
      </w:pPr>
      <w:r>
        <w:rPr>
          <w:b/>
          <w:bCs/>
        </w:rPr>
        <w:t xml:space="preserve">Water / drought (opt-in): </w:t>
      </w:r>
      <w:r>
        <w:t xml:space="preserve">“required” excludes counties in drought, on the depletion-hotspot list, or with &gt;66% of monitored wells declining. “preferred” folds current drought, chronic depletion, and USGS well-trend health into the Infrastructure score. Inert unless selected.</w:t>
      </w:r>
    </w:p>
    <w:p>
      <w:pPr>
        <w:pStyle w:val="ListParagraph"/>
        <w:numPr>
          <w:ilvl w:val="0"/>
          <w:numId w:val="2"/>
        </w:numPr>
        <w:spacing w:after="60"/>
      </w:pPr>
      <w:r>
        <w:rPr>
          <w:b/>
          <w:bCs/>
        </w:rPr>
        <w:t xml:space="preserve">Port / airport: </w:t>
      </w:r>
      <w:r>
        <w:t xml:space="preserve">presence filters where required.</w:t>
      </w:r>
    </w:p>
    <w:p>
      <w:pPr>
        <w:pStyle w:val="Heading2"/>
        <w:spacing w:after="100" w:before="220"/>
      </w:pPr>
      <w:r>
        <w:t xml:space="preserve">3.11 EDO rollup, Primary vs Other Notable</w:t>
      </w:r>
    </w:p>
    <w:p>
      <w:pPr>
        <w:spacing w:after="120" w:line="276"/>
      </w:pPr>
      <w:r>
        <w:t xml:space="preserve">Every candidate is joined to the EDO customer(s) whose territory contains it; the most specific (smallest territory) serves as the lead. Results are then split:</w:t>
      </w:r>
    </w:p>
    <w:p>
      <w:pPr>
        <w:pStyle w:val="ListParagraph"/>
        <w:numPr>
          <w:ilvl w:val="0"/>
          <w:numId w:val="2"/>
        </w:numPr>
        <w:spacing w:after="60"/>
      </w:pPr>
      <w:r>
        <w:rPr>
          <w:b/>
          <w:bCs/>
        </w:rPr>
        <w:t xml:space="preserve">Primary matches </w:t>
      </w:r>
      <w:r>
        <w:t xml:space="preserve">- counties served by an EDO customer, collapsed to DISTINCT organisations so the Top-N are different customers to route to. If too few organisations exist (e.g. one provincial agency serves all of Ontario), the list backfills with the next-best counties so it still returns N.</w:t>
      </w:r>
    </w:p>
    <w:p>
      <w:pPr>
        <w:pStyle w:val="ListParagraph"/>
        <w:numPr>
          <w:ilvl w:val="0"/>
          <w:numId w:val="2"/>
        </w:numPr>
        <w:spacing w:after="60"/>
      </w:pPr>
      <w:r>
        <w:rPr>
          <w:b/>
          <w:bCs/>
        </w:rPr>
        <w:t xml:space="preserve">Other Notable Matches </w:t>
      </w:r>
      <w:r>
        <w:t xml:space="preserve">- the top-scoring counties with NO EDO customer (e.g. NYC, LA, Chicago cores), shown with county, state, MSA and score only. Because scoring ranks against all counties, these are genuine peers of the primary list.</w:t>
      </w:r>
    </w:p>
    <w:p>
      <w:pPr>
        <w:spacing w:after="120" w:line="276"/>
      </w:pPr>
      <w:r>
        <w:rPr>
          <w:b/>
          <w:bCs/>
        </w:rPr>
        <w:t xml:space="preserve">Choosing the Top-N. </w:t>
      </w:r>
      <w:r>
        <w:t xml:space="preserve">After the distinct-organisation rule, two spread rules decide which of the already-ranked Primary matches surface. Neither changes any score.</w:t>
      </w:r>
    </w:p>
    <w:p>
      <w:pPr>
        <w:pStyle w:val="ListParagraph"/>
        <w:numPr>
          <w:ilvl w:val="0"/>
          <w:numId w:val="2"/>
        </w:numPr>
        <w:spacing w:after="60"/>
      </w:pPr>
      <w:r>
        <w:rPr>
          <w:b/>
          <w:bCs/>
        </w:rPr>
        <w:t xml:space="preserve">Per state or province </w:t>
      </w:r>
      <w:r>
        <w:t xml:space="preserve">(MAX_PER_REGION = 2). At most two results from one state or province. County granularity varies about fivefold (Georgia has 159 counties, all of British Columbia 29 census divisions), so without it finely subdivided states crowd out the rest.</w:t>
      </w:r>
    </w:p>
    <w:p>
      <w:pPr>
        <w:pStyle w:val="ListParagraph"/>
        <w:numPr>
          <w:ilvl w:val="0"/>
          <w:numId w:val="2"/>
        </w:numPr>
        <w:spacing w:after="60"/>
      </w:pPr>
      <w:r>
        <w:rPr>
          <w:b/>
          <w:bCs/>
        </w:rPr>
        <w:t xml:space="preserve">Per region </w:t>
      </w:r>
      <w:r>
        <w:t xml:space="preserve">(MAX_PER_DIVISION = 1, added in 2.3). The list first takes at most one result per region - the nine US Census divisions and Statistics Canada's six standard regions (Atlantic, Quebec, Ontario, Prairies, British Columbia, Northern) - then backfills by rank, still at most two per state, and finally with whatever is left, so a search confined to one region still returns N. The list is shown in rank order. The rule is skipped when the user names preferred regions, since they asked for those areas. When it applies the response carries trace.division_spread, and the form adds one sentence under the results saying the list takes the strongest match from each region first.</w:t>
      </w:r>
    </w:p>
    <w:p>
      <w:pPr>
        <w:spacing w:after="120" w:line="276"/>
      </w:pPr>
      <w:r>
        <w:rPr>
          <w:b/>
          <w:bCs/>
        </w:rPr>
        <w:t xml:space="preserve">Why the regional rule exists. </w:t>
      </w:r>
      <w:r>
        <w:t xml:space="preserve">Measured on 2026-09-10 with a nationwide US search under the default weights and all seven use-type presets (40 Top-5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300"/>
        <w:gridCol w:w="1300"/>
        <w:gridCol w:w="1300"/>
        <w:gridCol w:w="1300"/>
        <w:gridCol w:w="1300"/>
      </w:tblGrid>
      <w:tr>
        <w:trPr>
          <w:tblHeader/>
        </w:trPr>
        <w:tc>
          <w:tcPr>
            <w:tcW w:type="dxa" w:w="286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vAlign w:val="center"/>
          </w:tcPr>
          <w:p>
            <w:r>
              <w:rPr>
                <w:b/>
                <w:bCs/>
                <w:color w:val="FFFFFF"/>
                <w:sz w:val="18"/>
                <w:szCs w:val="18"/>
              </w:rPr>
              <w:t xml:space="preserve"/>
            </w:r>
          </w:p>
        </w:tc>
        <w:tc>
          <w:tcPr>
            <w:tcW w:type="dxa" w:w="130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vAlign w:val="center"/>
          </w:tcPr>
          <w:p>
            <w:pPr>
              <w:jc w:val="center"/>
            </w:pPr>
            <w:r>
              <w:rPr>
                <w:b/>
                <w:bCs/>
                <w:color w:val="FFFFFF"/>
                <w:sz w:val="18"/>
                <w:szCs w:val="18"/>
              </w:rPr>
              <w:t xml:space="preserve">Northeast</w:t>
            </w:r>
          </w:p>
        </w:tc>
        <w:tc>
          <w:tcPr>
            <w:tcW w:type="dxa" w:w="130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vAlign w:val="center"/>
          </w:tcPr>
          <w:p>
            <w:pPr>
              <w:jc w:val="center"/>
            </w:pPr>
            <w:r>
              <w:rPr>
                <w:b/>
                <w:bCs/>
                <w:color w:val="FFFFFF"/>
                <w:sz w:val="18"/>
                <w:szCs w:val="18"/>
              </w:rPr>
              <w:t xml:space="preserve">Northwest</w:t>
            </w:r>
          </w:p>
        </w:tc>
        <w:tc>
          <w:tcPr>
            <w:tcW w:type="dxa" w:w="130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vAlign w:val="center"/>
          </w:tcPr>
          <w:p>
            <w:pPr>
              <w:jc w:val="center"/>
            </w:pPr>
            <w:r>
              <w:rPr>
                <w:b/>
                <w:bCs/>
                <w:color w:val="FFFFFF"/>
                <w:sz w:val="18"/>
                <w:szCs w:val="18"/>
              </w:rPr>
              <w:t xml:space="preserve">Mid-Atlantic</w:t>
            </w:r>
          </w:p>
        </w:tc>
        <w:tc>
          <w:tcPr>
            <w:tcW w:type="dxa" w:w="130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vAlign w:val="center"/>
          </w:tcPr>
          <w:p>
            <w:pPr>
              <w:jc w:val="center"/>
            </w:pPr>
            <w:r>
              <w:rPr>
                <w:b/>
                <w:bCs/>
                <w:color w:val="FFFFFF"/>
                <w:sz w:val="18"/>
                <w:szCs w:val="18"/>
              </w:rPr>
              <w:t xml:space="preserve">Southeast</w:t>
            </w:r>
          </w:p>
        </w:tc>
        <w:tc>
          <w:tcPr>
            <w:tcW w:type="dxa" w:w="130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vAlign w:val="center"/>
          </w:tcPr>
          <w:p>
            <w:pPr>
              <w:jc w:val="center"/>
            </w:pPr>
            <w:r>
              <w:rPr>
                <w:b/>
                <w:bCs/>
                <w:color w:val="FFFFFF"/>
                <w:sz w:val="18"/>
                <w:szCs w:val="18"/>
              </w:rPr>
              <w:t xml:space="preserve">Rest of US</w:t>
            </w:r>
          </w:p>
        </w:tc>
      </w:tr>
      <w:tr>
        <w:tc>
          <w:tcPr>
            <w:tcW w:type="dxa" w:w="28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Share of US population</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17%</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4%</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6%</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19%</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54%</w:t>
            </w:r>
          </w:p>
        </w:tc>
      </w:tr>
      <w:tr>
        <w:tc>
          <w:tcPr>
            <w:tcW w:type="dxa" w:w="28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Top 5 on scores alone</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0%</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2%</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15%</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30%</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52%</w:t>
            </w:r>
          </w:p>
        </w:tc>
      </w:tr>
      <w:tr>
        <w:tc>
          <w:tcPr>
            <w:tcW w:type="dxa" w:w="28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Top 5 with the regional rule</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8%</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5%</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10%</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10%</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68%</w:t>
            </w:r>
          </w:p>
        </w:tc>
      </w:tr>
      <w:tr>
        <w:tc>
          <w:tcPr>
            <w:tcW w:type="dxa" w:w="28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Population with a customer EDO</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47%</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35%</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65%</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84%</w:t>
            </w:r>
          </w:p>
        </w:tc>
        <w:tc>
          <w:tcPr>
            <w:tcW w:type="dxa" w:w="130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pPr>
              <w:jc w:val="center"/>
            </w:pPr>
            <w:r>
              <w:rPr>
                <w:sz w:val="18"/>
                <w:szCs w:val="18"/>
              </w:rPr>
              <w:t xml:space="preserve">68%</w:t>
            </w:r>
          </w:p>
        </w:tc>
      </w:tr>
    </w:tbl>
    <w:p>
      <w:pPr>
        <w:spacing w:before="60" w:after="120"/>
      </w:pPr>
      <w:r>
        <w:rPr>
          <w:color w:val="6B7787"/>
          <w:sz w:val="18"/>
          <w:szCs w:val="18"/>
        </w:rPr>
        <w:t xml:space="preserve">Regions: Northeast = New England + NY, NJ, PA; Northwest = WA, OR, ID, MT; Mid-Atlantic = DE, MD, DC, VA, WV; Southeast = NC, SC, GA, FL, TN, AL, MS.</w:t>
      </w:r>
    </w:p>
    <w:p>
      <w:pPr>
        <w:spacing w:after="120" w:line="276"/>
      </w:pPr>
      <w:r>
        <w:t xml:space="preserve">The main driver is customer-EDO coverage, not the weights. Only served counties can be Primary matches, and the coverage and property bonuses (3.7) add 10 to 14 points to a strong market: Pierce County, WA scores 57.2 before bonuses and King County 57.6, but they finished at 56.9 and 73.2 because only King had a bonus-earning EDO. Coverage was under 30% of the population in NJ, PA, MD, DC, VT, WA, OR and MT, and 100% in VA, NC, SC, GA and AL. Reweighting does not fix it: even with zero weight on cost and real estate the Northeast took 8% of the Top 5 and the Northwest none, and ranking real estate or safety within market-size tiers helped the Southeast most. The regional rule is the one lever that moved the mix. Its costs: the rest of the US (Midwest, Texas, Mountain West) now takes more than its population share, and a higher-scoring county from a region already represented can be left out of the Top 5.</w:t>
      </w:r>
    </w:p>
    <w:p>
      <w:pPr>
        <w:spacing w:after="120" w:line="276"/>
      </w:pPr>
      <w:r>
        <w:rPr>
          <w:b/>
          <w:bCs/>
        </w:rPr>
        <w:t xml:space="preserve">Monitoring. </w:t>
      </w:r>
      <w:r>
        <w:t xml:space="preserve">Coverage changes as EDOs join after launch, so re-measure with </w:t>
      </w:r>
      <w:r>
        <w:rPr>
          <w:rFonts w:ascii="Consolas" w:cs="Consolas" w:eastAsia="Consolas" w:hAnsi="Consolas"/>
          <w:color w:val="39455A"/>
          <w:sz w:val="19"/>
          <w:szCs w:val="19"/>
        </w:rPr>
        <w:t xml:space="preserve">python check_regional_balance.py</w:t>
      </w:r>
      <w:r>
        <w:t xml:space="preserve">. It prints each region's share of the Top 5 with and without the regional rule against its population share, customer-EDO coverage by region, the states where coverage is under 50%, and every scenario's Top 5. </w:t>
      </w:r>
      <w:r>
        <w:rPr>
          <w:rFonts w:ascii="Consolas" w:cs="Consolas" w:eastAsia="Consolas" w:hAnsi="Consolas"/>
          <w:color w:val="39455A"/>
          <w:sz w:val="19"/>
          <w:szCs w:val="19"/>
        </w:rPr>
        <w:t xml:space="preserve">--save</w:t>
      </w:r>
      <w:r>
        <w:t xml:space="preserve"> writes a dated snapshot to reports/regional_balance/ and </w:t>
      </w:r>
      <w:r>
        <w:rPr>
          <w:rFonts w:ascii="Consolas" w:cs="Consolas" w:eastAsia="Consolas" w:hAnsi="Consolas"/>
          <w:color w:val="39455A"/>
          <w:sz w:val="19"/>
          <w:szCs w:val="19"/>
        </w:rPr>
        <w:t xml:space="preserve">--compare</w:t>
      </w:r>
      <w:r>
        <w:t xml:space="preserve"> shows the change since the latest one. The 2026-09-10 snapshot is the pre-launch baseline.</w:t>
      </w:r>
    </w:p>
    <w:p>
      <w:r>
        <w:br w:type="page"/>
      </w:r>
    </w:p>
    <w:p>
      <w:pPr>
        <w:pStyle w:val="Heading1"/>
        <w:spacing w:after="140" w:before="280"/>
      </w:pPr>
      <w:r>
        <w:t xml:space="preserve">4.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560"/>
        <w:gridCol w:w="2250"/>
      </w:tblGrid>
      <w:tr>
        <w:trPr>
          <w:tblHeader/>
        </w:trPr>
        <w:tc>
          <w:tcPr>
            <w:tcW w:type="dxa" w:w="255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Layer</w:t>
            </w:r>
          </w:p>
        </w:tc>
        <w:tc>
          <w:tcPr>
            <w:tcW w:type="dxa" w:w="456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Source</w:t>
            </w:r>
          </w:p>
        </w:tc>
        <w:tc>
          <w:tcPr>
            <w:tcW w:type="dxa" w:w="2250"/>
            <w:tcBorders>
              <w:top w:val="single" w:color="D5DCE6" w:sz="1"/>
              <w:left w:val="single" w:color="D5DCE6" w:sz="1"/>
              <w:bottom w:val="single" w:color="D5DCE6" w:sz="1"/>
              <w:right w:val="single" w:color="D5DCE6" w:sz="1"/>
            </w:tcBorders>
            <w:shd w:fill="1A54A0" w:val="clear"/>
            <w:tcMar>
              <w:top w:type="dxa" w:w="60"/>
              <w:left w:type="dxa" w:w="100"/>
              <w:bottom w:type="dxa" w:w="60"/>
              <w:right w:type="dxa" w:w="100"/>
            </w:tcMar>
          </w:tcPr>
          <w:p>
            <w:r>
              <w:rPr>
                <w:b/>
                <w:bCs/>
                <w:color w:val="FFFFFF"/>
                <w:sz w:val="18"/>
                <w:szCs w:val="18"/>
              </w:rPr>
              <w:t xml:space="preserve">Join key</w:t>
            </w:r>
          </w:p>
        </w:tc>
      </w:tr>
      <w:tr>
        <w:tc>
          <w:tcPr>
            <w:tcW w:type="dxa" w:w="25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Demographics, income, workforce</w:t>
            </w:r>
          </w:p>
        </w:tc>
        <w:tc>
          <w:tcPr>
            <w:tcW w:type="dxa" w:w="45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Esri GeoEnrichment (US county)</w:t>
            </w:r>
          </w:p>
        </w:tc>
        <w:tc>
          <w:tcPr>
            <w:tcW w:type="dxa" w:w="22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FIPS</w:t>
            </w:r>
          </w:p>
        </w:tc>
      </w:tr>
      <w:tr>
        <w:tc>
          <w:tcPr>
            <w:tcW w:type="dxa" w:w="25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Workforce availability &amp; hours</w:t>
            </w:r>
          </w:p>
        </w:tc>
        <w:tc>
          <w:tcPr>
            <w:tcW w:type="dxa" w:w="45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ACS county file (mean hours, % not in labor force, recruitable pool)</w:t>
            </w:r>
          </w:p>
        </w:tc>
        <w:tc>
          <w:tcPr>
            <w:tcW w:type="dxa" w:w="22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FIPS</w:t>
            </w:r>
          </w:p>
        </w:tc>
      </w:tr>
      <w:tr>
        <w:tc>
          <w:tcPr>
            <w:tcW w:type="dxa" w:w="25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DAI score</w:t>
            </w:r>
          </w:p>
        </w:tc>
        <w:tc>
          <w:tcPr>
            <w:tcW w:type="dxa" w:w="45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DAI.csv - hand-maintained county table (NAME, STATE, FIPS, DAI Score) -&gt; county_dai.json via build_county_dai.py</w:t>
            </w:r>
          </w:p>
        </w:tc>
        <w:tc>
          <w:tcPr>
            <w:tcW w:type="dxa" w:w="22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FIPS</w:t>
            </w:r>
          </w:p>
        </w:tc>
      </w:tr>
      <w:tr>
        <w:tc>
          <w:tcPr>
            <w:tcW w:type="dxa" w:w="25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Crime</w:t>
            </w:r>
          </w:p>
        </w:tc>
        <w:tc>
          <w:tcPr>
            <w:tcW w:type="dxa" w:w="45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County crime dataset</w:t>
            </w:r>
          </w:p>
        </w:tc>
        <w:tc>
          <w:tcPr>
            <w:tcW w:type="dxa" w:w="22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FIPS</w:t>
            </w:r>
          </w:p>
        </w:tc>
      </w:tr>
      <w:tr>
        <w:tc>
          <w:tcPr>
            <w:tcW w:type="dxa" w:w="25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Livability / health</w:t>
            </w:r>
          </w:p>
        </w:tc>
        <w:tc>
          <w:tcPr>
            <w:tcW w:type="dxa" w:w="45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County Health Rankings 2025</w:t>
            </w:r>
          </w:p>
        </w:tc>
        <w:tc>
          <w:tcPr>
            <w:tcW w:type="dxa" w:w="22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FIPS</w:t>
            </w:r>
          </w:p>
        </w:tc>
      </w:tr>
      <w:tr>
        <w:tc>
          <w:tcPr>
            <w:tcW w:type="dxa" w:w="25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Property tax</w:t>
            </w:r>
          </w:p>
        </w:tc>
        <w:tc>
          <w:tcPr>
            <w:tcW w:type="dxa" w:w="45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Tax Foundation</w:t>
            </w:r>
          </w:p>
        </w:tc>
        <w:tc>
          <w:tcPr>
            <w:tcW w:type="dxa" w:w="22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State + county</w:t>
            </w:r>
          </w:p>
        </w:tc>
      </w:tr>
      <w:tr>
        <w:tc>
          <w:tcPr>
            <w:tcW w:type="dxa" w:w="25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Infrastructure grade</w:t>
            </w:r>
          </w:p>
        </w:tc>
        <w:tc>
          <w:tcPr>
            <w:tcW w:type="dxa" w:w="45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ASCE Infrastructure Report Card (state GPA)</w:t>
            </w:r>
          </w:p>
        </w:tc>
        <w:tc>
          <w:tcPr>
            <w:tcW w:type="dxa" w:w="22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State</w:t>
            </w:r>
          </w:p>
        </w:tc>
      </w:tr>
      <w:tr>
        <w:tc>
          <w:tcPr>
            <w:tcW w:type="dxa" w:w="25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Power generation</w:t>
            </w:r>
          </w:p>
        </w:tc>
        <w:tc>
          <w:tcPr>
            <w:tcW w:type="dxa" w:w="45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North American Power Plants &gt;=100 MW (capacity + renewable, within ~60 mi)</w:t>
            </w:r>
          </w:p>
        </w:tc>
        <w:tc>
          <w:tcPr>
            <w:tcW w:type="dxa" w:w="22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lat/long -&gt; FIPS</w:t>
            </w:r>
          </w:p>
        </w:tc>
      </w:tr>
      <w:tr>
        <w:tc>
          <w:tcPr>
            <w:tcW w:type="dxa" w:w="25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Water - drought</w:t>
            </w:r>
          </w:p>
        </w:tc>
        <w:tc>
          <w:tcPr>
            <w:tcW w:type="dxa" w:w="45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U.S. Drought Monitor snapshot (% not in drought)</w:t>
            </w:r>
          </w:p>
        </w:tc>
        <w:tc>
          <w:tcPr>
            <w:tcW w:type="dxa" w:w="22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FIPS</w:t>
            </w:r>
          </w:p>
        </w:tc>
      </w:tr>
      <w:tr>
        <w:tc>
          <w:tcPr>
            <w:tcW w:type="dxa" w:w="25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Water - groundwater</w:t>
            </w:r>
          </w:p>
        </w:tc>
        <w:tc>
          <w:tcPr>
            <w:tcW w:type="dxa" w:w="45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USGS well trends (share declining, 2000-20) + curated depletion hotspots</w:t>
            </w:r>
          </w:p>
        </w:tc>
        <w:tc>
          <w:tcPr>
            <w:tcW w:type="dxa" w:w="22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lat/long -&gt; FIPS</w:t>
            </w:r>
          </w:p>
        </w:tc>
      </w:tr>
      <w:tr>
        <w:tc>
          <w:tcPr>
            <w:tcW w:type="dxa" w:w="25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Market catchment</w:t>
            </w:r>
          </w:p>
        </w:tc>
        <w:tc>
          <w:tcPr>
            <w:tcW w:type="dxa" w:w="45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Precomputed from county/CD centroids + population</w:t>
            </w:r>
          </w:p>
        </w:tc>
        <w:tc>
          <w:tcPr>
            <w:tcW w:type="dxa" w:w="22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FIPS / CDUID</w:t>
            </w:r>
          </w:p>
        </w:tc>
      </w:tr>
      <w:tr>
        <w:tc>
          <w:tcPr>
            <w:tcW w:type="dxa" w:w="25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MSA labels</w:t>
            </w:r>
          </w:p>
        </w:tc>
        <w:tc>
          <w:tcPr>
            <w:tcW w:type="dxa" w:w="45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BLS County-MSA-CSA crosswalk (Metro)</w:t>
            </w:r>
          </w:p>
        </w:tc>
        <w:tc>
          <w:tcPr>
            <w:tcW w:type="dxa" w:w="22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FIPS</w:t>
            </w:r>
          </w:p>
        </w:tc>
      </w:tr>
      <w:tr>
        <w:tc>
          <w:tcPr>
            <w:tcW w:type="dxa" w:w="25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Incentives</w:t>
            </w:r>
          </w:p>
        </w:tc>
        <w:tc>
          <w:tcPr>
            <w:tcW w:type="dxa" w:w="45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State &amp; provincial program catalog (value tier, type diversity)</w:t>
            </w:r>
          </w:p>
        </w:tc>
        <w:tc>
          <w:tcPr>
            <w:tcW w:type="dxa" w:w="22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State / province</w:t>
            </w:r>
          </w:p>
        </w:tc>
      </w:tr>
      <w:tr>
        <w:tc>
          <w:tcPr>
            <w:tcW w:type="dxa" w:w="25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Canada socioeconomics</w:t>
            </w:r>
          </w:p>
        </w:tc>
        <w:tc>
          <w:tcPr>
            <w:tcW w:type="dxa" w:w="45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StatCan Census Profile by CD (income, dwelling, education, labour, growth)</w:t>
            </w:r>
          </w:p>
        </w:tc>
        <w:tc>
          <w:tcPr>
            <w:tcW w:type="dxa" w:w="22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CDUID</w:t>
            </w:r>
          </w:p>
        </w:tc>
      </w:tr>
      <w:tr>
        <w:tc>
          <w:tcPr>
            <w:tcW w:type="dxa" w:w="25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Canada safety</w:t>
            </w:r>
          </w:p>
        </w:tc>
        <w:tc>
          <w:tcPr>
            <w:tcW w:type="dxa" w:w="45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StatCan Crime Severity Index (province + CMA)</w:t>
            </w:r>
          </w:p>
        </w:tc>
        <w:tc>
          <w:tcPr>
            <w:tcW w:type="dxa" w:w="22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CDUID</w:t>
            </w:r>
          </w:p>
        </w:tc>
      </w:tr>
      <w:tr>
        <w:tc>
          <w:tcPr>
            <w:tcW w:type="dxa" w:w="25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Canada centroids</w:t>
            </w:r>
          </w:p>
        </w:tc>
        <w:tc>
          <w:tcPr>
            <w:tcW w:type="dxa" w:w="456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Population-weighted CD centroids from DA centroids</w:t>
            </w:r>
          </w:p>
        </w:tc>
        <w:tc>
          <w:tcPr>
            <w:tcW w:type="dxa" w:w="2250"/>
            <w:tcBorders>
              <w:top w:val="single" w:color="D5DCE6" w:sz="1"/>
              <w:left w:val="single" w:color="D5DCE6" w:sz="1"/>
              <w:bottom w:val="single" w:color="D5DCE6" w:sz="1"/>
              <w:right w:val="single" w:color="D5DCE6" w:sz="1"/>
            </w:tcBorders>
            <w:shd w:fill="F4F7FB" w:val="clear"/>
            <w:tcMar>
              <w:top w:type="dxa" w:w="50"/>
              <w:left w:type="dxa" w:w="100"/>
              <w:bottom w:type="dxa" w:w="50"/>
              <w:right w:type="dxa" w:w="100"/>
            </w:tcMar>
            <w:vAlign w:val="center"/>
          </w:tcPr>
          <w:p>
            <w:r>
              <w:rPr>
                <w:sz w:val="18"/>
                <w:szCs w:val="18"/>
              </w:rPr>
              <w:t xml:space="preserve">CDUID</w:t>
            </w:r>
          </w:p>
        </w:tc>
      </w:tr>
      <w:tr>
        <w:tc>
          <w:tcPr>
            <w:tcW w:type="dxa" w:w="25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EDO customers</w:t>
            </w:r>
          </w:p>
        </w:tc>
        <w:tc>
          <w:tcPr>
            <w:tcW w:type="dxa" w:w="456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organizations.json, tagged to FIPS / CDUID</w:t>
            </w:r>
          </w:p>
        </w:tc>
        <w:tc>
          <w:tcPr>
            <w:tcW w:type="dxa" w:w="2250"/>
            <w:tcBorders>
              <w:top w:val="single" w:color="D5DCE6" w:sz="1"/>
              <w:left w:val="single" w:color="D5DCE6" w:sz="1"/>
              <w:bottom w:val="single" w:color="D5DCE6" w:sz="1"/>
              <w:right w:val="single" w:color="D5DCE6" w:sz="1"/>
            </w:tcBorders>
            <w:shd w:fill="FFFFFF" w:val="clear"/>
            <w:tcMar>
              <w:top w:type="dxa" w:w="50"/>
              <w:left w:type="dxa" w:w="100"/>
              <w:bottom w:type="dxa" w:w="50"/>
              <w:right w:type="dxa" w:w="100"/>
            </w:tcMar>
            <w:vAlign w:val="center"/>
          </w:tcPr>
          <w:p>
            <w:r>
              <w:rPr>
                <w:sz w:val="18"/>
                <w:szCs w:val="18"/>
              </w:rPr>
              <w:t xml:space="preserve">FIPS / CDUID</w:t>
            </w:r>
          </w:p>
        </w:tc>
      </w:tr>
    </w:tbl>
    <w:p>
      <w:pPr>
        <w:pStyle w:val="Heading1"/>
        <w:spacing w:after="140" w:before="280"/>
      </w:pPr>
      <w:r>
        <w:t xml:space="preserve">5. Worked Example</w:t>
      </w:r>
    </w:p>
    <w:p>
      <w:pPr>
        <w:spacing w:after="120" w:line="276"/>
      </w:pPr>
      <w:r>
        <w:t xml:space="preserve">Suppose a county scores 82 on Cost, 74 on Workforce, 60 on Infrastructure, and so on; the rest average in by weight to a total near 63. It sits in a metro of 900,000 people, so </w:t>
      </w:r>
      <w:r>
        <w:rPr>
          <w:rFonts w:ascii="Consolas" w:cs="Consolas" w:eastAsia="Consolas" w:hAnsi="Consolas"/>
          <w:color w:val="39455A"/>
          <w:sz w:val="19"/>
          <w:szCs w:val="19"/>
        </w:rPr>
        <w:t xml:space="preserve">rel = 900000/1000000 = 0.90</w:t>
      </w:r>
      <w:r>
        <w:t xml:space="preserve"> and </w:t>
      </w:r>
      <w:r>
        <w:rPr>
          <w:rFonts w:ascii="Consolas" w:cs="Consolas" w:eastAsia="Consolas" w:hAnsi="Consolas"/>
          <w:color w:val="39455A"/>
          <w:sz w:val="19"/>
          <w:szCs w:val="19"/>
        </w:rPr>
        <w:t xml:space="preserve">damped = 50 + (63-50)*0.90 = 61.7</w:t>
      </w:r>
      <w:r>
        <w:t xml:space="preserve">. It is served by a local development agency (+10 coverage) and is not in a preferred region, so </w:t>
      </w:r>
      <w:r>
        <w:rPr>
          <w:rFonts w:ascii="Consolas" w:cs="Consolas" w:eastAsia="Consolas" w:hAnsi="Consolas"/>
          <w:color w:val="39455A"/>
          <w:sz w:val="19"/>
          <w:szCs w:val="19"/>
        </w:rPr>
        <w:t xml:space="preserve">SCORE = 61.7 + (100-61.7)*min(10/40,1) = 61.7 + 38.3*0.25 = 71.3</w:t>
      </w:r>
      <w:r>
        <w:t xml:space="preserve">. The same county returns the same 71.3 whether the search was nationwide or filtered to its state.</w:t>
      </w:r>
    </w:p>
    <w:p>
      <w:pPr>
        <w:pStyle w:val="Heading1"/>
        <w:spacing w:after="140" w:before="280"/>
      </w:pPr>
      <w:r>
        <w:t xml:space="preserve">6. Limitations &amp; Roadmap</w:t>
      </w:r>
    </w:p>
    <w:p>
      <w:pPr>
        <w:pStyle w:val="ListParagraph"/>
        <w:numPr>
          <w:ilvl w:val="0"/>
          <w:numId w:val="2"/>
        </w:numPr>
        <w:spacing w:after="60"/>
      </w:pPr>
      <w:r>
        <w:rPr>
          <w:b/>
          <w:bCs/>
        </w:rPr>
        <w:t xml:space="preserve">State-level dimensions. </w:t>
      </w:r>
      <w:r>
        <w:t xml:space="preserve">Incentives are state/province-keyed, and cost/real-estate are state-correlated, so a meaningful share of the score is state-level; fully county-specific incentives need county-level data.</w:t>
      </w:r>
    </w:p>
    <w:p>
      <w:pPr>
        <w:pStyle w:val="ListParagraph"/>
        <w:numPr>
          <w:ilvl w:val="0"/>
          <w:numId w:val="2"/>
        </w:numPr>
        <w:spacing w:after="60"/>
      </w:pPr>
      <w:r>
        <w:rPr>
          <w:b/>
          <w:bCs/>
        </w:rPr>
        <w:t xml:space="preserve">Snapshot data. </w:t>
      </w:r>
      <w:r>
        <w:t xml:space="preserve">Drought is a point-in-time reading (opt-in, so it never quietly distorts); refresh periodically. ASCE grades: only a few states are verified, the rest best-effort.</w:t>
      </w:r>
    </w:p>
    <w:p>
      <w:pPr>
        <w:pStyle w:val="ListParagraph"/>
        <w:numPr>
          <w:ilvl w:val="0"/>
          <w:numId w:val="2"/>
        </w:numPr>
        <w:spacing w:after="60"/>
      </w:pPr>
      <w:r>
        <w:rPr>
          <w:b/>
          <w:bCs/>
        </w:rPr>
        <w:t xml:space="preserve">Coverage gaps. </w:t>
      </w:r>
      <w:r>
        <w:t xml:space="preserve">Groundwater well trends cover ~684 counties; livability and the map are US-precise while Canada uses ranked-city / provincial approximations; Canadian proximity is US-only for now.</w:t>
      </w:r>
    </w:p>
    <w:p>
      <w:pPr>
        <w:pStyle w:val="ListParagraph"/>
        <w:numPr>
          <w:ilvl w:val="0"/>
          <w:numId w:val="2"/>
        </w:numPr>
        <w:spacing w:after="60"/>
      </w:pPr>
      <w:r>
        <w:rPr>
          <w:b/>
          <w:bCs/>
        </w:rPr>
        <w:t xml:space="preserve">Context vs scoring. </w:t>
      </w:r>
      <w:r>
        <w:t xml:space="preserve">Several intake fields (utilities, building specs, wages) are captured for the EDO but do not screen or rank, and are badged as such on the form.</w:t>
      </w:r>
    </w:p>
    <w:p>
      <w:pPr>
        <w:pStyle w:val="ListParagraph"/>
        <w:numPr>
          <w:ilvl w:val="0"/>
          <w:numId w:val="2"/>
        </w:numPr>
        <w:spacing w:after="60"/>
      </w:pPr>
      <w:r>
        <w:rPr>
          <w:b/>
          <w:bCs/>
        </w:rPr>
        <w:t xml:space="preserve">Rationale </w:t>
      </w:r>
      <w:r>
        <w:t xml:space="preserve">is template-generated; an optional LLM-written version could replace it without changing any ranking.</w:t>
      </w:r>
    </w:p>
    <w:p>
      <w:pPr>
        <w:pStyle w:val="ListParagraph"/>
        <w:numPr>
          <w:ilvl w:val="0"/>
          <w:numId w:val="2"/>
        </w:numPr>
        <w:spacing w:after="60"/>
      </w:pPr>
      <w:r>
        <w:rPr>
          <w:b/>
          <w:bCs/>
        </w:rPr>
        <w:t xml:space="preserve">Regional balance follows EDO coverage. </w:t>
      </w:r>
      <w:r>
        <w:t xml:space="preserve">Only counties with a customer EDO can be Primary matches and the EDO bonuses are large, so regions with thin coverage are under-represented regardless of weights. The regional rule (3.11) offsets this; check_regional_balance.py tracks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4" w:space="6"/>
      </w:pBdr>
      <w:jc w:val="center"/>
    </w:pPr>
    <w:r>
      <w:rPr>
        <w:color w:val="8A97A8"/>
        <w:sz w:val="16"/>
        <w:szCs w:val="16"/>
      </w:rPr>
      <w:t xml:space="preserve">FastLocations.ai  ·  Site-Matching Engine - Technical &amp; Methodology Guide  ·  Page </w:t>
    </w:r>
    <w:r>
      <w:rPr>
        <w:color w:val="8A97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4A0" w:sz="4" w:space="4"/>
      </w:pBdr>
      <w:spacing w:after="140" w:before="280"/>
      <w:outlineLvl w:val="0"/>
    </w:pPr>
    <w:rPr>
      <w:rFonts w:ascii="Calibri" w:cs="Calibri" w:eastAsia="Calibri" w:hAnsi="Calibri"/>
      <w:b/>
      <w:bCs/>
      <w:color w:val="143F78"/>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A54A0"/>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945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73f6f827340dffd39f9f4bb5b7f2f71c3cc28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2026-07-06T11:54:17.681Z</dcterms:created>
  <dcterms:modified xsi:type="dcterms:W3CDTF">2026-09-10T12:00:00Z</dcterms:modified>
</cp:coreProperties>
</file>

<file path=docProps/custom.xml><?xml version="1.0" encoding="utf-8"?>
<Properties xmlns="http://schemas.openxmlformats.org/officeDocument/2006/custom-properties" xmlns:vt="http://schemas.openxmlformats.org/officeDocument/2006/docPropsVTypes"/>
</file>