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100"/>
        <w:jc w:val="center"/>
      </w:pPr>
      <w:r>
        <w:drawing>
          <wp:inline distT="0" distB="0" distL="0" distR="0">
            <wp:extent cx="4953000" cy="714375"/>
            <wp:effectExtent t="0" r="0" b="0" l="0"/>
            <wp:docPr id="1" name="logo" descr="FastLocations logo" title="FastLocations.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b/>
          <w:bCs/>
          <w:color w:val="143F78"/>
          <w:sz w:val="52"/>
          <w:szCs w:val="52"/>
        </w:rPr>
        <w:t xml:space="preserve">Site-Matching Engine</w:t>
      </w:r>
    </w:p>
    <w:p>
      <w:pPr>
        <w:spacing w:after="240"/>
      </w:pPr>
      <w:r>
        <w:rPr>
          <w:color w:val="1A54A0"/>
          <w:sz w:val="32"/>
          <w:szCs w:val="32"/>
        </w:rPr>
        <w:t xml:space="preserve">Technical &amp; Scoring Methodology Guide</w:t>
      </w:r>
    </w:p>
    <w:p>
      <w:pPr>
        <w:pBdr>
          <w:top w:val="single" w:color="CC2020" w:sz="6" w:space="6"/>
        </w:pBdr>
        <w:spacing w:after="120" w:before="120"/>
      </w:pPr>
      <w:r>
        <w:t xml:space="preserve"/>
      </w:r>
    </w:p>
    <w:p>
      <w:pPr>
        <w:spacing w:after="120" w:line="276"/>
      </w:pPr>
      <w:r>
        <w:rPr>
          <w:b/>
          <w:bCs/>
        </w:rPr>
        <w:t xml:space="preserve">Audience: </w:t>
      </w:r>
      <w:r>
        <w:t xml:space="preserve">Technical maintainer / developer</w:t>
      </w:r>
    </w:p>
    <w:p>
      <w:pPr>
        <w:spacing w:after="120" w:line="276"/>
      </w:pPr>
      <w:r>
        <w:rPr>
          <w:b/>
          <w:bCs/>
        </w:rPr>
        <w:t xml:space="preserve">Scope: </w:t>
      </w:r>
      <w:r>
        <w:t xml:space="preserve">How to manage and update the page and data, and how the deterministic scoring engine works.</w:t>
      </w:r>
    </w:p>
    <w:p>
      <w:pPr>
        <w:spacing w:after="120" w:line="276"/>
      </w:pPr>
      <w:r>
        <w:rPr>
          <w:color w:val="6B7787"/>
        </w:rPr>
        <w:t xml:space="preserve">Version 1.0  </w:t>
      </w:r>
      <w:r>
        <w:rPr>
          <w:color w:val="6B7787"/>
        </w:rPr>
        <w:t xml:space="preserve">· Generated 2026-06-29</w:t>
      </w:r>
    </w:p>
    <w:p>
      <w:r>
        <w:br w:type="page"/>
      </w:r>
    </w:p>
    <w:p>
      <w:pPr>
        <w:pStyle w:val="Heading1"/>
        <w:spacing w:after="140" w:before="280"/>
      </w:pPr>
      <w:r>
        <w:t xml:space="preserve">1. System Overview</w:t>
      </w:r>
    </w:p>
    <w:p>
      <w:pPr>
        <w:spacing w:after="120" w:line="276"/>
      </w:pPr>
      <w:r>
        <w:t xml:space="preserve">FastLocations turns a site consultant's project requirements into a ranked shortlist of locations, each paired with the economic-development organization (EDO) customer that serves it. A consultant fills out an intake form; the system compares those requirements against demographic, workforce, infrastructure, real-estate, cost, safety, and incentive data; and returns the strongest matches with a written rationale and an optional emailed summary.</w:t>
      </w:r>
    </w:p>
    <w:p>
      <w:pPr>
        <w:spacing w:after="120" w:line="276"/>
      </w:pPr>
      <w:r>
        <w:rPr>
          <w:b/>
          <w:bCs/>
        </w:rPr>
        <w:t xml:space="preserve">Core principle: </w:t>
      </w:r>
      <w:r>
        <w:t xml:space="preserve">scoring is deterministic. Facts come from data, never from a model. AI is used only to phrase the rationale after ranking is complete. Where data is missing for a candidate, that dimension scores </w:t>
      </w:r>
      <w:r>
        <w:rPr>
          <w:rFonts w:ascii="Consolas" w:cs="Consolas" w:eastAsia="Consolas" w:hAnsi="Consolas"/>
          <w:color w:val="39455A"/>
          <w:sz w:val="19"/>
          <w:szCs w:val="19"/>
        </w:rPr>
        <w:t xml:space="preserve">null</w:t>
      </w:r>
      <w:r>
        <w:t xml:space="preserve"> and is excluded from the weighted total — gaps are stated honestly, never silently penalized.</w:t>
      </w:r>
    </w:p>
    <w:p>
      <w:pPr>
        <w:pStyle w:val="Heading2"/>
        <w:spacing w:after="100" w:before="220"/>
      </w:pPr>
      <w:r>
        <w:t xml:space="preserve">Architecture</w:t>
      </w:r>
    </w:p>
    <w:p>
      <w:pPr>
        <w:spacing w:after="120" w:line="276"/>
      </w:pPr>
      <w:r>
        <w:rPr>
          <w:rFonts w:ascii="Consolas" w:cs="Consolas" w:eastAsia="Consolas" w:hAnsi="Consolas"/>
          <w:color w:val="39455A"/>
          <w:sz w:val="19"/>
          <w:szCs w:val="19"/>
        </w:rPr>
        <w:t xml:space="preserve">Intake form (fastlocations.ai)</w:t>
      </w:r>
      <w:r>
        <w:t xml:space="preserve">  →  </w:t>
      </w:r>
      <w:r>
        <w:rPr>
          <w:rFonts w:ascii="Consolas" w:cs="Consolas" w:eastAsia="Consolas" w:hAnsi="Consolas"/>
          <w:color w:val="39455A"/>
          <w:sz w:val="19"/>
          <w:szCs w:val="19"/>
        </w:rPr>
        <w:t xml:space="preserve">POST /match</w:t>
      </w:r>
      <w:r>
        <w:t xml:space="preserve">  →  </w:t>
      </w:r>
      <w:r>
        <w:rPr>
          <w:rFonts w:ascii="Consolas" w:cs="Consolas" w:eastAsia="Consolas" w:hAnsi="Consolas"/>
          <w:color w:val="39455A"/>
          <w:sz w:val="19"/>
          <w:szCs w:val="19"/>
        </w:rPr>
        <w:t xml:space="preserve">Flask API (Railway)</w:t>
      </w:r>
      <w:r>
        <w:t xml:space="preserve">  →  </w:t>
      </w:r>
      <w:r>
        <w:rPr>
          <w:rFonts w:ascii="Consolas" w:cs="Consolas" w:eastAsia="Consolas" w:hAnsi="Consolas"/>
          <w:color w:val="39455A"/>
          <w:sz w:val="19"/>
          <w:szCs w:val="19"/>
        </w:rPr>
        <w:t xml:space="preserve">scorer.py</w:t>
      </w:r>
      <w:r>
        <w:t xml:space="preserve">  →  ranked results + serving EDO + rationale, returned to the page and emailed.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type="dxa" w:w="22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1A54A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26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1A54A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45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1A54A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Where it lives</w:t>
            </w:r>
          </w:p>
        </w:tc>
      </w:tr>
      <w:tr>
        <w:tc>
          <w:tcPr>
            <w:tcW w:type="dxa" w:w="22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Intake form</w:t>
            </w:r>
          </w:p>
        </w:tc>
        <w:tc>
          <w:tcPr>
            <w:tcW w:type="dxa" w:w="26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HTML + CSS + JavaScript</w:t>
            </w:r>
          </w:p>
        </w:tc>
        <w:tc>
          <w:tcPr>
            <w:tcW w:type="dxa" w:w="45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fastlocations.ai web server (site_selection_intake.html + intake.js)</w:t>
            </w:r>
          </w:p>
        </w:tc>
      </w:tr>
      <w:tr>
        <w:tc>
          <w:tcPr>
            <w:tcW w:type="dxa" w:w="22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Scoring API</w:t>
            </w:r>
          </w:p>
        </w:tc>
        <w:tc>
          <w:tcPr>
            <w:tcW w:type="dxa" w:w="26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Python 3.12 / Flask / gunicorn</w:t>
            </w:r>
          </w:p>
        </w:tc>
        <w:tc>
          <w:tcPr>
            <w:tcW w:type="dxa" w:w="45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Railway (auto-deploys from GitHub)</w:t>
            </w:r>
          </w:p>
        </w:tc>
      </w:tr>
      <w:tr>
        <w:tc>
          <w:tcPr>
            <w:tcW w:type="dxa" w:w="22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Scoring engine</w:t>
            </w:r>
          </w:p>
        </w:tc>
        <w:tc>
          <w:tcPr>
            <w:tcW w:type="dxa" w:w="26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scorer.py (deterministic)</w:t>
            </w:r>
          </w:p>
        </w:tc>
        <w:tc>
          <w:tcPr>
            <w:tcW w:type="dxa" w:w="45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Loads precomputed JSON data files at startup</w:t>
            </w:r>
          </w:p>
        </w:tc>
      </w:tr>
      <w:tr>
        <w:tc>
          <w:tcPr>
            <w:tcW w:type="dxa" w:w="22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Data</w:t>
            </w:r>
          </w:p>
        </w:tc>
        <w:tc>
          <w:tcPr>
            <w:tcW w:type="dxa" w:w="26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Precomputed JSON (counties, EDOs, incentives, places)</w:t>
            </w:r>
          </w:p>
        </w:tc>
        <w:tc>
          <w:tcPr>
            <w:tcW w:type="dxa" w:w="45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 the repo, deployed with the API</w:t>
            </w:r>
          </w:p>
        </w:tc>
      </w:tr>
      <w:tr>
        <w:tc>
          <w:tcPr>
            <w:tcW w:type="dxa" w:w="22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Email</w:t>
            </w:r>
          </w:p>
        </w:tc>
        <w:tc>
          <w:tcPr>
            <w:tcW w:type="dxa" w:w="26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Resend API</w:t>
            </w:r>
          </w:p>
        </w:tc>
        <w:tc>
          <w:tcPr>
            <w:tcW w:type="dxa" w:w="45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Triggered by the API after scoring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t xml:space="preserve">2. Managing &amp; Updating the System</w:t>
      </w:r>
    </w:p>
    <w:p>
      <w:pPr>
        <w:pStyle w:val="Heading2"/>
        <w:spacing w:after="100" w:before="220"/>
      </w:pPr>
      <w:r>
        <w:t xml:space="preserve">2.1 Hosting &amp; Infrastructure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Form (frontend): </w:t>
      </w:r>
      <w:r>
        <w:t xml:space="preserve">hosted on the fastlocations.ai web server. Two files, uploaded together: </w:t>
      </w:r>
      <w:r>
        <w:rPr>
          <w:rFonts w:ascii="Consolas" w:cs="Consolas" w:eastAsia="Consolas" w:hAnsi="Consolas"/>
          <w:color w:val="39455A"/>
          <w:sz w:val="19"/>
          <w:szCs w:val="19"/>
        </w:rPr>
        <w:t xml:space="preserve">site_selection_intake.html</w:t>
      </w:r>
      <w:r>
        <w:t xml:space="preserve"> and </w:t>
      </w:r>
      <w:r>
        <w:rPr>
          <w:rFonts w:ascii="Consolas" w:cs="Consolas" w:eastAsia="Consolas" w:hAnsi="Consolas"/>
          <w:color w:val="39455A"/>
          <w:sz w:val="19"/>
          <w:szCs w:val="19"/>
        </w:rPr>
        <w:t xml:space="preserve">intake.js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API (backend): </w:t>
      </w:r>
      <w:r>
        <w:t xml:space="preserve">hosted on Railway as a Python web service started with </w:t>
      </w:r>
      <w:r>
        <w:rPr>
          <w:rFonts w:ascii="Consolas" w:cs="Consolas" w:eastAsia="Consolas" w:hAnsi="Consolas"/>
          <w:color w:val="39455A"/>
          <w:sz w:val="19"/>
          <w:szCs w:val="19"/>
        </w:rPr>
        <w:t xml:space="preserve">gunicorn app:app</w:t>
      </w:r>
      <w:r>
        <w:t xml:space="preserve">. It serves the form at </w:t>
      </w:r>
      <w:r>
        <w:rPr>
          <w:rFonts w:ascii="Consolas" w:cs="Consolas" w:eastAsia="Consolas" w:hAnsi="Consolas"/>
          <w:color w:val="39455A"/>
          <w:sz w:val="19"/>
          <w:szCs w:val="19"/>
        </w:rPr>
        <w:t xml:space="preserve">/</w:t>
      </w:r>
      <w:r>
        <w:t xml:space="preserve"> and scores at </w:t>
      </w:r>
      <w:r>
        <w:rPr>
          <w:rFonts w:ascii="Consolas" w:cs="Consolas" w:eastAsia="Consolas" w:hAnsi="Consolas"/>
          <w:color w:val="39455A"/>
          <w:sz w:val="19"/>
          <w:szCs w:val="19"/>
        </w:rPr>
        <w:t xml:space="preserve">/match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Source of truth: </w:t>
      </w:r>
      <w:r>
        <w:t xml:space="preserve">a GitHub repository (</w:t>
      </w:r>
      <w:r>
        <w:rPr>
          <w:rFonts w:ascii="Consolas" w:cs="Consolas" w:eastAsia="Consolas" w:hAnsi="Consolas"/>
          <w:color w:val="39455A"/>
          <w:sz w:val="19"/>
          <w:szCs w:val="19"/>
        </w:rPr>
        <w:t xml:space="preserve">fastlocations-scoring-api</w:t>
      </w:r>
      <w:r>
        <w:t xml:space="preserve">). Railway watches it and redeploys automatically on every push.</w:t>
      </w:r>
    </w:p>
    <w:p>
      <w:pPr>
        <w:pStyle w:val="Heading2"/>
        <w:spacing w:after="100" w:before="220"/>
      </w:pPr>
      <w:r>
        <w:t xml:space="preserve">2.2 File Inventory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360"/>
        <w:gridCol w:w="2400"/>
      </w:tblGrid>
      <w:tr>
        <w:trPr>
          <w:tblHeader/>
        </w:trPr>
        <w:tc>
          <w:tcPr>
            <w:tcW w:type="dxa" w:w="26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1A54A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43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1A54A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tcW w:type="dxa" w:w="24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1A54A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Update when</w:t>
            </w:r>
          </w:p>
        </w:tc>
      </w:tr>
      <w:tr>
        <w:tc>
          <w:tcPr>
            <w:tcW w:type="dxa" w:w="26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site_selection_intake.html</w:t>
            </w:r>
          </w:p>
        </w:tc>
        <w:tc>
          <w:tcPr>
            <w:tcW w:type="dxa" w:w="43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The intake form (markup + styling). Loads intake.js.</w:t>
            </w:r>
          </w:p>
        </w:tc>
        <w:tc>
          <w:tcPr>
            <w:tcW w:type="dxa" w:w="24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Form fields, labels, branding change</w:t>
            </w:r>
          </w:p>
        </w:tc>
      </w:tr>
      <w:tr>
        <w:tc>
          <w:tcPr>
            <w:tcW w:type="dxa" w:w="26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intake.js</w:t>
            </w:r>
          </w:p>
        </w:tc>
        <w:tc>
          <w:tcPr>
            <w:tcW w:type="dxa" w:w="43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Form logic: builds criteria, calls the API, renders results, print/Word export.</w:t>
            </w:r>
          </w:p>
        </w:tc>
        <w:tc>
          <w:tcPr>
            <w:tcW w:type="dxa" w:w="24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Form behavior or API URL change</w:t>
            </w:r>
          </w:p>
        </w:tc>
      </w:tr>
      <w:tr>
        <w:tc>
          <w:tcPr>
            <w:tcW w:type="dxa" w:w="26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app.py</w:t>
            </w:r>
          </w:p>
        </w:tc>
        <w:tc>
          <w:tcPr>
            <w:tcW w:type="dxa" w:w="43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Flask API: routes (/, /match, /health, /email-status), email send.</w:t>
            </w:r>
          </w:p>
        </w:tc>
        <w:tc>
          <w:tcPr>
            <w:tcW w:type="dxa" w:w="24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API behavior or email logic change</w:t>
            </w:r>
          </w:p>
        </w:tc>
      </w:tr>
      <w:tr>
        <w:tc>
          <w:tcPr>
            <w:tcW w:type="dxa" w:w="26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scorer.py</w:t>
            </w:r>
          </w:p>
        </w:tc>
        <w:tc>
          <w:tcPr>
            <w:tcW w:type="dxa" w:w="43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Deterministic scorer: dimensions, filters, weighting, rationale, geocoding.</w:t>
            </w:r>
          </w:p>
        </w:tc>
        <w:tc>
          <w:tcPr>
            <w:tcW w:type="dxa" w:w="24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Scoring rules / metrics change</w:t>
            </w:r>
          </w:p>
        </w:tc>
      </w:tr>
      <w:tr>
        <w:tc>
          <w:tcPr>
            <w:tcW w:type="dxa" w:w="26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county_features.json</w:t>
            </w:r>
          </w:p>
        </w:tc>
        <w:tc>
          <w:tcPr>
            <w:tcW w:type="dxa" w:w="43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US county data spine (all scored metrics + centroids).</w:t>
            </w:r>
          </w:p>
        </w:tc>
        <w:tc>
          <w:tcPr>
            <w:tcW w:type="dxa" w:w="24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Any US metric is added/refreshed</w:t>
            </w:r>
          </w:p>
        </w:tc>
      </w:tr>
      <w:tr>
        <w:tc>
          <w:tcPr>
            <w:tcW w:type="dxa" w:w="26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ca_features.json</w:t>
            </w:r>
          </w:p>
        </w:tc>
        <w:tc>
          <w:tcPr>
            <w:tcW w:type="dxa" w:w="43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Canadian Census Division data spine.</w:t>
            </w:r>
          </w:p>
        </w:tc>
        <w:tc>
          <w:tcPr>
            <w:tcW w:type="dxa" w:w="24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Canadian data refreshed</w:t>
            </w:r>
          </w:p>
        </w:tc>
      </w:tr>
      <w:tr>
        <w:tc>
          <w:tcPr>
            <w:tcW w:type="dxa" w:w="26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edo_master_table_dual.json</w:t>
            </w:r>
          </w:p>
        </w:tc>
        <w:tc>
          <w:tcPr>
            <w:tcW w:type="dxa" w:w="43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EDO customers tagged to FIPS / CDUID + links.</w:t>
            </w:r>
          </w:p>
        </w:tc>
        <w:tc>
          <w:tcPr>
            <w:tcW w:type="dxa" w:w="24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organizations.json changes</w:t>
            </w:r>
          </w:p>
        </w:tc>
      </w:tr>
      <w:tr>
        <w:tc>
          <w:tcPr>
            <w:tcW w:type="dxa" w:w="26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edo_fips_index.json / edo_ca_cd_index.json</w:t>
            </w:r>
          </w:p>
        </w:tc>
        <w:tc>
          <w:tcPr>
            <w:tcW w:type="dxa" w:w="43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Reverse index: county/CD → serving EDOs.</w:t>
            </w:r>
          </w:p>
        </w:tc>
        <w:tc>
          <w:tcPr>
            <w:tcW w:type="dxa" w:w="24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Territories change</w:t>
            </w:r>
          </w:p>
        </w:tc>
      </w:tr>
      <w:tr>
        <w:tc>
          <w:tcPr>
            <w:tcW w:type="dxa" w:w="26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incentives_index.json</w:t>
            </w:r>
          </w:p>
        </w:tc>
        <w:tc>
          <w:tcPr>
            <w:tcW w:type="dxa" w:w="43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Per-state/province incentive program summary.</w:t>
            </w:r>
          </w:p>
        </w:tc>
        <w:tc>
          <w:tcPr>
            <w:tcW w:type="dxa" w:w="24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Incentive data refreshed</w:t>
            </w:r>
          </w:p>
        </w:tc>
      </w:tr>
      <w:tr>
        <w:tc>
          <w:tcPr>
            <w:tcW w:type="dxa" w:w="26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us_places.json</w:t>
            </w:r>
          </w:p>
        </w:tc>
        <w:tc>
          <w:tcPr>
            <w:tcW w:type="dxa" w:w="43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64k US place → coordinates (market-proximity geocoder).</w:t>
            </w:r>
          </w:p>
        </w:tc>
        <w:tc>
          <w:tcPr>
            <w:tcW w:type="dxa" w:w="24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Rarely (Census places update)</w:t>
            </w:r>
          </w:p>
        </w:tc>
      </w:tr>
    </w:tbl>
    <w:p>
      <w:pPr>
        <w:pStyle w:val="Heading2"/>
        <w:spacing w:after="100" w:before="220"/>
      </w:pPr>
      <w:r>
        <w:t xml:space="preserve">2.3 Updating the Form (frontend)</w:t>
      </w:r>
    </w:p>
    <w:p>
      <w:pPr>
        <w:spacing w:after="120" w:line="276"/>
      </w:pPr>
      <w:r>
        <w:t xml:space="preserve">Edit site_selection_intake.html and/or intake.js, then upload BOTH to the same folder on the web server. Two rules prevent the recurring breakage seen during build-out: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Keep the files ASCII-only. </w:t>
      </w:r>
      <w:r>
        <w:t xml:space="preserve">The host's page processor corrupts non-ASCII characters (smart quotes, em-dashes, byte-order marks) in inline code; this is why the JavaScript lives in an external </w:t>
      </w:r>
      <w:r>
        <w:rPr>
          <w:rFonts w:ascii="Consolas" w:cs="Consolas" w:eastAsia="Consolas" w:hAnsi="Consolas"/>
          <w:color w:val="39455A"/>
          <w:sz w:val="19"/>
          <w:szCs w:val="19"/>
        </w:rPr>
        <w:t xml:space="preserve">intake.js</w:t>
      </w:r>
      <w:r>
        <w:t xml:space="preserve"> file rather than inline.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Upload in Binary mode </w:t>
      </w:r>
      <w:r>
        <w:t xml:space="preserve">if using FTP (ASCII-mode FTP mangles files), and confirm OneDrive shows the file fully synced before uploading.</w:t>
      </w:r>
    </w:p>
    <w:p>
      <w:pPr>
        <w:spacing w:after="120" w:line="276"/>
      </w:pPr>
      <w:r>
        <w:t xml:space="preserve">The form calls the API via the </w:t>
      </w:r>
      <w:r>
        <w:rPr>
          <w:rFonts w:ascii="Consolas" w:cs="Consolas" w:eastAsia="Consolas" w:hAnsi="Consolas"/>
          <w:color w:val="39455A"/>
          <w:sz w:val="19"/>
          <w:szCs w:val="19"/>
        </w:rPr>
        <w:t xml:space="preserve">API_BASE</w:t>
      </w:r>
      <w:r>
        <w:t xml:space="preserve"> constant near the top of intake.js. It is set to the Railway URL so the form works from any domain.</w:t>
      </w:r>
    </w:p>
    <w:p>
      <w:pPr>
        <w:pStyle w:val="Heading2"/>
        <w:spacing w:after="100" w:before="220"/>
      </w:pPr>
      <w:r>
        <w:t xml:space="preserve">2.4 Updating the Data</w:t>
      </w:r>
    </w:p>
    <w:p>
      <w:pPr>
        <w:spacing w:after="120" w:line="276"/>
      </w:pPr>
      <w:r>
        <w:t xml:space="preserve">All scored metrics live in </w:t>
      </w:r>
      <w:r>
        <w:rPr>
          <w:rFonts w:ascii="Consolas" w:cs="Consolas" w:eastAsia="Consolas" w:hAnsi="Consolas"/>
          <w:color w:val="39455A"/>
          <w:sz w:val="19"/>
          <w:szCs w:val="19"/>
        </w:rPr>
        <w:t xml:space="preserve">county_features.json</w:t>
      </w:r>
      <w:r>
        <w:t xml:space="preserve"> (US) and </w:t>
      </w:r>
      <w:r>
        <w:rPr>
          <w:rFonts w:ascii="Consolas" w:cs="Consolas" w:eastAsia="Consolas" w:hAnsi="Consolas"/>
          <w:color w:val="39455A"/>
          <w:sz w:val="19"/>
          <w:szCs w:val="19"/>
        </w:rPr>
        <w:t xml:space="preserve">ca_features.json</w:t>
      </w:r>
      <w:r>
        <w:t xml:space="preserve"> (Canada) — these are the join spine. Raw source files (Census/ArcGIS exports, CSVs, spreadsheets) are processed once by build scripts into these precomputed files; the raw files are NOT deployed. To add or refresh a metric: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Place the raw source file in the working folder.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 the relevant build/merge script to extract the metric (keyed by 5-digit county FIPS) into </w:t>
      </w:r>
      <w:r>
        <w:rPr>
          <w:rFonts w:ascii="Consolas" w:cs="Consolas" w:eastAsia="Consolas" w:hAnsi="Consolas"/>
          <w:color w:val="39455A"/>
          <w:sz w:val="19"/>
          <w:szCs w:val="19"/>
        </w:rPr>
        <w:t xml:space="preserve">metrics_extra.json</w:t>
      </w:r>
      <w:r>
        <w:t xml:space="preserve"> and merge into </w:t>
      </w:r>
      <w:r>
        <w:rPr>
          <w:rFonts w:ascii="Consolas" w:cs="Consolas" w:eastAsia="Consolas" w:hAnsi="Consolas"/>
          <w:color w:val="39455A"/>
          <w:sz w:val="19"/>
          <w:szCs w:val="19"/>
        </w:rPr>
        <w:t xml:space="preserve">county_features.json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the metric to the appropriate dimension extractor in </w:t>
      </w:r>
      <w:r>
        <w:rPr>
          <w:rFonts w:ascii="Consolas" w:cs="Consolas" w:eastAsia="Consolas" w:hAnsi="Consolas"/>
          <w:color w:val="39455A"/>
          <w:sz w:val="19"/>
          <w:szCs w:val="19"/>
        </w:rPr>
        <w:t xml:space="preserve">scorer.py</w:t>
      </w:r>
      <w:r>
        <w:t xml:space="preserve"> (see Section 3.4).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and push — Railway redeploys with the new data.</w:t>
      </w:r>
    </w:p>
    <w:p>
      <w:pPr>
        <w:pStyle w:val="Heading2"/>
        <w:spacing w:after="100" w:before="220"/>
      </w:pPr>
      <w:r>
        <w:t xml:space="preserve">2.5 Deployment Workflow</w:t>
      </w:r>
    </w:p>
    <w:p>
      <w:pPr>
        <w:spacing w:after="120" w:line="276"/>
      </w:pPr>
      <w:r>
        <w:t xml:space="preserve">The backend (API + data) deploys through git. The frontend (form) is uploaded to the web server separately.</w:t>
      </w:r>
    </w:p>
    <w:p>
      <w:pPr>
        <w:spacing w:after="120" w:line="276"/>
      </w:pPr>
      <w:r>
        <w:rPr>
          <w:rFonts w:ascii="Consolas" w:cs="Consolas" w:eastAsia="Consolas" w:hAnsi="Consolas"/>
          <w:color w:val="39455A"/>
          <w:sz w:val="19"/>
          <w:szCs w:val="19"/>
        </w:rPr>
        <w:t xml:space="preserve">git add -A   →   git commit -m "..."   →   git push</w:t>
      </w:r>
      <w:r>
        <w:t xml:space="preserve">   (Railway redeploys in ~1–2 min)</w:t>
      </w:r>
    </w:p>
    <w:p>
      <w:pPr>
        <w:spacing w:after="120" w:line="276"/>
      </w:pPr>
      <w:r>
        <w:t xml:space="preserve">Critical: GitHub rejects files over 100 MB. The raw source layers (some over 1 GB) must stay out of the repo. The </w:t>
      </w:r>
      <w:r>
        <w:rPr>
          <w:rFonts w:ascii="Consolas" w:cs="Consolas" w:eastAsia="Consolas" w:hAnsi="Consolas"/>
          <w:color w:val="39455A"/>
          <w:sz w:val="19"/>
          <w:szCs w:val="19"/>
        </w:rPr>
        <w:t xml:space="preserve">.gitignore</w:t>
      </w:r>
      <w:r>
        <w:t xml:space="preserve"> uses a whitelist — it ignores all data by default and explicitly keeps only the small runtime files (county_features, ca_features, the EDO/incentive indexes, us_places). Never remove that whitelist.</w:t>
      </w:r>
    </w:p>
    <w:p>
      <w:pPr>
        <w:pStyle w:val="Heading2"/>
        <w:spacing w:after="100" w:before="220"/>
      </w:pPr>
      <w:r>
        <w:t xml:space="preserve">2.6 Environment Variables (Railway)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200"/>
        <w:gridCol w:w="2160"/>
      </w:tblGrid>
      <w:tr>
        <w:trPr>
          <w:tblHeader/>
        </w:trPr>
        <w:tc>
          <w:tcPr>
            <w:tcW w:type="dxa" w:w="30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1A54A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42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1A54A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tcW w:type="dxa" w:w="21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1A54A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Required</w:t>
            </w:r>
          </w:p>
        </w:tc>
      </w:tr>
      <w:tr>
        <w:tc>
          <w:tcPr>
            <w:tcW w:type="dxa" w:w="30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RESEND_API_KEY</w:t>
            </w:r>
          </w:p>
        </w:tc>
        <w:tc>
          <w:tcPr>
            <w:tcW w:type="dxa" w:w="42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Resend API key — enables result emails.</w:t>
            </w:r>
          </w:p>
        </w:tc>
        <w:tc>
          <w:tcPr>
            <w:tcW w:type="dxa" w:w="21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For email</w:t>
            </w:r>
          </w:p>
        </w:tc>
      </w:tr>
      <w:tr>
        <w:tc>
          <w:tcPr>
            <w:tcW w:type="dxa" w:w="30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FL_NOTIFY_EMAIL</w:t>
            </w:r>
          </w:p>
        </w:tc>
        <w:tc>
          <w:tcPr>
            <w:tcW w:type="dxa" w:w="42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Inbox that receives a copy of every lead.</w:t>
            </w:r>
          </w:p>
        </w:tc>
        <w:tc>
          <w:tcPr>
            <w:tcW w:type="dxa" w:w="21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For email</w:t>
            </w:r>
          </w:p>
        </w:tc>
      </w:tr>
      <w:tr>
        <w:tc>
          <w:tcPr>
            <w:tcW w:type="dxa" w:w="30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EMAIL_FROM</w:t>
            </w:r>
          </w:p>
        </w:tc>
        <w:tc>
          <w:tcPr>
            <w:tcW w:type="dxa" w:w="42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Sender, e.g. FastLocations &lt;noreply@fastlocations.ai&gt;.</w:t>
            </w:r>
          </w:p>
        </w:tc>
        <w:tc>
          <w:tcPr>
            <w:tcW w:type="dxa" w:w="21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Optional</w:t>
            </w:r>
          </w:p>
        </w:tc>
      </w:tr>
      <w:tr>
        <w:tc>
          <w:tcPr>
            <w:tcW w:type="dxa" w:w="30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MISE_PYTHON_GITHUB_ATTESTATIONS</w:t>
            </w:r>
          </w:p>
        </w:tc>
        <w:tc>
          <w:tcPr>
            <w:tcW w:type="dxa" w:w="42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Set to false — lets Railway install Python 3.12.</w:t>
            </w:r>
          </w:p>
        </w:tc>
        <w:tc>
          <w:tcPr>
            <w:tcW w:type="dxa" w:w="21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Yes (build)</w:t>
            </w:r>
          </w:p>
        </w:tc>
      </w:tr>
    </w:tbl>
    <w:p>
      <w:pPr>
        <w:spacing w:after="120" w:line="276"/>
      </w:pPr>
      <w:r>
        <w:t xml:space="preserve">Email also requires verifying </w:t>
      </w:r>
      <w:r>
        <w:rPr>
          <w:rFonts w:ascii="Consolas" w:cs="Consolas" w:eastAsia="Consolas" w:hAnsi="Consolas"/>
          <w:color w:val="39455A"/>
          <w:sz w:val="19"/>
          <w:szCs w:val="19"/>
        </w:rPr>
        <w:t xml:space="preserve">fastlocations.ai</w:t>
      </w:r>
      <w:r>
        <w:t xml:space="preserve"> in Resend (add the SPF/DKIM DNS records). Until the domain is verified, Resend only delivers to the account owner's own address — the most common reason submitter emails don't arrive.</w:t>
      </w:r>
    </w:p>
    <w:p>
      <w:pPr>
        <w:pStyle w:val="Heading2"/>
        <w:spacing w:after="100" w:before="220"/>
      </w:pPr>
      <w:r>
        <w:t xml:space="preserve">2.7 Diagnostic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1A54A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69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1A54A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Returns</w:t>
            </w:r>
          </w:p>
        </w:tc>
      </w:tr>
      <w:tr>
        <w:tc>
          <w:tcPr>
            <w:tcW w:type="dxa" w:w="24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color w:val="39455A"/>
                <w:sz w:val="19"/>
                <w:szCs w:val="19"/>
              </w:rPr>
              <w:t xml:space="preserve">GET /health</w:t>
            </w:r>
          </w:p>
        </w:tc>
        <w:tc>
          <w:tcPr>
            <w:tcW w:type="dxa" w:w="69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Data load status (county / EDO / incentive counts).</w:t>
            </w:r>
          </w:p>
        </w:tc>
      </w:tr>
      <w:tr>
        <w:tc>
          <w:tcPr>
            <w:tcW w:type="dxa" w:w="24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color w:val="39455A"/>
                <w:sz w:val="19"/>
                <w:szCs w:val="19"/>
              </w:rPr>
              <w:t xml:space="preserve">GET /email-status</w:t>
            </w:r>
          </w:p>
        </w:tc>
        <w:tc>
          <w:tcPr>
            <w:tcW w:type="dxa" w:w="69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Whether RESEND_API_KEY and FL_NOTIFY_EMAIL are configured.</w:t>
            </w:r>
          </w:p>
        </w:tc>
      </w:tr>
      <w:tr>
        <w:tc>
          <w:tcPr>
            <w:tcW w:type="dxa" w:w="24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color w:val="39455A"/>
                <w:sz w:val="19"/>
                <w:szCs w:val="19"/>
              </w:rPr>
              <w:t xml:space="preserve">POST /match?top=N</w:t>
            </w:r>
          </w:p>
        </w:tc>
        <w:tc>
          <w:tcPr>
            <w:tcW w:type="dxa" w:w="69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Ranked results for a ProjectCriteria body; also triggers the email.</w:t>
            </w:r>
          </w:p>
        </w:tc>
      </w:tr>
    </w:tbl>
    <w:p>
      <w:pPr>
        <w:pStyle w:val="Heading2"/>
        <w:spacing w:after="100" w:before="220"/>
      </w:pPr>
      <w:r>
        <w:t xml:space="preserve">2.8 Known Constraints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Frontend JavaScript must be external and ASCII-only (host page-processor limitation).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Market-proximity geocoding is local (bundled us_places.json) so it works from Railway without external calls.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Raw data files exceed GitHub limits and are git-ignored; only precomputed files deploy.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Canadian data is limited to population, infrastructure, and provincial incentives (no US-style workforce/cost/safety metrics).</w:t>
      </w:r>
    </w:p>
    <w:p>
      <w:r>
        <w:br w:type="page"/>
      </w:r>
    </w:p>
    <w:p>
      <w:pPr>
        <w:pStyle w:val="Heading1"/>
        <w:spacing w:after="140" w:before="280"/>
      </w:pPr>
      <w:r>
        <w:t xml:space="preserve">3. Scoring Guidelines &amp; Methodology</w:t>
      </w:r>
    </w:p>
    <w:p>
      <w:pPr>
        <w:pStyle w:val="Heading2"/>
        <w:spacing w:after="100" w:before="220"/>
      </w:pPr>
      <w:r>
        <w:t xml:space="preserve">3.1 Principles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Deterministic. </w:t>
      </w:r>
      <w:r>
        <w:t xml:space="preserve">Every score is computed from data with a fixed formula; identical inputs always produce identical outputs.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Facts from data, never the model. </w:t>
      </w:r>
      <w:r>
        <w:t xml:space="preserve">The AI layer only writes the rationale after ranking; it never invents or ranks.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Gaps never penalize. </w:t>
      </w:r>
      <w:r>
        <w:t xml:space="preserve">Missing data for a dimension yields </w:t>
      </w:r>
      <w:r>
        <w:rPr>
          <w:rFonts w:ascii="Consolas" w:cs="Consolas" w:eastAsia="Consolas" w:hAnsi="Consolas"/>
          <w:color w:val="39455A"/>
          <w:sz w:val="19"/>
          <w:szCs w:val="19"/>
        </w:rPr>
        <w:t xml:space="preserve">null</w:t>
      </w:r>
      <w:r>
        <w:t xml:space="preserve">; weights are renormalized over the dimensions that do have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Customer-routable only. </w:t>
      </w:r>
      <w:r>
        <w:t xml:space="preserve">Only counties/CDs served by an EDO customer are ranked, so every result has a lead destination.</w:t>
      </w:r>
    </w:p>
    <w:p>
      <w:pPr>
        <w:pStyle w:val="Heading2"/>
        <w:spacing w:after="100" w:before="220"/>
      </w:pPr>
      <w:r>
        <w:t xml:space="preserve">3.2 Pipeline</w:t>
      </w:r>
    </w:p>
    <w:p>
      <w:pPr>
        <w:spacing w:after="120" w:line="276"/>
      </w:pPr>
      <w:r>
        <w:t xml:space="preserve">1) Parse criteria  →  2) Apply hard filters  →  3) Compute a 0–100 sub-score per dimension per candidate  →  4) Weighted total (renormalized over non-null dimensions)  →  5) Preferred-region bonus  →  6) Roll the county/CD up to its serving EDO  →  7) Write the rationale  →  8) Email the result.</w:t>
      </w:r>
    </w:p>
    <w:p>
      <w:pPr>
        <w:pStyle w:val="Heading2"/>
        <w:spacing w:after="100" w:before="220"/>
      </w:pPr>
      <w:r>
        <w:t xml:space="preserve">3.3 Hard Filters (applied before scoring)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Required states/provinces </w:t>
      </w:r>
      <w:r>
        <w:t xml:space="preserve">— only these are scored. Excluded — removed. (Preferred is a bonus, not a filter.)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Demographic thresholds </w:t>
      </w:r>
      <w:r>
        <w:t xml:space="preserve">— minimum population / labor force, applied only where the datum exists.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Infrastructure requirements </w:t>
      </w:r>
      <w:r>
        <w:t xml:space="preserve">— port access, commercial airport presence.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Market proximity </w:t>
      </w:r>
      <w:r>
        <w:t xml:space="preserve">— geocode the named place, keep candidates whose county centroid is within the radius (true distance, not state lines).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Customer EDO </w:t>
      </w:r>
      <w:r>
        <w:t xml:space="preserve">— candidate must be served by an organization in the customer list.</w:t>
      </w:r>
    </w:p>
    <w:p>
      <w:pPr>
        <w:pStyle w:val="Heading2"/>
        <w:spacing w:after="100" w:before="220"/>
      </w:pPr>
      <w:r>
        <w:t xml:space="preserve">3.4 The Eight Dimensions</w:t>
      </w:r>
    </w:p>
    <w:p>
      <w:pPr>
        <w:spacing w:after="120" w:line="276"/>
      </w:pPr>
      <w:r>
        <w:t xml:space="preserve">Each dimension is the average of its metrics' percentile ranks across the filtered candidate set. Higher is always better; cost-like and risk-like metrics are inverted (e.g., lower crime ranks higher).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300"/>
        <w:gridCol w:w="2360"/>
      </w:tblGrid>
      <w:tr>
        <w:trPr>
          <w:tblHeader/>
        </w:trPr>
        <w:tc>
          <w:tcPr>
            <w:tcW w:type="dxa" w:w="17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1A54A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Dimension</w:t>
            </w:r>
          </w:p>
        </w:tc>
        <w:tc>
          <w:tcPr>
            <w:tcW w:type="dxa" w:w="53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1A54A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Metrics</w:t>
            </w:r>
          </w:p>
        </w:tc>
        <w:tc>
          <w:tcPr>
            <w:tcW w:type="dxa" w:w="23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1A54A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Direction</w:t>
            </w:r>
          </w:p>
        </w:tc>
      </w:tr>
      <w:tr>
        <w:tc>
          <w:tcPr>
            <w:tcW w:type="dxa" w:w="17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Workforce</w:t>
            </w:r>
          </w:p>
        </w:tc>
        <w:tc>
          <w:tcPr>
            <w:tcW w:type="dxa" w:w="53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Labor availability (unemployment), labor-pool adequacy vs. headcount, prime working-age share, Critical Thinking score, Social Deprivation Index</w:t>
            </w:r>
          </w:p>
        </w:tc>
        <w:tc>
          <w:tcPr>
            <w:tcW w:type="dxa" w:w="23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Higher / inverted</w:t>
            </w:r>
          </w:p>
        </w:tc>
      </w:tr>
      <w:tr>
        <w:tc>
          <w:tcPr>
            <w:tcW w:type="dxa" w:w="17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Demographics</w:t>
            </w:r>
          </w:p>
        </w:tc>
        <w:tc>
          <w:tcPr>
            <w:tcW w:type="dxa" w:w="53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Population, labor force, educational attainment, growth, poverty, household poverty, infant mortality</w:t>
            </w:r>
          </w:p>
        </w:tc>
        <w:tc>
          <w:tcPr>
            <w:tcW w:type="dxa" w:w="23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Higher / inverted</w:t>
            </w:r>
          </w:p>
        </w:tc>
      </w:tr>
      <w:tr>
        <w:tc>
          <w:tcPr>
            <w:tcW w:type="dxa" w:w="17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Logistics</w:t>
            </w:r>
          </w:p>
        </w:tc>
        <w:tc>
          <w:tcPr>
            <w:tcW w:type="dxa" w:w="53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Airport capacity (class-weighted), enplanements, port tonnage, mean commute time</w:t>
            </w:r>
          </w:p>
        </w:tc>
        <w:tc>
          <w:tcPr>
            <w:tcW w:type="dxa" w:w="23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Higher / inverted</w:t>
            </w:r>
          </w:p>
        </w:tc>
      </w:tr>
      <w:tr>
        <w:tc>
          <w:tcPr>
            <w:tcW w:type="dxa" w:w="17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Incentives</w:t>
            </w:r>
          </w:p>
        </w:tc>
        <w:tc>
          <w:tcPr>
            <w:tcW w:type="dxa" w:w="53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Program breadth + rank-weighted match to the project's incentive priorities</w:t>
            </w:r>
          </w:p>
        </w:tc>
        <w:tc>
          <w:tcPr>
            <w:tcW w:type="dxa" w:w="23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Higher</w:t>
            </w:r>
          </w:p>
        </w:tc>
      </w:tr>
      <w:tr>
        <w:tc>
          <w:tcPr>
            <w:tcW w:type="dxa" w:w="17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Cost</w:t>
            </w:r>
          </w:p>
        </w:tc>
        <w:tc>
          <w:tcPr>
            <w:tcW w:type="dxa" w:w="53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Labor cost (median income), cost of living (wealth index)</w:t>
            </w:r>
          </w:p>
        </w:tc>
        <w:tc>
          <w:tcPr>
            <w:tcW w:type="dxa" w:w="23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Inverted</w:t>
            </w:r>
          </w:p>
        </w:tc>
      </w:tr>
      <w:tr>
        <w:tc>
          <w:tcPr>
            <w:tcW w:type="dxa" w:w="17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Safety</w:t>
            </w:r>
          </w:p>
        </w:tc>
        <w:tc>
          <w:tcPr>
            <w:tcW w:type="dxa" w:w="53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Crime rate</w:t>
            </w:r>
          </w:p>
        </w:tc>
        <w:tc>
          <w:tcPr>
            <w:tcW w:type="dxa" w:w="23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Inverted</w:t>
            </w:r>
          </w:p>
        </w:tc>
      </w:tr>
      <w:tr>
        <w:tc>
          <w:tcPr>
            <w:tcW w:type="dxa" w:w="17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Real estate</w:t>
            </w:r>
          </w:p>
        </w:tc>
        <w:tc>
          <w:tcPr>
            <w:tcW w:type="dxa" w:w="53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Effective property-tax rate</w:t>
            </w:r>
          </w:p>
        </w:tc>
        <w:tc>
          <w:tcPr>
            <w:tcW w:type="dxa" w:w="23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Inverted</w:t>
            </w:r>
          </w:p>
        </w:tc>
      </w:tr>
      <w:tr>
        <w:tc>
          <w:tcPr>
            <w:tcW w:type="dxa" w:w="17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Infrastructure</w:t>
            </w:r>
          </w:p>
        </w:tc>
        <w:tc>
          <w:tcPr>
            <w:tcW w:type="dxa" w:w="53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Power / utilities (pending county-level data)</w:t>
            </w:r>
          </w:p>
        </w:tc>
        <w:tc>
          <w:tcPr>
            <w:tcW w:type="dxa" w:w="23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spacing w:after="100" w:before="220"/>
      </w:pPr>
      <w:r>
        <w:t xml:space="preserve">3.5 Normalization &amp; Weighting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raw metric is converted to a 0–100 percentile rank across the candidate set, so dimensions are comparable regardless of units.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dimension's sub-score is the average of its available metric percentiles.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final score is the weighted sum of sub-scores using the eight weights from the form's </w:t>
      </w:r>
      <w:r>
        <w:rPr>
          <w:rFonts w:ascii="Consolas" w:cs="Consolas" w:eastAsia="Consolas" w:hAnsi="Consolas"/>
          <w:color w:val="39455A"/>
          <w:sz w:val="19"/>
          <w:szCs w:val="19"/>
        </w:rPr>
        <w:t xml:space="preserve">What Matters Most</w:t>
      </w:r>
      <w:r>
        <w:t xml:space="preserve"> sliders (normalized to 100%). Weights are renormalized over only the non-null dimensions.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Candidates in a Preferred region receive a fixed bonus added to the final score.</w:t>
      </w:r>
    </w:p>
    <w:p>
      <w:pPr>
        <w:pStyle w:val="Heading2"/>
        <w:spacing w:after="100" w:before="220"/>
      </w:pPr>
      <w:r>
        <w:t xml:space="preserve">3.6 Dual-Spine: US &amp; Canada</w:t>
      </w:r>
    </w:p>
    <w:p>
      <w:pPr>
        <w:spacing w:after="120" w:line="276"/>
      </w:pPr>
      <w:r>
        <w:t xml:space="preserve">US candidates are counties keyed by 5-digit FIPS; Canadian candidates are Census Divisions keyed by CDUID. The country selector picks one spine. Canadian candidates score on population, infrastructure, and provincial incentives; US-only metrics (workforce quality, cost, safety, property tax) read as </w:t>
      </w:r>
      <w:r>
        <w:rPr>
          <w:rFonts w:ascii="Consolas" w:cs="Consolas" w:eastAsia="Consolas" w:hAnsi="Consolas"/>
          <w:color w:val="39455A"/>
          <w:sz w:val="19"/>
          <w:szCs w:val="19"/>
        </w:rPr>
        <w:t xml:space="preserve">null</w:t>
      </w:r>
      <w:r>
        <w:t xml:space="preserve"> for Canada and are renormalized out.</w:t>
      </w:r>
    </w:p>
    <w:p>
      <w:pPr>
        <w:pStyle w:val="Heading2"/>
        <w:spacing w:after="100" w:before="220"/>
      </w:pPr>
      <w:r>
        <w:t xml:space="preserve">3.7 Data Sources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760"/>
        <w:gridCol w:w="2400"/>
      </w:tblGrid>
      <w:tr>
        <w:trPr>
          <w:tblHeader/>
        </w:trPr>
        <w:tc>
          <w:tcPr>
            <w:tcW w:type="dxa" w:w="22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1A54A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Metric group</w:t>
            </w:r>
          </w:p>
        </w:tc>
        <w:tc>
          <w:tcPr>
            <w:tcW w:type="dxa" w:w="47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1A54A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  <w:tc>
          <w:tcPr>
            <w:tcW w:type="dxa" w:w="24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1A54A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Join key</w:t>
            </w:r>
          </w:p>
        </w:tc>
      </w:tr>
      <w:tr>
        <w:tc>
          <w:tcPr>
            <w:tcW w:type="dxa" w:w="22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Demographics, workforce, income</w:t>
            </w:r>
          </w:p>
        </w:tc>
        <w:tc>
          <w:tcPr>
            <w:tcW w:type="dxa" w:w="47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Esri GeoEnrichment (US county)</w:t>
            </w:r>
          </w:p>
        </w:tc>
        <w:tc>
          <w:tcPr>
            <w:tcW w:type="dxa" w:w="24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County FIPS</w:t>
            </w:r>
          </w:p>
        </w:tc>
      </w:tr>
      <w:tr>
        <w:tc>
          <w:tcPr>
            <w:tcW w:type="dxa" w:w="22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Crime</w:t>
            </w:r>
          </w:p>
        </w:tc>
        <w:tc>
          <w:tcPr>
            <w:tcW w:type="dxa" w:w="47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County crime rate per 100k</w:t>
            </w:r>
          </w:p>
        </w:tc>
        <w:tc>
          <w:tcPr>
            <w:tcW w:type="dxa" w:w="24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County FIPS</w:t>
            </w:r>
          </w:p>
        </w:tc>
      </w:tr>
      <w:tr>
        <w:tc>
          <w:tcPr>
            <w:tcW w:type="dxa" w:w="22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Poverty / commute</w:t>
            </w:r>
          </w:p>
        </w:tc>
        <w:tc>
          <w:tcPr>
            <w:tcW w:type="dxa" w:w="47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US Census ACS (B17020 / B08303)</w:t>
            </w:r>
          </w:p>
        </w:tc>
        <w:tc>
          <w:tcPr>
            <w:tcW w:type="dxa" w:w="24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County FIPS (GEOID)</w:t>
            </w:r>
          </w:p>
        </w:tc>
      </w:tr>
      <w:tr>
        <w:tc>
          <w:tcPr>
            <w:tcW w:type="dxa" w:w="22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Property tax</w:t>
            </w:r>
          </w:p>
        </w:tc>
        <w:tc>
          <w:tcPr>
            <w:tcW w:type="dxa" w:w="47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Tax Foundation, 2026</w:t>
            </w:r>
          </w:p>
        </w:tc>
        <w:tc>
          <w:tcPr>
            <w:tcW w:type="dxa" w:w="24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State + county name</w:t>
            </w:r>
          </w:p>
        </w:tc>
      </w:tr>
      <w:tr>
        <w:tc>
          <w:tcPr>
            <w:tcW w:type="dxa" w:w="22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Critical Thinking, SDI, infant mortality, household poverty</w:t>
            </w:r>
          </w:p>
        </w:tc>
        <w:tc>
          <w:tcPr>
            <w:tcW w:type="dxa" w:w="47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Uploaded analytic datasets</w:t>
            </w:r>
          </w:p>
        </w:tc>
        <w:tc>
          <w:tcPr>
            <w:tcW w:type="dxa" w:w="24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County FIPS</w:t>
            </w:r>
          </w:p>
        </w:tc>
      </w:tr>
      <w:tr>
        <w:tc>
          <w:tcPr>
            <w:tcW w:type="dxa" w:w="22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County centroids / places</w:t>
            </w:r>
          </w:p>
        </w:tc>
        <w:tc>
          <w:tcPr>
            <w:tcW w:type="dxa" w:w="47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US Census Gazetteer</w:t>
            </w:r>
          </w:p>
        </w:tc>
        <w:tc>
          <w:tcPr>
            <w:tcW w:type="dxa" w:w="24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FIPS / place name</w:t>
            </w:r>
          </w:p>
        </w:tc>
      </w:tr>
      <w:tr>
        <w:tc>
          <w:tcPr>
            <w:tcW w:type="dxa" w:w="22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Incentives</w:t>
            </w:r>
          </w:p>
        </w:tc>
        <w:tc>
          <w:tcPr>
            <w:tcW w:type="dxa" w:w="47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State &amp; provincial program catalog</w:t>
            </w:r>
          </w:p>
        </w:tc>
        <w:tc>
          <w:tcPr>
            <w:tcW w:type="dxa" w:w="24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State / province</w:t>
            </w:r>
          </w:p>
        </w:tc>
      </w:tr>
      <w:tr>
        <w:tc>
          <w:tcPr>
            <w:tcW w:type="dxa" w:w="22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Canadian demographics / infra</w:t>
            </w:r>
          </w:p>
        </w:tc>
        <w:tc>
          <w:tcPr>
            <w:tcW w:type="dxa" w:w="47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StatCan Census + infrastructure layers</w:t>
            </w:r>
          </w:p>
        </w:tc>
        <w:tc>
          <w:tcPr>
            <w:tcW w:type="dxa" w:w="24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4F7FB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CDUID</w:t>
            </w:r>
          </w:p>
        </w:tc>
      </w:tr>
      <w:tr>
        <w:tc>
          <w:tcPr>
            <w:tcW w:type="dxa" w:w="22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EDO customers</w:t>
            </w:r>
          </w:p>
        </w:tc>
        <w:tc>
          <w:tcPr>
            <w:tcW w:type="dxa" w:w="476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organizations.json (FIPS/CDUID-tagged)</w:t>
            </w:r>
          </w:p>
        </w:tc>
        <w:tc>
          <w:tcPr>
            <w:tcW w:type="dxa" w:w="2400"/>
            <w:tcBorders>
              <w:top w:val="single" w:color="D5DCE6" w:sz="1"/>
              <w:left w:val="single" w:color="D5DCE6" w:sz="1"/>
              <w:bottom w:val="single" w:color="D5DCE6" w:sz="1"/>
              <w:right w:val="single" w:color="D5DCE6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FIPS / CDUID</w:t>
            </w:r>
          </w:p>
        </w:tc>
      </w:tr>
    </w:tbl>
    <w:p>
      <w:pPr>
        <w:pStyle w:val="Heading2"/>
        <w:spacing w:after="100" w:before="220"/>
      </w:pPr>
      <w:r>
        <w:t xml:space="preserve">3.8 Limitations &amp; Roadmap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Infrastructure (power) </w:t>
      </w:r>
      <w:r>
        <w:t xml:space="preserve">is not yet county-tagged — that dimension currently scores null.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Real estate </w:t>
      </w:r>
      <w:r>
        <w:t xml:space="preserve">uses property-tax cost as a proxy; site/building availability is the next addition.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Member counties </w:t>
      </w:r>
      <w:r>
        <w:t xml:space="preserve">for regional/utility EDOs are largely tagged to their home county pending full enumeration.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Infant mortality </w:t>
      </w:r>
      <w:r>
        <w:t xml:space="preserve">is averaged across the source's race breakdown into a single community-health indicator.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Rationale </w:t>
      </w:r>
      <w:r>
        <w:t xml:space="preserve">is currently generated by a deterministic template; an optional LLM-written version can replace it without changing the ranking.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5DCE6" w:sz="4" w:space="6"/>
      </w:pBdr>
      <w:jc w:val="center"/>
    </w:pPr>
    <w:r>
      <w:rPr>
        <w:color w:val="8A97A8"/>
        <w:sz w:val="16"/>
        <w:szCs w:val="16"/>
      </w:rPr>
      <w:t xml:space="preserve">FastLocations.ai  ·  Site-Matching Engine — Technical &amp; Methodology Guide  ·  Page </w:t>
    </w:r>
    <w:r>
      <w:rPr>
        <w:color w:val="8A97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3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54A0" w:sz="4" w:space="4"/>
      </w:pBdr>
      <w:spacing w:after="140" w:before="280"/>
      <w:outlineLvl w:val="0"/>
    </w:pPr>
    <w:rPr>
      <w:rFonts w:ascii="Calibri" w:cs="Calibri" w:eastAsia="Calibri" w:hAnsi="Calibri"/>
      <w:b/>
      <w:bCs/>
      <w:color w:val="143F7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cs="Calibri" w:eastAsia="Calibri" w:hAnsi="Calibri"/>
      <w:b/>
      <w:bCs/>
      <w:color w:val="1A54A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A465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273f6f827340dffd39f9f4bb5b7f2f71c3cc28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2026-06-29T14:53:14.851Z</dcterms:created>
  <dcterms:modified xsi:type="dcterms:W3CDTF">2026-06-29T14:53:14.851Z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