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1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w:t>
      </w:r>
    </w:p>
    <w:p>
      <w:pPr>
        <w:spacing w:after="120" w:line="276"/>
      </w:pPr>
      <w:r>
        <w:rPr>
          <w:b/>
          <w:bCs/>
        </w:rPr>
        <w:t xml:space="preserve">Scope: </w:t>
      </w:r>
      <w:r>
        <w:t xml:space="preserve">How to manage and update the page and data, and how the deterministic scoring engine produces the FastLocations Score.</w:t>
      </w:r>
    </w:p>
    <w:p>
      <w:pPr>
        <w:spacing w:after="120" w:line="276"/>
      </w:pPr>
      <w:r>
        <w:rPr>
          <w:color w:val="6B7787"/>
        </w:rPr>
        <w:t xml:space="preserve">Version 1.1  </w:t>
      </w:r>
      <w:r>
        <w:rPr>
          <w:color w:val="6B7787"/>
        </w:rPr>
        <w:t xml:space="preserve">· Generated 2026-06-30</w:t>
      </w:r>
    </w:p>
    <w:p>
      <w:r>
        <w:br w:type="page"/>
      </w:r>
    </w:p>
    <w:p>
      <w:pPr>
        <w:pStyle w:val="Heading1"/>
        <w:spacing w:after="140" w:before="280"/>
      </w:pPr>
      <w:r>
        <w:t xml:space="preserve">1. System Overview</w:t>
      </w:r>
    </w:p>
    <w:p>
      <w:pPr>
        <w:spacing w:after="120" w:line="276"/>
      </w:pPr>
      <w:r>
        <w:t xml:space="preserve">FastLocations turns a site consultant's project requirements into a ranked shortlist of locations, each paired with the economic-development organization (EDO) that serves it. A consultant fills out an intake form; the engine compares those requirements against ten weighted data dimensions and returns the strongest matches, each with a FastLocations Score, a written rationale, a locator map, and an optional emailed summary.</w:t>
      </w:r>
    </w:p>
    <w:p>
      <w:pPr>
        <w:spacing w:after="120" w:line="276"/>
      </w:pPr>
      <w:r>
        <w:rPr>
          <w:b/>
          <w:bCs/>
        </w:rPr>
        <w:t xml:space="preserve">Core principle: </w:t>
      </w:r>
      <w:r>
        <w:t xml:space="preserve">scoring is deterministic. Facts come from data, never from a model. AI is used only to phrase the rationale after ranking. Where data is missing for a candidate, that dimension scores </w:t>
      </w:r>
      <w:r>
        <w:rPr>
          <w:rFonts w:ascii="Consolas" w:cs="Consolas" w:eastAsia="Consolas" w:hAnsi="Consolas"/>
          <w:color w:val="39455A"/>
          <w:sz w:val="19"/>
          <w:szCs w:val="19"/>
        </w:rPr>
        <w:t xml:space="preserve">null</w:t>
      </w:r>
      <w:r>
        <w:t xml:space="preserve"> and is excluded from the weighted total — gaps are stated honestly, never silently penalized.</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 (fastlocations.ai)</w:t>
      </w:r>
      <w:r>
        <w:t xml:space="preserve">  →  </w:t>
      </w:r>
      <w:r>
        <w:rPr>
          <w:rFonts w:ascii="Consolas" w:cs="Consolas" w:eastAsia="Consolas" w:hAnsi="Consolas"/>
          <w:color w:val="39455A"/>
          <w:sz w:val="19"/>
          <w:szCs w:val="19"/>
        </w:rPr>
        <w:t xml:space="preserve">POST /match</w:t>
      </w:r>
      <w:r>
        <w:t xml:space="preserve">  →  </w:t>
      </w:r>
      <w:r>
        <w:rPr>
          <w:rFonts w:ascii="Consolas" w:cs="Consolas" w:eastAsia="Consolas" w:hAnsi="Consolas"/>
          <w:color w:val="39455A"/>
          <w:sz w:val="19"/>
          <w:szCs w:val="19"/>
        </w:rPr>
        <w:t xml:space="preserve">Flask API (Railway)</w:t>
      </w:r>
      <w:r>
        <w:t xml:space="preserve">  →  </w:t>
      </w:r>
      <w:r>
        <w:rPr>
          <w:rFonts w:ascii="Consolas" w:cs="Consolas" w:eastAsia="Consolas" w:hAnsi="Consolas"/>
          <w:color w:val="39455A"/>
          <w:sz w:val="19"/>
          <w:szCs w:val="19"/>
        </w:rPr>
        <w:t xml:space="preserve">scorer.py</w:t>
      </w:r>
      <w:r>
        <w:t xml:space="preserve">  →  ranked results + FastLocations Score + serving EDO + rationale, returned to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Layer</w:t>
            </w:r>
          </w:p>
        </w:tc>
        <w:tc>
          <w:tcPr>
            <w:tcW w:type="dxa" w:w="26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Technology</w:t>
            </w:r>
          </w:p>
        </w:tc>
        <w:tc>
          <w:tcPr>
            <w:tcW w:type="dxa" w:w="456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Where it lives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Intake form</w:t>
            </w:r>
          </w:p>
        </w:tc>
        <w:tc>
          <w:tcPr>
            <w:tcW w:type="dxa" w:w="26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HTML + external JS (intake.js) + Leaflet map</w:t>
            </w:r>
          </w:p>
        </w:tc>
        <w:tc>
          <w:tcPr>
            <w:tcW w:type="dxa" w:w="45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fastlocations.ai web server</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Scoring API</w:t>
            </w:r>
          </w:p>
        </w:tc>
        <w:tc>
          <w:tcPr>
            <w:tcW w:type="dxa" w:w="26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Python 3.12 / Flask / gunicorn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Scoring engine</w:t>
            </w:r>
          </w:p>
        </w:tc>
        <w:tc>
          <w:tcPr>
            <w:tcW w:type="dxa" w:w="26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scorer.py (deterministic, 10 dimensions)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Loads precomputed JSON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Data</w:t>
            </w:r>
          </w:p>
        </w:tc>
        <w:tc>
          <w:tcPr>
            <w:tcW w:type="dxa" w:w="26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Precomputed JSON (counties, EDOs, incentives, places, grades)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 the repo, deployed with the API</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Email</w:t>
            </w:r>
          </w:p>
        </w:tc>
        <w:tc>
          <w:tcPr>
            <w:tcW w:type="dxa" w:w="26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Resend API</w:t>
            </w:r>
          </w:p>
        </w:tc>
        <w:tc>
          <w:tcPr>
            <w:tcW w:type="dxa" w:w="45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Triggered on Submit-to-FastLocations</w:t>
            </w:r>
          </w:p>
        </w:tc>
      </w:tr>
    </w:tbl>
    <w:p>
      <w:r>
        <w:br w:type="page"/>
      </w:r>
    </w:p>
    <w:p>
      <w:pPr>
        <w:pStyle w:val="Heading1"/>
        <w:spacing w:after="140" w:before="280"/>
      </w:pPr>
      <w:r>
        <w:t xml:space="preserve">2. Managing &amp; Updating the System</w:t>
      </w:r>
    </w:p>
    <w:p>
      <w:pPr>
        <w:pStyle w:val="Heading2"/>
        <w:spacing w:after="100" w:before="220"/>
      </w:pPr>
      <w:r>
        <w:t xml:space="preserve">2.1 Hosting</w:t>
      </w:r>
    </w:p>
    <w:p>
      <w:pPr>
        <w:pStyle w:val="ListParagraph"/>
        <w:numPr>
          <w:ilvl w:val="0"/>
          <w:numId w:val="2"/>
        </w:numPr>
        <w:spacing w:after="60"/>
      </w:pPr>
      <w:r>
        <w:rPr>
          <w:b/>
          <w:bCs/>
        </w:rPr>
        <w:t xml:space="preserve">Form (frontend): </w:t>
      </w:r>
      <w:r>
        <w:t xml:space="preserve">hosted on fastlocations.ai. Two files uploaded together: </w:t>
      </w:r>
      <w:r>
        <w:rPr>
          <w:rFonts w:ascii="Consolas" w:cs="Consolas" w:eastAsia="Consolas" w:hAnsi="Consolas"/>
          <w:color w:val="39455A"/>
          <w:sz w:val="19"/>
          <w:szCs w:val="19"/>
        </w:rPr>
        <w:t xml:space="preserve">site_selection_intake.html</w:t>
      </w:r>
      <w:r>
        <w:t xml:space="preserve"> and </w:t>
      </w:r>
      <w:r>
        <w:rPr>
          <w:rFonts w:ascii="Consolas" w:cs="Consolas" w:eastAsia="Consolas" w:hAnsi="Consolas"/>
          <w:color w:val="39455A"/>
          <w:sz w:val="19"/>
          <w:szCs w:val="19"/>
        </w:rPr>
        <w:t xml:space="preserve">intake.js</w:t>
      </w:r>
      <w:r>
        <w:t xml:space="preserve">. Leaflet loads from its CDN.</w:t>
      </w:r>
    </w:p>
    <w:p>
      <w:pPr>
        <w:pStyle w:val="ListParagraph"/>
        <w:numPr>
          <w:ilvl w:val="0"/>
          <w:numId w:val="2"/>
        </w:numPr>
        <w:spacing w:after="60"/>
      </w:pPr>
      <w:r>
        <w:rPr>
          <w:b/>
          <w:bCs/>
        </w:rPr>
        <w:t xml:space="preserve">API (backend): </w:t>
      </w:r>
      <w:r>
        <w:t xml:space="preserve">Railway, started with </w:t>
      </w:r>
      <w:r>
        <w:rPr>
          <w:rFonts w:ascii="Consolas" w:cs="Consolas" w:eastAsia="Consolas" w:hAnsi="Consolas"/>
          <w:color w:val="39455A"/>
          <w:sz w:val="19"/>
          <w:szCs w:val="19"/>
        </w:rPr>
        <w:t xml:space="preserve">gunicorn app:app</w:t>
      </w:r>
      <w:r>
        <w:t xml:space="preserve">. Auto-redeploys from the </w:t>
      </w:r>
      <w:r>
        <w:rPr>
          <w:rFonts w:ascii="Consolas" w:cs="Consolas" w:eastAsia="Consolas" w:hAnsi="Consolas"/>
          <w:color w:val="39455A"/>
          <w:sz w:val="19"/>
          <w:szCs w:val="19"/>
        </w:rPr>
        <w:t xml:space="preserve">fastlocations-scoring-api</w:t>
      </w:r>
      <w:r>
        <w:t xml:space="preserve"> GitHub repo on every push.</w:t>
      </w:r>
    </w:p>
    <w:p>
      <w:pPr>
        <w:pStyle w:val="Heading2"/>
        <w:spacing w:after="100" w:before="220"/>
      </w:pPr>
      <w:r>
        <w:t xml:space="preserve">2.2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260"/>
        <w:gridCol w:w="2400"/>
      </w:tblGrid>
      <w:tr>
        <w:trPr>
          <w:tblHeader/>
        </w:trPr>
        <w:tc>
          <w:tcPr>
            <w:tcW w:type="dxa" w:w="27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File</w:t>
            </w:r>
          </w:p>
        </w:tc>
        <w:tc>
          <w:tcPr>
            <w:tcW w:type="dxa" w:w="426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Purpose</w:t>
            </w:r>
          </w:p>
        </w:tc>
        <w:tc>
          <w:tcPr>
            <w:tcW w:type="dxa" w:w="24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Update when</w:t>
            </w:r>
          </w:p>
        </w:tc>
      </w:tr>
      <w:tr>
        <w:tc>
          <w:tcPr>
            <w:tcW w:type="dxa" w:w="27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site_selection_intake.html</w:t>
            </w:r>
          </w:p>
        </w:tc>
        <w:tc>
          <w:tcPr>
            <w:tcW w:type="dxa" w:w="42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Intake form markup + styling; loads intake.js + Leaflet.</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Form fields / branding change</w:t>
            </w:r>
          </w:p>
        </w:tc>
      </w:tr>
      <w:tr>
        <w:tc>
          <w:tcPr>
            <w:tcW w:type="dxa" w:w="27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intake.js</w:t>
            </w:r>
          </w:p>
        </w:tc>
        <w:tc>
          <w:tcPr>
            <w:tcW w:type="dxa" w:w="42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Form logic: builds criteria, calls API, renders results + map, autocomplete, export, submit.</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Form behavior / API URL change</w:t>
            </w:r>
          </w:p>
        </w:tc>
      </w:tr>
      <w:tr>
        <w:tc>
          <w:tcPr>
            <w:tcW w:type="dxa" w:w="27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app.py</w:t>
            </w:r>
          </w:p>
        </w:tc>
        <w:tc>
          <w:tcPr>
            <w:tcW w:type="dxa" w:w="42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Flask API: /, /match, /submit, /places, /health, /email-status; Resend email.</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API behavior / email change</w:t>
            </w:r>
          </w:p>
        </w:tc>
      </w:tr>
      <w:tr>
        <w:tc>
          <w:tcPr>
            <w:tcW w:type="dxa" w:w="27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scorer.py</w:t>
            </w:r>
          </w:p>
        </w:tc>
        <w:tc>
          <w:tcPr>
            <w:tcW w:type="dxa" w:w="42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Deterministic scorer: 10 dimensions, filters, weighting, rationale, geocoding.</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Scoring rules / metrics change</w:t>
            </w:r>
          </w:p>
        </w:tc>
      </w:tr>
      <w:tr>
        <w:tc>
          <w:tcPr>
            <w:tcW w:type="dxa" w:w="27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county_features.json</w:t>
            </w:r>
          </w:p>
        </w:tc>
        <w:tc>
          <w:tcPr>
            <w:tcW w:type="dxa" w:w="42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US county data spine (all scored metrics + centroids).</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Any US metric refreshed</w:t>
            </w:r>
          </w:p>
        </w:tc>
      </w:tr>
      <w:tr>
        <w:tc>
          <w:tcPr>
            <w:tcW w:type="dxa" w:w="27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ca_features.json</w:t>
            </w:r>
          </w:p>
        </w:tc>
        <w:tc>
          <w:tcPr>
            <w:tcW w:type="dxa" w:w="42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Canadian Census Division spine.</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Canadian data refreshed</w:t>
            </w:r>
          </w:p>
        </w:tc>
      </w:tr>
      <w:tr>
        <w:tc>
          <w:tcPr>
            <w:tcW w:type="dxa" w:w="27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state_infrastructure_grades.json</w:t>
            </w:r>
          </w:p>
        </w:tc>
        <w:tc>
          <w:tcPr>
            <w:tcW w:type="dxa" w:w="42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ASCE state GPA -&gt; Infrastructure dimension (editable).</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Infrastructure grades updated</w:t>
            </w:r>
          </w:p>
        </w:tc>
      </w:tr>
      <w:tr>
        <w:tc>
          <w:tcPr>
            <w:tcW w:type="dxa" w:w="27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incentives_index.json</w:t>
            </w:r>
          </w:p>
        </w:tc>
        <w:tc>
          <w:tcPr>
            <w:tcW w:type="dxa" w:w="42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Per-state/province incentive program summary.</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Incentive data refreshed</w:t>
            </w:r>
          </w:p>
        </w:tc>
      </w:tr>
      <w:tr>
        <w:tc>
          <w:tcPr>
            <w:tcW w:type="dxa" w:w="27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us_places.json</w:t>
            </w:r>
          </w:p>
        </w:tc>
        <w:tc>
          <w:tcPr>
            <w:tcW w:type="dxa" w:w="42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64k US places -&gt; coordinates (proximity geocoder + autocomplete).</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Rarely (Census places update)</w:t>
            </w:r>
          </w:p>
        </w:tc>
      </w:tr>
      <w:tr>
        <w:tc>
          <w:tcPr>
            <w:tcW w:type="dxa" w:w="27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edo_master_table_dual.json / edo_*_index.json</w:t>
            </w:r>
          </w:p>
        </w:tc>
        <w:tc>
          <w:tcPr>
            <w:tcW w:type="dxa" w:w="42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EDO customers tagged to FIPS/CDUID + reverse index.</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organizations.json / territories change</w:t>
            </w:r>
          </w:p>
        </w:tc>
      </w:tr>
    </w:tbl>
    <w:p>
      <w:pPr>
        <w:pStyle w:val="Heading2"/>
        <w:spacing w:after="100" w:before="220"/>
      </w:pPr>
      <w:r>
        <w:t xml:space="preserve">2.3 Updating the Form</w:t>
      </w:r>
    </w:p>
    <w:p>
      <w:pPr>
        <w:pStyle w:val="ListParagraph"/>
        <w:numPr>
          <w:ilvl w:val="0"/>
          <w:numId w:val="2"/>
        </w:numPr>
        <w:spacing w:after="60"/>
      </w:pPr>
      <w:r>
        <w:rPr>
          <w:b/>
          <w:bCs/>
        </w:rPr>
        <w:t xml:space="preserve">Keep files ASCII-only </w:t>
      </w:r>
      <w:r>
        <w:t xml:space="preserve">and JS external (intake.js). The host's page processor corrupts non-ASCII characters and inline scripts — that is why the JavaScript is a separate file.</w:t>
      </w:r>
    </w:p>
    <w:p>
      <w:pPr>
        <w:pStyle w:val="ListParagraph"/>
        <w:numPr>
          <w:ilvl w:val="0"/>
          <w:numId w:val="2"/>
        </w:numPr>
        <w:spacing w:after="60"/>
      </w:pPr>
      <w:r>
        <w:rPr>
          <w:b/>
          <w:bCs/>
        </w:rPr>
        <w:t xml:space="preserve">Upload in Binary mode </w:t>
      </w:r>
      <w:r>
        <w:t xml:space="preserve">(FTP), and confirm OneDrive is fully synced before uploading.</w:t>
      </w:r>
    </w:p>
    <w:p>
      <w:pPr>
        <w:pStyle w:val="Heading2"/>
        <w:spacing w:after="100" w:before="220"/>
      </w:pPr>
      <w:r>
        <w:t xml:space="preserve">2.4 Updating the Data</w:t>
      </w:r>
    </w:p>
    <w:p>
      <w:pPr>
        <w:spacing w:after="120" w:line="276"/>
      </w:pPr>
      <w:r>
        <w:t xml:space="preserve">All scored US metrics live in </w:t>
      </w:r>
      <w:r>
        <w:rPr>
          <w:rFonts w:ascii="Consolas" w:cs="Consolas" w:eastAsia="Consolas" w:hAnsi="Consolas"/>
          <w:color w:val="39455A"/>
          <w:sz w:val="19"/>
          <w:szCs w:val="19"/>
        </w:rPr>
        <w:t xml:space="preserve">county_features.json</w:t>
      </w:r>
      <w:r>
        <w:t xml:space="preserve">. Raw sources (Census/ArcGIS exports, CSVs, the County Health Rankings file) are processed once into it and are NOT deployed. To add a metric: extract it keyed by 5-digit FIPS, merge into </w:t>
      </w:r>
      <w:r>
        <w:rPr>
          <w:rFonts w:ascii="Consolas" w:cs="Consolas" w:eastAsia="Consolas" w:hAnsi="Consolas"/>
          <w:color w:val="39455A"/>
          <w:sz w:val="19"/>
          <w:szCs w:val="19"/>
        </w:rPr>
        <w:t xml:space="preserve">county_features.json</w:t>
      </w:r>
      <w:r>
        <w:t xml:space="preserve">, add it to the matching dimension extractor in </w:t>
      </w:r>
      <w:r>
        <w:rPr>
          <w:rFonts w:ascii="Consolas" w:cs="Consolas" w:eastAsia="Consolas" w:hAnsi="Consolas"/>
          <w:color w:val="39455A"/>
          <w:sz w:val="19"/>
          <w:szCs w:val="19"/>
        </w:rPr>
        <w:t xml:space="preserve">scorer.py</w:t>
      </w:r>
      <w:r>
        <w:t xml:space="preserve">, commit and push.</w:t>
      </w:r>
    </w:p>
    <w:p>
      <w:pPr>
        <w:pStyle w:val="Heading2"/>
        <w:spacing w:after="100" w:before="220"/>
      </w:pPr>
      <w:r>
        <w:t xml:space="preserve">2.5 Deployment</w:t>
      </w:r>
    </w:p>
    <w:p>
      <w:pPr>
        <w:spacing w:after="120" w:line="276"/>
      </w:pPr>
      <w:r>
        <w:rPr>
          <w:rFonts w:ascii="Consolas" w:cs="Consolas" w:eastAsia="Consolas" w:hAnsi="Consolas"/>
          <w:color w:val="39455A"/>
          <w:sz w:val="19"/>
          <w:szCs w:val="19"/>
        </w:rPr>
        <w:t xml:space="preserve">git add -A   →   git commit -m "..."   →   git push</w:t>
      </w:r>
      <w:r>
        <w:t xml:space="preserve">  (Railway redeploys in ~1–2 min). The frontend is uploaded to the web server separately.</w:t>
      </w:r>
    </w:p>
    <w:p>
      <w:pPr>
        <w:spacing w:after="120" w:line="276"/>
      </w:pPr>
      <w:r>
        <w:t xml:space="preserve">GitHub rejects files over 100 MB. The </w:t>
      </w:r>
      <w:r>
        <w:rPr>
          <w:rFonts w:ascii="Consolas" w:cs="Consolas" w:eastAsia="Consolas" w:hAnsi="Consolas"/>
          <w:color w:val="39455A"/>
          <w:sz w:val="19"/>
          <w:szCs w:val="19"/>
        </w:rPr>
        <w:t xml:space="preserve">.gitignore</w:t>
      </w:r>
      <w:r>
        <w:t xml:space="preserve"> is a whitelist — it ignores all data and keeps only the small runtime JSON. Never remove the whitelist; raw source files (some over 1 GB) must stay out of the repo.</w:t>
      </w:r>
    </w:p>
    <w:p>
      <w:pPr>
        <w:pStyle w:val="Heading2"/>
        <w:spacing w:after="100" w:before="220"/>
      </w:pPr>
      <w:r>
        <w:t xml:space="preserve">2.6 Endpoints &amp;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Endpoint</w:t>
            </w:r>
          </w:p>
        </w:tc>
        <w:tc>
          <w:tcPr>
            <w:tcW w:type="dxa" w:w="696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Returns</w:t>
            </w:r>
          </w:p>
        </w:tc>
      </w:tr>
      <w:tr>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rFonts w:ascii="Consolas" w:cs="Consolas" w:eastAsia="Consolas" w:hAnsi="Consolas"/>
                <w:color w:val="39455A"/>
                <w:sz w:val="19"/>
                <w:szCs w:val="19"/>
              </w:rPr>
              <w:t xml:space="preserve">GET /</w:t>
            </w:r>
          </w:p>
        </w:tc>
        <w:tc>
          <w:tcPr>
            <w:tcW w:type="dxa" w:w="69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Serves the intake form.</w:t>
            </w:r>
          </w:p>
        </w:tc>
      </w:tr>
      <w:tr>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rFonts w:ascii="Consolas" w:cs="Consolas" w:eastAsia="Consolas" w:hAnsi="Consolas"/>
                <w:color w:val="39455A"/>
                <w:sz w:val="19"/>
                <w:szCs w:val="19"/>
              </w:rPr>
              <w:t xml:space="preserve">POST /match?top=N</w:t>
            </w:r>
          </w:p>
        </w:tc>
        <w:tc>
          <w:tcPr>
            <w:tcW w:type="dxa" w:w="69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Ranked results + FastLocations Score + coordinates (no email).</w:t>
            </w:r>
          </w:p>
        </w:tc>
      </w:tr>
      <w:tr>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rFonts w:ascii="Consolas" w:cs="Consolas" w:eastAsia="Consolas" w:hAnsi="Consolas"/>
                <w:color w:val="39455A"/>
                <w:sz w:val="19"/>
                <w:szCs w:val="19"/>
              </w:rPr>
              <w:t xml:space="preserve">POST /submit</w:t>
            </w:r>
          </w:p>
        </w:tc>
        <w:tc>
          <w:tcPr>
            <w:tcW w:type="dxa" w:w="69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Re-scores and emails the result to the submitter + FastLocations (Resend).</w:t>
            </w:r>
          </w:p>
        </w:tc>
      </w:tr>
      <w:tr>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rFonts w:ascii="Consolas" w:cs="Consolas" w:eastAsia="Consolas" w:hAnsi="Consolas"/>
                <w:color w:val="39455A"/>
                <w:sz w:val="19"/>
                <w:szCs w:val="19"/>
              </w:rPr>
              <w:t xml:space="preserve">GET /places?q=</w:t>
            </w:r>
          </w:p>
        </w:tc>
        <w:tc>
          <w:tcPr>
            <w:tcW w:type="dxa" w:w="69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Autocomplete suggestions for the market-proximity field.</w:t>
            </w:r>
          </w:p>
        </w:tc>
      </w:tr>
      <w:tr>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rFonts w:ascii="Consolas" w:cs="Consolas" w:eastAsia="Consolas" w:hAnsi="Consolas"/>
                <w:color w:val="39455A"/>
                <w:sz w:val="19"/>
                <w:szCs w:val="19"/>
              </w:rPr>
              <w:t xml:space="preserve">GET /health  /email-status</w:t>
            </w:r>
          </w:p>
        </w:tc>
        <w:tc>
          <w:tcPr>
            <w:tcW w:type="dxa" w:w="69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Data load status; whether Resend env vars are configured.</w:t>
            </w:r>
          </w:p>
        </w:tc>
      </w:tr>
    </w:tbl>
    <w:p>
      <w:pPr>
        <w:spacing w:after="120" w:line="276"/>
      </w:pPr>
      <w:r>
        <w:t xml:space="preserve">Email requires Railway variables </w:t>
      </w:r>
      <w:r>
        <w:rPr>
          <w:rFonts w:ascii="Consolas" w:cs="Consolas" w:eastAsia="Consolas" w:hAnsi="Consolas"/>
          <w:color w:val="39455A"/>
          <w:sz w:val="19"/>
          <w:szCs w:val="19"/>
        </w:rPr>
        <w:t xml:space="preserve">RESEND_API_KEY</w:t>
      </w:r>
      <w:r>
        <w:t xml:space="preserve">, </w:t>
      </w:r>
      <w:r>
        <w:rPr>
          <w:rFonts w:ascii="Consolas" w:cs="Consolas" w:eastAsia="Consolas" w:hAnsi="Consolas"/>
          <w:color w:val="39455A"/>
          <w:sz w:val="19"/>
          <w:szCs w:val="19"/>
        </w:rPr>
        <w:t xml:space="preserve">FL_NOTIFY_EMAIL</w:t>
      </w:r>
      <w:r>
        <w:t xml:space="preserve">, </w:t>
      </w:r>
      <w:r>
        <w:rPr>
          <w:rFonts w:ascii="Consolas" w:cs="Consolas" w:eastAsia="Consolas" w:hAnsi="Consolas"/>
          <w:color w:val="39455A"/>
          <w:sz w:val="19"/>
          <w:szCs w:val="19"/>
        </w:rPr>
        <w:t xml:space="preserve">EMAIL_FROM</w:t>
      </w:r>
      <w:r>
        <w:t xml:space="preserve">, plus verifying fastlocations.ai in Resend (otherwise only your own address receives mail). The build also needs </w:t>
      </w:r>
      <w:r>
        <w:rPr>
          <w:rFonts w:ascii="Consolas" w:cs="Consolas" w:eastAsia="Consolas" w:hAnsi="Consolas"/>
          <w:color w:val="39455A"/>
          <w:sz w:val="19"/>
          <w:szCs w:val="19"/>
        </w:rPr>
        <w:t xml:space="preserve">MISE_PYTHON_GITHUB_ATTESTATIONS=false</w:t>
      </w:r>
      <w:r>
        <w:t xml:space="preserve">.</w:t>
      </w:r>
    </w:p>
    <w:p>
      <w:r>
        <w:br w:type="page"/>
      </w:r>
    </w:p>
    <w:p>
      <w:pPr>
        <w:pStyle w:val="Heading1"/>
        <w:spacing w:after="140" w:before="280"/>
      </w:pPr>
      <w:r>
        <w:t xml:space="preserve">3. Scoring Methodology (the FastLocations Score)</w:t>
      </w:r>
    </w:p>
    <w:p>
      <w:pPr>
        <w:pStyle w:val="Heading2"/>
        <w:spacing w:after="100" w:before="220"/>
      </w:pPr>
      <w:r>
        <w:t xml:space="preserve">3.1 Principles</w:t>
      </w:r>
    </w:p>
    <w:p>
      <w:pPr>
        <w:pStyle w:val="ListParagraph"/>
        <w:numPr>
          <w:ilvl w:val="0"/>
          <w:numId w:val="2"/>
        </w:numPr>
        <w:spacing w:after="60"/>
      </w:pPr>
      <w:r>
        <w:rPr>
          <w:b/>
          <w:bCs/>
        </w:rPr>
        <w:t xml:space="preserve">Deterministic. </w:t>
      </w:r>
      <w:r>
        <w:t xml:space="preserve">Identical inputs always produce identical scores.</w:t>
      </w:r>
    </w:p>
    <w:p>
      <w:pPr>
        <w:pStyle w:val="ListParagraph"/>
        <w:numPr>
          <w:ilvl w:val="0"/>
          <w:numId w:val="2"/>
        </w:numPr>
        <w:spacing w:after="60"/>
      </w:pPr>
      <w:r>
        <w:rPr>
          <w:b/>
          <w:bCs/>
        </w:rPr>
        <w:t xml:space="preserve">Facts from data, never the model. </w:t>
      </w:r>
      <w:r>
        <w:t xml:space="preserve">AI only writes the rationale after ranking.</w:t>
      </w:r>
    </w:p>
    <w:p>
      <w:pPr>
        <w:pStyle w:val="ListParagraph"/>
        <w:numPr>
          <w:ilvl w:val="0"/>
          <w:numId w:val="2"/>
        </w:numPr>
        <w:spacing w:after="60"/>
      </w:pPr>
      <w:r>
        <w:rPr>
          <w:b/>
          <w:bCs/>
        </w:rPr>
        <w:t xml:space="preserve">Gaps never penalize. </w:t>
      </w:r>
      <w:r>
        <w:t xml:space="preserve">Missing data -&gt; </w:t>
      </w:r>
      <w:r>
        <w:rPr>
          <w:rFonts w:ascii="Consolas" w:cs="Consolas" w:eastAsia="Consolas" w:hAnsi="Consolas"/>
          <w:color w:val="39455A"/>
          <w:sz w:val="19"/>
          <w:szCs w:val="19"/>
        </w:rPr>
        <w:t xml:space="preserve">null</w:t>
      </w:r>
      <w:r>
        <w:t xml:space="preserve">; weights renormalize over the dimensions that have data.</w:t>
      </w:r>
    </w:p>
    <w:p>
      <w:pPr>
        <w:pStyle w:val="ListParagraph"/>
        <w:numPr>
          <w:ilvl w:val="0"/>
          <w:numId w:val="2"/>
        </w:numPr>
        <w:spacing w:after="60"/>
      </w:pPr>
      <w:r>
        <w:rPr>
          <w:b/>
          <w:bCs/>
        </w:rPr>
        <w:t xml:space="preserve">Customer-routable only. </w:t>
      </w:r>
      <w:r>
        <w:t xml:space="preserve">Only counties/CDs served by an EDO customer are ranked.</w:t>
      </w:r>
    </w:p>
    <w:p>
      <w:pPr>
        <w:pStyle w:val="Heading2"/>
        <w:spacing w:after="100" w:before="220"/>
      </w:pPr>
      <w:r>
        <w:t xml:space="preserve">3.2 Pipeline</w:t>
      </w:r>
    </w:p>
    <w:p>
      <w:pPr>
        <w:spacing w:after="120" w:line="276"/>
      </w:pPr>
      <w:r>
        <w:t xml:space="preserve">Parse criteria -&gt; apply hard filters -&gt; 0–100 sub-score per dimension (percentile rank across the filtered set) -&gt; weighted total = FastLocations Score (renormalized over non-null dimensions) -&gt; preferred-region bonus -&gt; roll up to the serving EDO -&gt; rationale -&gt; locator map -&gt; optional email.</w:t>
      </w:r>
    </w:p>
    <w:p>
      <w:pPr>
        <w:pStyle w:val="Heading2"/>
        <w:spacing w:after="100" w:before="220"/>
      </w:pPr>
      <w:r>
        <w:t xml:space="preserve">3.3 Hard Filters (before scoring)</w:t>
      </w:r>
    </w:p>
    <w:p>
      <w:pPr>
        <w:pStyle w:val="ListParagraph"/>
        <w:numPr>
          <w:ilvl w:val="0"/>
          <w:numId w:val="2"/>
        </w:numPr>
        <w:spacing w:after="60"/>
      </w:pPr>
      <w:r>
        <w:t xml:space="preserve">Required / excluded states (preferred is a bonus, not a filter); demographic thresholds (min population / labor force); port / airport requirements.</w:t>
      </w:r>
    </w:p>
    <w:p>
      <w:pPr>
        <w:pStyle w:val="ListParagraph"/>
        <w:numPr>
          <w:ilvl w:val="0"/>
          <w:numId w:val="2"/>
        </w:numPr>
        <w:spacing w:after="60"/>
      </w:pPr>
      <w:r>
        <w:rPr>
          <w:b/>
          <w:bCs/>
        </w:rPr>
        <w:t xml:space="preserve">Market proximity </w:t>
      </w:r>
      <w:r>
        <w:t xml:space="preserve">— geocodes the named place from a bundled 64k-place index (offline, no external call) and keeps counties whose centroid is within the radius (true distance).</w:t>
      </w:r>
    </w:p>
    <w:p>
      <w:pPr>
        <w:pStyle w:val="Heading2"/>
        <w:spacing w:after="100" w:before="220"/>
      </w:pPr>
      <w:r>
        <w:t xml:space="preserve">3.4 The Ten Dimensions</w:t>
      </w:r>
    </w:p>
    <w:p>
      <w:pPr>
        <w:spacing w:after="120" w:line="276"/>
      </w:pPr>
      <w:r>
        <w:t xml:space="preserve">Each dimension is the average of its metrics' percentile ranks across the filtered candidates; cost- and risk-like metrics are inverted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5250"/>
        <w:gridCol w:w="2360"/>
      </w:tblGrid>
      <w:tr>
        <w:trPr>
          <w:tblHeader/>
        </w:trPr>
        <w:tc>
          <w:tcPr>
            <w:tcW w:type="dxa" w:w="175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Dimension</w:t>
            </w:r>
          </w:p>
        </w:tc>
        <w:tc>
          <w:tcPr>
            <w:tcW w:type="dxa" w:w="525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Metrics</w:t>
            </w:r>
          </w:p>
        </w:tc>
        <w:tc>
          <w:tcPr>
            <w:tcW w:type="dxa" w:w="236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Direction</w:t>
            </w:r>
          </w:p>
        </w:tc>
      </w:tr>
      <w:tr>
        <w:tc>
          <w:tcPr>
            <w:tcW w:type="dxa" w:w="17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Workforce</w:t>
            </w:r>
          </w:p>
        </w:tc>
        <w:tc>
          <w:tcPr>
            <w:tcW w:type="dxa" w:w="52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Labor availability (low unemployment), labor-pool adequacy vs. headcount, prime working-age share, Critical Thinking score</w:t>
            </w:r>
          </w:p>
        </w:tc>
        <w:tc>
          <w:tcPr>
            <w:tcW w:type="dxa" w:w="23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Higher / inverted</w:t>
            </w:r>
          </w:p>
        </w:tc>
      </w:tr>
      <w:tr>
        <w:tc>
          <w:tcPr>
            <w:tcW w:type="dxa" w:w="17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Cost</w:t>
            </w:r>
          </w:p>
        </w:tc>
        <w:tc>
          <w:tcPr>
            <w:tcW w:type="dxa" w:w="52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Labor cost (median income), cost of living (wealth index)</w:t>
            </w:r>
          </w:p>
        </w:tc>
        <w:tc>
          <w:tcPr>
            <w:tcW w:type="dxa" w:w="23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Inverted</w:t>
            </w:r>
          </w:p>
        </w:tc>
      </w:tr>
      <w:tr>
        <w:tc>
          <w:tcPr>
            <w:tcW w:type="dxa" w:w="17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Real estate</w:t>
            </w:r>
          </w:p>
        </w:tc>
        <w:tc>
          <w:tcPr>
            <w:tcW w:type="dxa" w:w="52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Effective property-tax rate</w:t>
            </w:r>
          </w:p>
        </w:tc>
        <w:tc>
          <w:tcPr>
            <w:tcW w:type="dxa" w:w="23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Inverted</w:t>
            </w:r>
          </w:p>
        </w:tc>
      </w:tr>
      <w:tr>
        <w:tc>
          <w:tcPr>
            <w:tcW w:type="dxa" w:w="17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Incentives</w:t>
            </w:r>
          </w:p>
        </w:tc>
        <w:tc>
          <w:tcPr>
            <w:tcW w:type="dxa" w:w="52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Program breadth + rank-weighted match to the project's incentive priorities</w:t>
            </w:r>
          </w:p>
        </w:tc>
        <w:tc>
          <w:tcPr>
            <w:tcW w:type="dxa" w:w="23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Higher</w:t>
            </w:r>
          </w:p>
        </w:tc>
      </w:tr>
      <w:tr>
        <w:tc>
          <w:tcPr>
            <w:tcW w:type="dxa" w:w="17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Infrastructure</w:t>
            </w:r>
          </w:p>
        </w:tc>
        <w:tc>
          <w:tcPr>
            <w:tcW w:type="dxa" w:w="52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ASCE Infrastructure Report Card state GPA (broadcast to counties)</w:t>
            </w:r>
          </w:p>
        </w:tc>
        <w:tc>
          <w:tcPr>
            <w:tcW w:type="dxa" w:w="23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Higher</w:t>
            </w:r>
          </w:p>
        </w:tc>
      </w:tr>
      <w:tr>
        <w:tc>
          <w:tcPr>
            <w:tcW w:type="dxa" w:w="17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Livability</w:t>
            </w:r>
          </w:p>
        </w:tc>
        <w:tc>
          <w:tcPr>
            <w:tcW w:type="dxa" w:w="52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Health Rankings: premature death, poor/fair health, poor physical &amp; mental health days, life expectancy</w:t>
            </w:r>
          </w:p>
        </w:tc>
        <w:tc>
          <w:tcPr>
            <w:tcW w:type="dxa" w:w="23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Higher / inverted</w:t>
            </w:r>
          </w:p>
        </w:tc>
      </w:tr>
      <w:tr>
        <w:tc>
          <w:tcPr>
            <w:tcW w:type="dxa" w:w="17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Market size</w:t>
            </w:r>
          </w:p>
        </w:tc>
        <w:tc>
          <w:tcPr>
            <w:tcW w:type="dxa" w:w="52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Population (scale of the market)</w:t>
            </w:r>
          </w:p>
        </w:tc>
        <w:tc>
          <w:tcPr>
            <w:tcW w:type="dxa" w:w="23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Higher</w:t>
            </w:r>
          </w:p>
        </w:tc>
      </w:tr>
      <w:tr>
        <w:tc>
          <w:tcPr>
            <w:tcW w:type="dxa" w:w="17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Safety</w:t>
            </w:r>
          </w:p>
        </w:tc>
        <w:tc>
          <w:tcPr>
            <w:tcW w:type="dxa" w:w="52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Crime rate</w:t>
            </w:r>
          </w:p>
        </w:tc>
        <w:tc>
          <w:tcPr>
            <w:tcW w:type="dxa" w:w="23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Inverted</w:t>
            </w:r>
          </w:p>
        </w:tc>
      </w:tr>
      <w:tr>
        <w:tc>
          <w:tcPr>
            <w:tcW w:type="dxa" w:w="17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Demographics</w:t>
            </w:r>
          </w:p>
        </w:tc>
        <w:tc>
          <w:tcPr>
            <w:tcW w:type="dxa" w:w="525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Population, labor force, educational attainment, growth</w:t>
            </w:r>
          </w:p>
        </w:tc>
        <w:tc>
          <w:tcPr>
            <w:tcW w:type="dxa" w:w="23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Higher</w:t>
            </w:r>
          </w:p>
        </w:tc>
      </w:tr>
      <w:tr>
        <w:tc>
          <w:tcPr>
            <w:tcW w:type="dxa" w:w="17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Logistics</w:t>
            </w:r>
          </w:p>
        </w:tc>
        <w:tc>
          <w:tcPr>
            <w:tcW w:type="dxa" w:w="525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Airport capacity &amp; enplanements, port tonnage, commute time</w:t>
            </w:r>
          </w:p>
        </w:tc>
        <w:tc>
          <w:tcPr>
            <w:tcW w:type="dxa" w:w="23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Higher / inverted</w:t>
            </w:r>
          </w:p>
        </w:tc>
      </w:tr>
    </w:tbl>
    <w:p>
      <w:pPr>
        <w:pStyle w:val="Heading2"/>
        <w:spacing w:after="100" w:before="220"/>
      </w:pPr>
      <w:r>
        <w:t xml:space="preserve">3.5 Normalization, Weighting &amp; De-correlation</w:t>
      </w:r>
    </w:p>
    <w:p>
      <w:pPr>
        <w:pStyle w:val="ListParagraph"/>
        <w:numPr>
          <w:ilvl w:val="0"/>
          <w:numId w:val="2"/>
        </w:numPr>
        <w:spacing w:after="60"/>
      </w:pPr>
      <w:r>
        <w:t xml:space="preserve">Each raw metric -&gt; 0–100 percentile rank; a dimension's sub-score is the average of its metric percentiles; the FastLocations Score is the weighted sum, renormalized over non-null dimensions, plus a preferred-region bonus.</w:t>
      </w:r>
    </w:p>
    <w:p>
      <w:pPr>
        <w:spacing w:after="120" w:line="276"/>
      </w:pPr>
      <w:r>
        <w:t xml:space="preserve">Default weights (the form's sliders, normalized to 100%): </w:t>
      </w:r>
      <w:r>
        <w:t xml:space="preserve">Workforce 18, Cost 18, Real estate 13, Incentives 10, Infrastructure 8, Livability 8, Market size 7, Safety 6, Demographics 6, Logistics 6.</w:t>
      </w:r>
    </w:p>
    <w:p>
      <w:pPr>
        <w:pStyle w:val="ListParagraph"/>
        <w:numPr>
          <w:ilvl w:val="0"/>
          <w:numId w:val="2"/>
        </w:numPr>
        <w:spacing w:after="60"/>
      </w:pPr>
      <w:r>
        <w:rPr>
          <w:b/>
          <w:bCs/>
        </w:rPr>
        <w:t xml:space="preserve">De-correlation: </w:t>
      </w:r>
      <w:r>
        <w:t xml:space="preserve">wealth is intentionally not double-counted. Income appears only in Cost (and counts against expensive places); Social Deprivation Index, household poverty, and infant mortality are present in the data but excluded from scoring because Livability already captures community health. This prevents one affluent county from sweeping multiple dimensions on the same underlying signal.</w:t>
      </w:r>
    </w:p>
    <w:p>
      <w:pPr>
        <w:pStyle w:val="Heading2"/>
        <w:spacing w:after="100" w:before="220"/>
      </w:pPr>
      <w:r>
        <w:t xml:space="preserve">3.6 Dual-Spine (US &amp; Canada)</w:t>
      </w:r>
    </w:p>
    <w:p>
      <w:pPr>
        <w:spacing w:after="120" w:line="276"/>
      </w:pPr>
      <w:r>
        <w:t xml:space="preserve">US candidates are counties (5-digit FIPS); Canadian candidates are Census Divisions (CDUID). The country selector picks one spine. Canadian candidates score on population, infrastructure, and provincial incentives; US-only metrics (workforce quality, cost, safety, property tax, livability) read </w:t>
      </w:r>
      <w:r>
        <w:rPr>
          <w:rFonts w:ascii="Consolas" w:cs="Consolas" w:eastAsia="Consolas" w:hAnsi="Consolas"/>
          <w:color w:val="39455A"/>
          <w:sz w:val="19"/>
          <w:szCs w:val="19"/>
        </w:rPr>
        <w:t xml:space="preserve">null</w:t>
      </w:r>
      <w:r>
        <w:t xml:space="preserve"> and renormalize out. The locator map is US-only (counties have centroids).</w:t>
      </w:r>
    </w:p>
    <w:p>
      <w:pPr>
        <w:pStyle w:val="Heading2"/>
        <w:spacing w:after="100" w:before="220"/>
      </w:pPr>
      <w:r>
        <w:t xml:space="preserve">3.7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660"/>
        <w:gridCol w:w="2400"/>
      </w:tblGrid>
      <w:tr>
        <w:trPr>
          <w:tblHeader/>
        </w:trPr>
        <w:tc>
          <w:tcPr>
            <w:tcW w:type="dxa" w:w="23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Metric group</w:t>
            </w:r>
          </w:p>
        </w:tc>
        <w:tc>
          <w:tcPr>
            <w:tcW w:type="dxa" w:w="466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Source</w:t>
            </w:r>
          </w:p>
        </w:tc>
        <w:tc>
          <w:tcPr>
            <w:tcW w:type="dxa" w:w="2400"/>
            <w:tcBorders>
              <w:top w:val="single" w:color="D5DCE6" w:sz="1"/>
              <w:left w:val="single" w:color="D5DCE6" w:sz="1"/>
              <w:bottom w:val="single" w:color="D5DCE6" w:sz="1"/>
              <w:right w:val="single" w:color="D5DCE6" w:sz="1"/>
            </w:tcBorders>
            <w:shd w:fill="1A54A0" w:val="clear"/>
            <w:tcMar>
              <w:top w:type="dxa" w:w="60"/>
              <w:left w:type="dxa" w:w="110"/>
              <w:bottom w:type="dxa" w:w="60"/>
              <w:right w:type="dxa" w:w="110"/>
            </w:tcMar>
          </w:tcPr>
          <w:p>
            <w:r>
              <w:rPr>
                <w:b/>
                <w:bCs/>
                <w:color w:val="FFFFFF"/>
                <w:sz w:val="19"/>
                <w:szCs w:val="19"/>
              </w:rPr>
              <w:t xml:space="preserve">Join key</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Demographics, workforce, income</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Esri GeoEnrichment (US county)</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County FIPS</w:t>
            </w:r>
          </w:p>
        </w:tc>
      </w:tr>
      <w:tr>
        <w:tc>
          <w:tcPr>
            <w:tcW w:type="dxa" w:w="23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Crime</w:t>
            </w:r>
          </w:p>
        </w:tc>
        <w:tc>
          <w:tcPr>
            <w:tcW w:type="dxa" w:w="46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crime dataset</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FIPS</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Commute</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US Census ACS (B08303)</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County FIPS</w:t>
            </w:r>
          </w:p>
        </w:tc>
      </w:tr>
      <w:tr>
        <w:tc>
          <w:tcPr>
            <w:tcW w:type="dxa" w:w="23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Property tax</w:t>
            </w:r>
          </w:p>
        </w:tc>
        <w:tc>
          <w:tcPr>
            <w:tcW w:type="dxa" w:w="46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Tax Foundation, 2026</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State + county name</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Critical Thinking</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Analytic dataset</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County FIPS</w:t>
            </w:r>
          </w:p>
        </w:tc>
      </w:tr>
      <w:tr>
        <w:tc>
          <w:tcPr>
            <w:tcW w:type="dxa" w:w="23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Livability / health outcomes</w:t>
            </w:r>
          </w:p>
        </w:tc>
        <w:tc>
          <w:tcPr>
            <w:tcW w:type="dxa" w:w="46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Health Rankings, 2025</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FIPS</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Infrastructure</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ASCE Infrastructure Report Card (state GPA)</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State</w:t>
            </w:r>
          </w:p>
        </w:tc>
      </w:tr>
      <w:tr>
        <w:tc>
          <w:tcPr>
            <w:tcW w:type="dxa" w:w="23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County centroids / place geocoding</w:t>
            </w:r>
          </w:p>
        </w:tc>
        <w:tc>
          <w:tcPr>
            <w:tcW w:type="dxa" w:w="46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US Census Gazetteer</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FIPS / place name</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Incentives</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State &amp; provincial program catalog</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State / province</w:t>
            </w:r>
          </w:p>
        </w:tc>
      </w:tr>
      <w:tr>
        <w:tc>
          <w:tcPr>
            <w:tcW w:type="dxa" w:w="23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Canada demographics / infrastructure</w:t>
            </w:r>
          </w:p>
        </w:tc>
        <w:tc>
          <w:tcPr>
            <w:tcW w:type="dxa" w:w="466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StatCan Census + layers</w:t>
            </w:r>
          </w:p>
        </w:tc>
        <w:tc>
          <w:tcPr>
            <w:tcW w:type="dxa" w:w="2400"/>
            <w:tcBorders>
              <w:top w:val="single" w:color="D5DCE6" w:sz="1"/>
              <w:left w:val="single" w:color="D5DCE6" w:sz="1"/>
              <w:bottom w:val="single" w:color="D5DCE6" w:sz="1"/>
              <w:right w:val="single" w:color="D5DCE6" w:sz="1"/>
            </w:tcBorders>
            <w:shd w:fill="F4F7FB" w:val="clear"/>
            <w:tcMar>
              <w:top w:type="dxa" w:w="50"/>
              <w:left w:type="dxa" w:w="110"/>
              <w:bottom w:type="dxa" w:w="50"/>
              <w:right w:type="dxa" w:w="110"/>
            </w:tcMar>
            <w:vAlign w:val="center"/>
          </w:tcPr>
          <w:p>
            <w:r>
              <w:rPr>
                <w:sz w:val="19"/>
                <w:szCs w:val="19"/>
              </w:rPr>
              <w:t xml:space="preserve">CDUID</w:t>
            </w:r>
          </w:p>
        </w:tc>
      </w:tr>
      <w:tr>
        <w:tc>
          <w:tcPr>
            <w:tcW w:type="dxa" w:w="23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EDO customers</w:t>
            </w:r>
          </w:p>
        </w:tc>
        <w:tc>
          <w:tcPr>
            <w:tcW w:type="dxa" w:w="466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organizations.json (FIPS/CDUID-tagged)</w:t>
            </w:r>
          </w:p>
        </w:tc>
        <w:tc>
          <w:tcPr>
            <w:tcW w:type="dxa" w:w="2400"/>
            <w:tcBorders>
              <w:top w:val="single" w:color="D5DCE6" w:sz="1"/>
              <w:left w:val="single" w:color="D5DCE6" w:sz="1"/>
              <w:bottom w:val="single" w:color="D5DCE6" w:sz="1"/>
              <w:right w:val="single" w:color="D5DCE6" w:sz="1"/>
            </w:tcBorders>
            <w:shd w:fill="FFFFFF" w:val="clear"/>
            <w:tcMar>
              <w:top w:type="dxa" w:w="50"/>
              <w:left w:type="dxa" w:w="110"/>
              <w:bottom w:type="dxa" w:w="50"/>
              <w:right w:type="dxa" w:w="110"/>
            </w:tcMar>
            <w:vAlign w:val="center"/>
          </w:tcPr>
          <w:p>
            <w:r>
              <w:rPr>
                <w:sz w:val="19"/>
                <w:szCs w:val="19"/>
              </w:rPr>
              <w:t xml:space="preserve">FIPS / CDUID</w:t>
            </w:r>
          </w:p>
        </w:tc>
      </w:tr>
    </w:tbl>
    <w:p>
      <w:pPr>
        <w:pStyle w:val="Heading2"/>
        <w:spacing w:after="100" w:before="220"/>
      </w:pPr>
      <w:r>
        <w:t xml:space="preserve">3.8 Limitations &amp; Roadmap</w:t>
      </w:r>
    </w:p>
    <w:p>
      <w:pPr>
        <w:pStyle w:val="ListParagraph"/>
        <w:numPr>
          <w:ilvl w:val="0"/>
          <w:numId w:val="2"/>
        </w:numPr>
        <w:spacing w:after="60"/>
      </w:pPr>
      <w:r>
        <w:rPr>
          <w:b/>
          <w:bCs/>
        </w:rPr>
        <w:t xml:space="preserve">ASCE grades: </w:t>
      </w:r>
      <w:r>
        <w:t xml:space="preserve">TX, CA, FL are verified from ASCE; the remaining states are a best-effort set in </w:t>
      </w:r>
      <w:r>
        <w:rPr>
          <w:rFonts w:ascii="Consolas" w:cs="Consolas" w:eastAsia="Consolas" w:hAnsi="Consolas"/>
          <w:color w:val="39455A"/>
          <w:sz w:val="19"/>
          <w:szCs w:val="19"/>
        </w:rPr>
        <w:t xml:space="preserve">state_infrastructure_grades.json</w:t>
      </w:r>
      <w:r>
        <w:t xml:space="preserve"> — verify and edit.</w:t>
      </w:r>
    </w:p>
    <w:p>
      <w:pPr>
        <w:pStyle w:val="ListParagraph"/>
        <w:numPr>
          <w:ilvl w:val="0"/>
          <w:numId w:val="2"/>
        </w:numPr>
        <w:spacing w:after="60"/>
      </w:pPr>
      <w:r>
        <w:rPr>
          <w:b/>
          <w:bCs/>
        </w:rPr>
        <w:t xml:space="preserve">Real estate </w:t>
      </w:r>
      <w:r>
        <w:t xml:space="preserve">uses property-tax cost as a proxy; site/building availability is the next addition.</w:t>
      </w:r>
    </w:p>
    <w:p>
      <w:pPr>
        <w:pStyle w:val="ListParagraph"/>
        <w:numPr>
          <w:ilvl w:val="0"/>
          <w:numId w:val="2"/>
        </w:numPr>
        <w:spacing w:after="60"/>
      </w:pPr>
      <w:r>
        <w:rPr>
          <w:b/>
          <w:bCs/>
        </w:rPr>
        <w:t xml:space="preserve">Market proximity &amp; the map are US-only </w:t>
      </w:r>
      <w:r>
        <w:t xml:space="preserve">(county centroids); Canadian proximity needs StatCan CD centroids.</w:t>
      </w:r>
    </w:p>
    <w:p>
      <w:pPr>
        <w:pStyle w:val="ListParagraph"/>
        <w:numPr>
          <w:ilvl w:val="0"/>
          <w:numId w:val="2"/>
        </w:numPr>
        <w:spacing w:after="60"/>
      </w:pPr>
      <w:r>
        <w:rPr>
          <w:b/>
          <w:bCs/>
        </w:rPr>
        <w:t xml:space="preserve">Member counties </w:t>
      </w:r>
      <w:r>
        <w:t xml:space="preserve">for regional/utility EDOs are largely tagged to their home county pending full enumeration.</w:t>
      </w:r>
    </w:p>
    <w:p>
      <w:pPr>
        <w:pStyle w:val="ListParagraph"/>
        <w:numPr>
          <w:ilvl w:val="0"/>
          <w:numId w:val="2"/>
        </w:numPr>
        <w:spacing w:after="60"/>
      </w:pPr>
      <w:r>
        <w:rPr>
          <w:b/>
          <w:bCs/>
        </w:rPr>
        <w:t xml:space="preserve">Rationale </w:t>
      </w:r>
      <w:r>
        <w:t xml:space="preserve">is template-generated; an optional LLM-written version can replace it without changing the ranking.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2026-06-30T01:31:44.984Z</dcterms:created>
  <dcterms:modified xsi:type="dcterms:W3CDTF">2026-06-30T01:31:44.984Z</dcterms:modified>
</cp:coreProperties>
</file>

<file path=docProps/custom.xml><?xml version="1.0" encoding="utf-8"?>
<Properties xmlns="http://schemas.openxmlformats.org/officeDocument/2006/custom-properties" xmlns:vt="http://schemas.openxmlformats.org/officeDocument/2006/docPropsVTypes"/>
</file>